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EA51" w14:textId="77777777" w:rsidR="00104B44" w:rsidRPr="00774FC7" w:rsidRDefault="00117797" w:rsidP="00396A1A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28"/>
          <w:szCs w:val="28"/>
          <w:lang w:val="en-NZ"/>
        </w:rPr>
      </w:pPr>
      <w:r>
        <w:rPr>
          <w:b/>
          <w:kern w:val="28"/>
          <w:sz w:val="28"/>
          <w:szCs w:val="28"/>
          <w:lang w:val="en-NZ"/>
        </w:rPr>
        <w:t>TITLE OF PAPER</w:t>
      </w:r>
    </w:p>
    <w:p w14:paraId="4752DF7F" w14:textId="77777777" w:rsidR="00396A1A" w:rsidRDefault="00396A1A" w:rsidP="00381C0A">
      <w:pPr>
        <w:jc w:val="center"/>
        <w:rPr>
          <w:lang w:val="en-US"/>
        </w:rPr>
      </w:pPr>
    </w:p>
    <w:p w14:paraId="5154DC35" w14:textId="77777777" w:rsidR="00104B44" w:rsidRPr="005E0FBF" w:rsidRDefault="00117797" w:rsidP="00381C0A">
      <w:pPr>
        <w:jc w:val="center"/>
        <w:rPr>
          <w:sz w:val="22"/>
          <w:szCs w:val="22"/>
          <w:lang w:val="en-US"/>
        </w:rPr>
      </w:pPr>
      <w:r w:rsidRPr="005E0FBF">
        <w:rPr>
          <w:sz w:val="22"/>
          <w:szCs w:val="22"/>
          <w:lang w:val="en-US"/>
        </w:rPr>
        <w:t>Author One</w:t>
      </w:r>
      <w:r w:rsidRPr="005E0FBF">
        <w:rPr>
          <w:sz w:val="22"/>
          <w:szCs w:val="22"/>
          <w:vertAlign w:val="superscript"/>
          <w:lang w:val="en-US"/>
        </w:rPr>
        <w:t>1</w:t>
      </w:r>
      <w:r w:rsidRPr="005E0FBF">
        <w:rPr>
          <w:sz w:val="22"/>
          <w:szCs w:val="22"/>
          <w:lang w:val="en-US"/>
        </w:rPr>
        <w:t>, Author Two</w:t>
      </w:r>
      <w:r w:rsidRPr="005E0FBF">
        <w:rPr>
          <w:sz w:val="22"/>
          <w:szCs w:val="22"/>
          <w:vertAlign w:val="superscript"/>
          <w:lang w:val="en-US"/>
        </w:rPr>
        <w:t>2</w:t>
      </w:r>
      <w:r w:rsidRPr="005E0FBF">
        <w:rPr>
          <w:sz w:val="22"/>
          <w:szCs w:val="22"/>
          <w:lang w:val="en-US"/>
        </w:rPr>
        <w:t xml:space="preserve"> and Author Three</w:t>
      </w:r>
      <w:r w:rsidRPr="005E0FBF">
        <w:rPr>
          <w:sz w:val="22"/>
          <w:szCs w:val="22"/>
          <w:vertAlign w:val="superscript"/>
          <w:lang w:val="en-US"/>
        </w:rPr>
        <w:t>12</w:t>
      </w:r>
      <w:r w:rsidR="00381C0A" w:rsidRPr="005E0FBF">
        <w:rPr>
          <w:sz w:val="22"/>
          <w:szCs w:val="22"/>
          <w:lang w:val="en-US"/>
        </w:rPr>
        <w:t xml:space="preserve"> </w:t>
      </w:r>
    </w:p>
    <w:p w14:paraId="3F90CBA0" w14:textId="77777777" w:rsidR="00381C0A" w:rsidRPr="005E0FBF" w:rsidRDefault="00117797" w:rsidP="00381C0A">
      <w:pPr>
        <w:jc w:val="center"/>
        <w:rPr>
          <w:sz w:val="22"/>
          <w:szCs w:val="22"/>
          <w:lang w:val="en-US"/>
        </w:rPr>
      </w:pPr>
      <w:r w:rsidRPr="005E0FBF">
        <w:rPr>
          <w:sz w:val="22"/>
          <w:szCs w:val="22"/>
          <w:vertAlign w:val="superscript"/>
          <w:lang w:val="en-US"/>
        </w:rPr>
        <w:t>1</w:t>
      </w:r>
      <w:r w:rsidRPr="005E0FBF">
        <w:rPr>
          <w:sz w:val="22"/>
          <w:szCs w:val="22"/>
          <w:lang w:val="en-US"/>
        </w:rPr>
        <w:t xml:space="preserve"> </w:t>
      </w:r>
      <w:r w:rsidR="00B06E84" w:rsidRPr="005E0FBF">
        <w:rPr>
          <w:sz w:val="22"/>
          <w:szCs w:val="22"/>
          <w:lang w:val="en-US"/>
        </w:rPr>
        <w:t xml:space="preserve">Name of </w:t>
      </w:r>
      <w:proofErr w:type="spellStart"/>
      <w:r w:rsidR="00B06E84" w:rsidRPr="005E0FBF">
        <w:rPr>
          <w:sz w:val="22"/>
          <w:szCs w:val="22"/>
          <w:lang w:val="en-US"/>
        </w:rPr>
        <w:t>Organisation</w:t>
      </w:r>
      <w:proofErr w:type="spellEnd"/>
      <w:r w:rsidR="004C0F88">
        <w:rPr>
          <w:sz w:val="22"/>
          <w:szCs w:val="22"/>
          <w:lang w:val="en-US"/>
        </w:rPr>
        <w:t>, City, Country</w:t>
      </w:r>
    </w:p>
    <w:p w14:paraId="30E081F5" w14:textId="77777777" w:rsidR="00B06E84" w:rsidRPr="005E0FBF" w:rsidRDefault="00381C0A" w:rsidP="00B06E84">
      <w:pPr>
        <w:jc w:val="center"/>
        <w:rPr>
          <w:sz w:val="22"/>
          <w:szCs w:val="22"/>
          <w:lang w:val="en-US"/>
        </w:rPr>
      </w:pPr>
      <w:r w:rsidRPr="005E0FBF">
        <w:rPr>
          <w:sz w:val="22"/>
          <w:szCs w:val="22"/>
          <w:lang w:val="en-US"/>
        </w:rPr>
        <w:t xml:space="preserve">email: </w:t>
      </w:r>
      <w:hyperlink r:id="rId8" w:history="1">
        <w:r w:rsidR="00B06E84" w:rsidRPr="005E0FBF">
          <w:rPr>
            <w:rStyle w:val="Hyperlink"/>
            <w:sz w:val="22"/>
            <w:szCs w:val="22"/>
            <w:lang w:val="en-US"/>
          </w:rPr>
          <w:t>email.address@email.address</w:t>
        </w:r>
      </w:hyperlink>
    </w:p>
    <w:p w14:paraId="2FE65CC3" w14:textId="77777777" w:rsidR="00B06E84" w:rsidRPr="005E0FBF" w:rsidRDefault="00B06E84" w:rsidP="004C0F88">
      <w:pPr>
        <w:jc w:val="center"/>
        <w:rPr>
          <w:sz w:val="22"/>
          <w:szCs w:val="22"/>
          <w:lang w:val="en-US"/>
        </w:rPr>
      </w:pPr>
      <w:r w:rsidRPr="005E0FBF">
        <w:rPr>
          <w:sz w:val="22"/>
          <w:szCs w:val="22"/>
          <w:vertAlign w:val="superscript"/>
          <w:lang w:val="en-US"/>
        </w:rPr>
        <w:t>2</w:t>
      </w:r>
      <w:r w:rsidRPr="005E0FBF">
        <w:rPr>
          <w:sz w:val="22"/>
          <w:szCs w:val="22"/>
          <w:lang w:val="en-US"/>
        </w:rPr>
        <w:t xml:space="preserve"> Name of </w:t>
      </w:r>
      <w:proofErr w:type="spellStart"/>
      <w:r w:rsidRPr="005E0FBF">
        <w:rPr>
          <w:sz w:val="22"/>
          <w:szCs w:val="22"/>
          <w:lang w:val="en-US"/>
        </w:rPr>
        <w:t>Organisation</w:t>
      </w:r>
      <w:proofErr w:type="spellEnd"/>
      <w:r w:rsidRPr="005E0FBF">
        <w:rPr>
          <w:sz w:val="22"/>
          <w:szCs w:val="22"/>
          <w:lang w:val="en-US"/>
        </w:rPr>
        <w:t xml:space="preserve">, </w:t>
      </w:r>
      <w:r w:rsidR="004C0F88">
        <w:rPr>
          <w:sz w:val="22"/>
          <w:szCs w:val="22"/>
          <w:lang w:val="en-US"/>
        </w:rPr>
        <w:t>City, Country</w:t>
      </w:r>
    </w:p>
    <w:p w14:paraId="338166A1" w14:textId="77777777" w:rsidR="00B06E84" w:rsidRPr="005E0FBF" w:rsidRDefault="00B06E84" w:rsidP="00B06E84">
      <w:pPr>
        <w:jc w:val="center"/>
        <w:rPr>
          <w:sz w:val="22"/>
          <w:szCs w:val="22"/>
          <w:lang w:val="en-US"/>
        </w:rPr>
      </w:pPr>
      <w:r w:rsidRPr="005E0FBF">
        <w:rPr>
          <w:sz w:val="22"/>
          <w:szCs w:val="22"/>
          <w:lang w:val="en-US"/>
        </w:rPr>
        <w:t xml:space="preserve">email: </w:t>
      </w:r>
      <w:hyperlink r:id="rId9" w:history="1">
        <w:r w:rsidRPr="005E0FBF">
          <w:rPr>
            <w:rStyle w:val="Hyperlink"/>
            <w:sz w:val="22"/>
            <w:szCs w:val="22"/>
            <w:lang w:val="en-US"/>
          </w:rPr>
          <w:t>email.address@email.address</w:t>
        </w:r>
      </w:hyperlink>
    </w:p>
    <w:p w14:paraId="064AF466" w14:textId="77777777" w:rsidR="00B06E84" w:rsidRDefault="00B06E84" w:rsidP="00B06E84">
      <w:pPr>
        <w:jc w:val="center"/>
        <w:rPr>
          <w:lang w:val="en-US"/>
        </w:rPr>
      </w:pPr>
    </w:p>
    <w:p w14:paraId="048EB298" w14:textId="74ADB687" w:rsidR="00934227" w:rsidRDefault="00934227" w:rsidP="00934227">
      <w:pPr>
        <w:jc w:val="both"/>
        <w:rPr>
          <w:sz w:val="22"/>
          <w:szCs w:val="22"/>
          <w:lang w:val="en-US"/>
        </w:rPr>
      </w:pPr>
      <w:r w:rsidRPr="00934227">
        <w:rPr>
          <w:sz w:val="22"/>
          <w:szCs w:val="22"/>
          <w:lang w:val="en-US"/>
        </w:rPr>
        <w:t xml:space="preserve">Abstracts for oral presentations are invited and should be provided by </w:t>
      </w:r>
      <w:r w:rsidR="003D4CF2">
        <w:rPr>
          <w:sz w:val="22"/>
          <w:szCs w:val="22"/>
          <w:lang w:val="en-US"/>
        </w:rPr>
        <w:t>1</w:t>
      </w:r>
      <w:r w:rsidR="00523124">
        <w:rPr>
          <w:sz w:val="22"/>
          <w:szCs w:val="22"/>
          <w:lang w:val="en-US"/>
        </w:rPr>
        <w:t>5</w:t>
      </w:r>
      <w:r w:rsidRPr="00934227">
        <w:rPr>
          <w:sz w:val="22"/>
          <w:szCs w:val="22"/>
          <w:lang w:val="en-US"/>
        </w:rPr>
        <w:t>th J</w:t>
      </w:r>
      <w:r w:rsidR="003D4CF2">
        <w:rPr>
          <w:sz w:val="22"/>
          <w:szCs w:val="22"/>
          <w:lang w:val="en-US"/>
        </w:rPr>
        <w:t>uly</w:t>
      </w:r>
      <w:r w:rsidRPr="00934227">
        <w:rPr>
          <w:sz w:val="22"/>
          <w:szCs w:val="22"/>
          <w:lang w:val="en-US"/>
        </w:rPr>
        <w:t xml:space="preserve"> 20</w:t>
      </w:r>
      <w:r w:rsidR="00523124">
        <w:rPr>
          <w:sz w:val="22"/>
          <w:szCs w:val="22"/>
          <w:lang w:val="en-US"/>
        </w:rPr>
        <w:t>22</w:t>
      </w:r>
      <w:r w:rsidRPr="00934227">
        <w:rPr>
          <w:sz w:val="22"/>
          <w:szCs w:val="22"/>
          <w:lang w:val="en-US"/>
        </w:rPr>
        <w:t>. They will be coll</w:t>
      </w:r>
      <w:r>
        <w:rPr>
          <w:sz w:val="22"/>
          <w:szCs w:val="22"/>
          <w:lang w:val="en-US"/>
        </w:rPr>
        <w:t>a</w:t>
      </w:r>
      <w:r w:rsidRPr="00934227">
        <w:rPr>
          <w:sz w:val="22"/>
          <w:szCs w:val="22"/>
          <w:lang w:val="en-US"/>
        </w:rPr>
        <w:t xml:space="preserve">ted in a Digest and distributed at the Symposium. </w:t>
      </w:r>
      <w:r>
        <w:rPr>
          <w:sz w:val="22"/>
          <w:szCs w:val="22"/>
          <w:lang w:val="en-US"/>
        </w:rPr>
        <w:t xml:space="preserve"> </w:t>
      </w:r>
      <w:r w:rsidRPr="00934227">
        <w:rPr>
          <w:sz w:val="22"/>
          <w:szCs w:val="22"/>
          <w:lang w:val="en-US"/>
        </w:rPr>
        <w:t xml:space="preserve">Please prepare abstracts in Microsoft Word </w:t>
      </w:r>
      <w:r>
        <w:rPr>
          <w:sz w:val="22"/>
          <w:szCs w:val="22"/>
          <w:lang w:val="en-US"/>
        </w:rPr>
        <w:t xml:space="preserve">using this template </w:t>
      </w:r>
      <w:r w:rsidRPr="00934227">
        <w:rPr>
          <w:sz w:val="22"/>
          <w:szCs w:val="22"/>
          <w:lang w:val="en-US"/>
        </w:rPr>
        <w:t xml:space="preserve">and send </w:t>
      </w:r>
      <w:r w:rsidR="00B22F0A">
        <w:rPr>
          <w:sz w:val="22"/>
          <w:szCs w:val="22"/>
          <w:lang w:val="en-US"/>
        </w:rPr>
        <w:t xml:space="preserve">in Word format </w:t>
      </w:r>
      <w:r w:rsidRPr="00934227">
        <w:rPr>
          <w:sz w:val="22"/>
          <w:szCs w:val="22"/>
          <w:lang w:val="en-US"/>
        </w:rPr>
        <w:t xml:space="preserve">to: </w:t>
      </w:r>
      <w:hyperlink r:id="rId10" w:history="1">
        <w:r w:rsidR="00523124" w:rsidRPr="005C0EEF">
          <w:rPr>
            <w:rStyle w:val="Hyperlink"/>
            <w:sz w:val="22"/>
            <w:szCs w:val="22"/>
            <w:lang w:val="en-US"/>
          </w:rPr>
          <w:t>PAFAR2022@csiro.au</w:t>
        </w:r>
      </w:hyperlink>
      <w:r w:rsidR="00BE2A08">
        <w:rPr>
          <w:sz w:val="22"/>
          <w:szCs w:val="22"/>
          <w:lang w:val="en-US"/>
        </w:rPr>
        <w:t xml:space="preserve"> with “Abstract PAF</w:t>
      </w:r>
      <w:r w:rsidR="00523124">
        <w:rPr>
          <w:sz w:val="22"/>
          <w:szCs w:val="22"/>
          <w:lang w:val="en-US"/>
        </w:rPr>
        <w:t>AR</w:t>
      </w:r>
      <w:r w:rsidR="00BE2A08">
        <w:rPr>
          <w:sz w:val="22"/>
          <w:szCs w:val="22"/>
          <w:lang w:val="en-US"/>
        </w:rPr>
        <w:t>20</w:t>
      </w:r>
      <w:r w:rsidR="00523124">
        <w:rPr>
          <w:sz w:val="22"/>
          <w:szCs w:val="22"/>
          <w:lang w:val="en-US"/>
        </w:rPr>
        <w:t>22</w:t>
      </w:r>
      <w:r w:rsidR="00BE2A08">
        <w:rPr>
          <w:sz w:val="22"/>
          <w:szCs w:val="22"/>
          <w:lang w:val="en-US"/>
        </w:rPr>
        <w:t>” as the subject of the email.</w:t>
      </w:r>
    </w:p>
    <w:p w14:paraId="716613E8" w14:textId="77777777" w:rsidR="00934227" w:rsidRPr="00934227" w:rsidRDefault="00934227" w:rsidP="00934227">
      <w:pPr>
        <w:jc w:val="both"/>
        <w:rPr>
          <w:sz w:val="22"/>
          <w:szCs w:val="22"/>
          <w:lang w:val="en-US"/>
        </w:rPr>
      </w:pPr>
    </w:p>
    <w:p w14:paraId="7416AF4D" w14:textId="631734E4" w:rsidR="00934227" w:rsidRDefault="00934227" w:rsidP="00934227">
      <w:pPr>
        <w:jc w:val="both"/>
        <w:rPr>
          <w:sz w:val="22"/>
          <w:szCs w:val="22"/>
          <w:lang w:val="en-US"/>
        </w:rPr>
      </w:pPr>
      <w:r w:rsidRPr="00934227">
        <w:rPr>
          <w:sz w:val="22"/>
          <w:szCs w:val="22"/>
          <w:lang w:val="en-US"/>
        </w:rPr>
        <w:t>Each abstract</w:t>
      </w:r>
      <w:r w:rsidR="004C0F88">
        <w:rPr>
          <w:sz w:val="22"/>
          <w:szCs w:val="22"/>
          <w:lang w:val="en-US"/>
        </w:rPr>
        <w:t xml:space="preserve"> is limited to one page </w:t>
      </w:r>
      <w:r>
        <w:rPr>
          <w:sz w:val="22"/>
          <w:szCs w:val="22"/>
          <w:lang w:val="en-US"/>
        </w:rPr>
        <w:t xml:space="preserve">including </w:t>
      </w:r>
      <w:r w:rsidR="00B22F0A">
        <w:rPr>
          <w:sz w:val="22"/>
          <w:szCs w:val="22"/>
          <w:lang w:val="en-US"/>
        </w:rPr>
        <w:t xml:space="preserve">all </w:t>
      </w:r>
      <w:r w:rsidRPr="00934227">
        <w:rPr>
          <w:sz w:val="22"/>
          <w:szCs w:val="22"/>
          <w:lang w:val="en-US"/>
        </w:rPr>
        <w:t>figures</w:t>
      </w:r>
      <w:r w:rsidR="00B22F0A">
        <w:rPr>
          <w:sz w:val="22"/>
          <w:szCs w:val="22"/>
          <w:lang w:val="en-US"/>
        </w:rPr>
        <w:t>, tables</w:t>
      </w:r>
      <w:r w:rsidRPr="00934227">
        <w:rPr>
          <w:sz w:val="22"/>
          <w:szCs w:val="22"/>
          <w:lang w:val="en-US"/>
        </w:rPr>
        <w:t xml:space="preserve"> and photos.</w:t>
      </w:r>
      <w:r>
        <w:rPr>
          <w:sz w:val="22"/>
          <w:szCs w:val="22"/>
          <w:lang w:val="en-US"/>
        </w:rPr>
        <w:t xml:space="preserve"> </w:t>
      </w:r>
      <w:r w:rsidRPr="00934227">
        <w:rPr>
          <w:sz w:val="22"/>
          <w:szCs w:val="22"/>
          <w:lang w:val="en-US"/>
        </w:rPr>
        <w:t>Abstracts will undergo a single-pass review process and will be assessed according to their relevance, originality, clarity, technical content and adherence to the format requirements.</w:t>
      </w:r>
      <w:r>
        <w:rPr>
          <w:sz w:val="22"/>
          <w:szCs w:val="22"/>
          <w:lang w:val="en-US"/>
        </w:rPr>
        <w:t xml:space="preserve"> </w:t>
      </w:r>
      <w:r w:rsidRPr="00934227">
        <w:rPr>
          <w:sz w:val="22"/>
          <w:szCs w:val="22"/>
          <w:lang w:val="en-US"/>
        </w:rPr>
        <w:t xml:space="preserve">Notification of accepted contributions will be </w:t>
      </w:r>
      <w:r>
        <w:rPr>
          <w:sz w:val="22"/>
          <w:szCs w:val="22"/>
          <w:lang w:val="en-US"/>
        </w:rPr>
        <w:t>sent</w:t>
      </w:r>
      <w:r w:rsidRPr="00934227">
        <w:rPr>
          <w:sz w:val="22"/>
          <w:szCs w:val="22"/>
          <w:lang w:val="en-US"/>
        </w:rPr>
        <w:t xml:space="preserve"> by </w:t>
      </w:r>
      <w:r w:rsidR="00523124">
        <w:rPr>
          <w:sz w:val="22"/>
          <w:szCs w:val="22"/>
          <w:lang w:val="en-US"/>
        </w:rPr>
        <w:t>8</w:t>
      </w:r>
      <w:r w:rsidR="003D4CF2">
        <w:rPr>
          <w:sz w:val="22"/>
          <w:szCs w:val="22"/>
          <w:lang w:val="en-US"/>
        </w:rPr>
        <w:t>t</w:t>
      </w:r>
      <w:r w:rsidR="00333B89">
        <w:rPr>
          <w:sz w:val="22"/>
          <w:szCs w:val="22"/>
          <w:lang w:val="en-US"/>
        </w:rPr>
        <w:t>h August</w:t>
      </w:r>
      <w:r w:rsidRPr="00934227">
        <w:rPr>
          <w:sz w:val="22"/>
          <w:szCs w:val="22"/>
          <w:lang w:val="en-US"/>
        </w:rPr>
        <w:t xml:space="preserve"> 20</w:t>
      </w:r>
      <w:r w:rsidR="00523124">
        <w:rPr>
          <w:sz w:val="22"/>
          <w:szCs w:val="22"/>
          <w:lang w:val="en-US"/>
        </w:rPr>
        <w:t>22</w:t>
      </w:r>
      <w:r w:rsidRPr="00934227">
        <w:rPr>
          <w:sz w:val="22"/>
          <w:szCs w:val="22"/>
          <w:lang w:val="en-US"/>
        </w:rPr>
        <w:t>.</w:t>
      </w:r>
    </w:p>
    <w:p w14:paraId="25501F46" w14:textId="77777777" w:rsidR="00934227" w:rsidRPr="00934227" w:rsidRDefault="00934227" w:rsidP="00934227">
      <w:pPr>
        <w:jc w:val="both"/>
        <w:rPr>
          <w:sz w:val="22"/>
          <w:szCs w:val="22"/>
          <w:lang w:val="en-US"/>
        </w:rPr>
      </w:pPr>
    </w:p>
    <w:p w14:paraId="0DCC957A" w14:textId="77777777" w:rsidR="002E07EB" w:rsidRPr="005E0FBF" w:rsidRDefault="0069654D" w:rsidP="00396A1A">
      <w:pPr>
        <w:jc w:val="both"/>
        <w:rPr>
          <w:sz w:val="22"/>
          <w:szCs w:val="22"/>
          <w:lang w:val="en-US"/>
        </w:rPr>
      </w:pPr>
      <w:r w:rsidRPr="005E0FBF">
        <w:rPr>
          <w:sz w:val="22"/>
          <w:szCs w:val="22"/>
          <w:lang w:val="en-US"/>
        </w:rPr>
        <w:t xml:space="preserve">If you </w:t>
      </w:r>
      <w:r w:rsidR="00B22F0A">
        <w:rPr>
          <w:sz w:val="22"/>
          <w:szCs w:val="22"/>
          <w:lang w:val="en-US"/>
        </w:rPr>
        <w:t>are</w:t>
      </w:r>
      <w:r w:rsidRPr="005E0FBF">
        <w:rPr>
          <w:sz w:val="22"/>
          <w:szCs w:val="22"/>
          <w:lang w:val="en-US"/>
        </w:rPr>
        <w:t xml:space="preserve"> us</w:t>
      </w:r>
      <w:r w:rsidR="00B22F0A">
        <w:rPr>
          <w:sz w:val="22"/>
          <w:szCs w:val="22"/>
          <w:lang w:val="en-US"/>
        </w:rPr>
        <w:t>ing</w:t>
      </w:r>
      <w:r w:rsidRPr="005E0FBF">
        <w:rPr>
          <w:sz w:val="22"/>
          <w:szCs w:val="22"/>
          <w:lang w:val="en-US"/>
        </w:rPr>
        <w:t xml:space="preserve"> figures in your abstract, </w:t>
      </w:r>
      <w:r w:rsidR="005E0FBF" w:rsidRPr="005E0FBF">
        <w:rPr>
          <w:sz w:val="22"/>
          <w:szCs w:val="22"/>
          <w:lang w:val="en-US"/>
        </w:rPr>
        <w:t xml:space="preserve">please use a caption below the figure as shown in </w:t>
      </w:r>
      <w:r w:rsidR="00AD5B4D">
        <w:rPr>
          <w:sz w:val="22"/>
          <w:szCs w:val="22"/>
          <w:lang w:val="en-US"/>
        </w:rPr>
        <w:t>F</w:t>
      </w:r>
      <w:r w:rsidR="00B22F0A">
        <w:rPr>
          <w:sz w:val="22"/>
          <w:szCs w:val="22"/>
          <w:lang w:val="en-US"/>
        </w:rPr>
        <w:t>ig</w:t>
      </w:r>
      <w:r w:rsidR="00AD5B4D">
        <w:rPr>
          <w:sz w:val="22"/>
          <w:szCs w:val="22"/>
          <w:lang w:val="en-US"/>
        </w:rPr>
        <w:t>ure</w:t>
      </w:r>
      <w:r w:rsidR="00B22F0A">
        <w:rPr>
          <w:sz w:val="22"/>
          <w:szCs w:val="22"/>
          <w:lang w:val="en-US"/>
        </w:rPr>
        <w:t xml:space="preserve"> 1</w:t>
      </w:r>
      <w:r w:rsidR="005E0FBF" w:rsidRPr="005E0FBF">
        <w:rPr>
          <w:sz w:val="22"/>
          <w:szCs w:val="22"/>
          <w:lang w:val="en-US"/>
        </w:rPr>
        <w:t>.  For tables, the caption should be above the table</w:t>
      </w:r>
      <w:r w:rsidR="00B22F0A">
        <w:rPr>
          <w:sz w:val="22"/>
          <w:szCs w:val="22"/>
          <w:lang w:val="en-US"/>
        </w:rPr>
        <w:t xml:space="preserve"> as shown in Table 1</w:t>
      </w:r>
      <w:r w:rsidR="005E0FBF" w:rsidRPr="005E0FBF">
        <w:rPr>
          <w:sz w:val="22"/>
          <w:szCs w:val="22"/>
          <w:lang w:val="en-US"/>
        </w:rPr>
        <w:t>.</w:t>
      </w:r>
    </w:p>
    <w:p w14:paraId="7C8F2303" w14:textId="77777777" w:rsidR="005E0FBF" w:rsidRPr="005E0FBF" w:rsidRDefault="005E0FBF" w:rsidP="00396A1A">
      <w:pPr>
        <w:jc w:val="both"/>
        <w:rPr>
          <w:lang w:val="en-US"/>
        </w:rPr>
      </w:pPr>
    </w:p>
    <w:p w14:paraId="1A3F250D" w14:textId="77777777" w:rsidR="005E0FBF" w:rsidRPr="005E0FBF" w:rsidRDefault="0065581E" w:rsidP="00934227">
      <w:pPr>
        <w:jc w:val="center"/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 wp14:anchorId="439C67F4" wp14:editId="624CCD3C">
            <wp:extent cx="3409950" cy="2333625"/>
            <wp:effectExtent l="0" t="0" r="0" b="0"/>
            <wp:docPr id="1" name="Picture 1" descr="catr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r1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1A0D" w14:textId="77777777" w:rsidR="00396A1A" w:rsidRPr="00B22F0A" w:rsidRDefault="00B22F0A" w:rsidP="00B22F0A">
      <w:pPr>
        <w:pStyle w:val="Caption"/>
        <w:jc w:val="center"/>
        <w:rPr>
          <w:b w:val="0"/>
          <w:lang w:val="en-US"/>
        </w:rPr>
      </w:pPr>
      <w:r w:rsidRPr="00B22F0A">
        <w:rPr>
          <w:b w:val="0"/>
        </w:rPr>
        <w:t>Fig</w:t>
      </w:r>
      <w:r w:rsidR="00AD5B4D">
        <w:rPr>
          <w:b w:val="0"/>
        </w:rPr>
        <w:t>ure</w:t>
      </w:r>
      <w:r w:rsidRPr="00B22F0A">
        <w:rPr>
          <w:b w:val="0"/>
        </w:rPr>
        <w:t xml:space="preserve"> </w:t>
      </w:r>
      <w:r w:rsidRPr="00B22F0A">
        <w:rPr>
          <w:b w:val="0"/>
        </w:rPr>
        <w:fldChar w:fldCharType="begin"/>
      </w:r>
      <w:r w:rsidRPr="00B22F0A">
        <w:rPr>
          <w:b w:val="0"/>
        </w:rPr>
        <w:instrText xml:space="preserve"> SEQ Fig. \* ARABIC </w:instrText>
      </w:r>
      <w:r w:rsidRPr="00B22F0A">
        <w:rPr>
          <w:b w:val="0"/>
        </w:rPr>
        <w:fldChar w:fldCharType="separate"/>
      </w:r>
      <w:r w:rsidR="00FC5B70">
        <w:rPr>
          <w:b w:val="0"/>
          <w:noProof/>
        </w:rPr>
        <w:t>1</w:t>
      </w:r>
      <w:r w:rsidRPr="00B22F0A">
        <w:rPr>
          <w:b w:val="0"/>
        </w:rPr>
        <w:fldChar w:fldCharType="end"/>
      </w:r>
      <w:r w:rsidR="004C0F88">
        <w:rPr>
          <w:b w:val="0"/>
        </w:rPr>
        <w:t>.</w:t>
      </w:r>
      <w:r w:rsidRPr="00B22F0A">
        <w:rPr>
          <w:b w:val="0"/>
        </w:rPr>
        <w:t xml:space="preserve"> </w:t>
      </w:r>
      <w:r w:rsidRPr="00B22F0A">
        <w:rPr>
          <w:b w:val="0"/>
          <w:lang w:val="en-US"/>
        </w:rPr>
        <w:t>Plot of measured versus calculated radiation patterns of a 200GHz horn.</w:t>
      </w:r>
    </w:p>
    <w:p w14:paraId="715D0C48" w14:textId="77777777" w:rsidR="00B22F0A" w:rsidRPr="00B22F0A" w:rsidRDefault="00B22F0A" w:rsidP="00B22F0A">
      <w:pPr>
        <w:rPr>
          <w:sz w:val="22"/>
          <w:szCs w:val="22"/>
        </w:rPr>
      </w:pPr>
    </w:p>
    <w:p w14:paraId="19AD22C4" w14:textId="77777777" w:rsidR="00B22F0A" w:rsidRPr="00B22F0A" w:rsidRDefault="00B22F0A" w:rsidP="00B22F0A">
      <w:pPr>
        <w:pStyle w:val="Caption"/>
        <w:keepNext/>
        <w:jc w:val="center"/>
        <w:rPr>
          <w:b w:val="0"/>
        </w:rPr>
      </w:pPr>
      <w:r w:rsidRPr="00B22F0A">
        <w:rPr>
          <w:b w:val="0"/>
        </w:rPr>
        <w:t xml:space="preserve">Table </w:t>
      </w:r>
      <w:r w:rsidRPr="00B22F0A">
        <w:rPr>
          <w:b w:val="0"/>
        </w:rPr>
        <w:fldChar w:fldCharType="begin"/>
      </w:r>
      <w:r w:rsidRPr="00B22F0A">
        <w:rPr>
          <w:b w:val="0"/>
        </w:rPr>
        <w:instrText xml:space="preserve"> SEQ Table \* ARABIC </w:instrText>
      </w:r>
      <w:r w:rsidRPr="00B22F0A">
        <w:rPr>
          <w:b w:val="0"/>
        </w:rPr>
        <w:fldChar w:fldCharType="separate"/>
      </w:r>
      <w:r w:rsidR="00FC5B70">
        <w:rPr>
          <w:b w:val="0"/>
          <w:noProof/>
        </w:rPr>
        <w:t>1</w:t>
      </w:r>
      <w:r w:rsidRPr="00B22F0A">
        <w:rPr>
          <w:b w:val="0"/>
        </w:rPr>
        <w:fldChar w:fldCharType="end"/>
      </w:r>
      <w:r w:rsidR="004C0F88">
        <w:rPr>
          <w:b w:val="0"/>
        </w:rPr>
        <w:t>.</w:t>
      </w:r>
      <w:r>
        <w:rPr>
          <w:b w:val="0"/>
        </w:rPr>
        <w:t xml:space="preserve"> Title of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5"/>
        <w:gridCol w:w="1375"/>
        <w:gridCol w:w="1375"/>
        <w:gridCol w:w="1375"/>
        <w:gridCol w:w="1375"/>
      </w:tblGrid>
      <w:tr w:rsidR="00B22F0A" w:rsidRPr="006B6660" w14:paraId="5FEE1AE9" w14:textId="77777777" w:rsidTr="006B6660">
        <w:tc>
          <w:tcPr>
            <w:tcW w:w="1406" w:type="dxa"/>
            <w:shd w:val="clear" w:color="auto" w:fill="auto"/>
          </w:tcPr>
          <w:p w14:paraId="221B6F61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14:paraId="118C9C3B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5A523B8E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1FC3924D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2CD0540A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4F34C2B9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361F0ACD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22F0A" w:rsidRPr="006B6660" w14:paraId="5BC8DD46" w14:textId="77777777" w:rsidTr="006B6660">
        <w:tc>
          <w:tcPr>
            <w:tcW w:w="1406" w:type="dxa"/>
            <w:shd w:val="clear" w:color="auto" w:fill="auto"/>
          </w:tcPr>
          <w:p w14:paraId="4C8B3E93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14:paraId="14EC76C1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4E948C6D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33DC01EC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1A4289C9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05ACAFB3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4CDD2B09" w14:textId="77777777" w:rsidR="00B22F0A" w:rsidRPr="006B6660" w:rsidRDefault="00B22F0A" w:rsidP="006B666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3DD9A93" w14:textId="77777777" w:rsidR="00B22F0A" w:rsidRDefault="00B22F0A" w:rsidP="00396A1A">
      <w:pPr>
        <w:jc w:val="both"/>
        <w:rPr>
          <w:sz w:val="22"/>
          <w:szCs w:val="22"/>
          <w:lang w:val="en-US"/>
        </w:rPr>
      </w:pPr>
    </w:p>
    <w:p w14:paraId="277FD292" w14:textId="77777777" w:rsidR="00EF696A" w:rsidRDefault="00DA46D9" w:rsidP="00396A1A">
      <w:pPr>
        <w:jc w:val="both"/>
        <w:rPr>
          <w:sz w:val="22"/>
          <w:szCs w:val="22"/>
          <w:lang w:val="en-US"/>
        </w:rPr>
      </w:pPr>
      <w:r w:rsidRPr="00DA46D9">
        <w:rPr>
          <w:sz w:val="22"/>
          <w:szCs w:val="22"/>
          <w:lang w:val="en-US"/>
        </w:rPr>
        <w:t>Care should be taken with the appearance of the equations. The equation number should be placed in parentheses and flush with the right hand margin. Leave a space before and after the equations. Always refer to equations by number, as Eq. 1 or Eq. 3-6.</w:t>
      </w:r>
    </w:p>
    <w:p w14:paraId="6DBDE45B" w14:textId="77777777" w:rsidR="00DA46D9" w:rsidRDefault="00DA46D9" w:rsidP="00396A1A">
      <w:pPr>
        <w:jc w:val="both"/>
        <w:rPr>
          <w:sz w:val="22"/>
          <w:szCs w:val="22"/>
          <w:lang w:val="en-US"/>
        </w:rPr>
      </w:pPr>
    </w:p>
    <w:p w14:paraId="28EE758A" w14:textId="77777777" w:rsidR="00DA46D9" w:rsidRPr="003B7121" w:rsidRDefault="00DA46D9" w:rsidP="00DA46D9">
      <w:pPr>
        <w:pStyle w:val="Caption"/>
        <w:tabs>
          <w:tab w:val="center" w:pos="4678"/>
          <w:tab w:val="right" w:pos="8505"/>
        </w:tabs>
        <w:rPr>
          <w:b w:val="0"/>
        </w:rPr>
      </w:pPr>
      <w:r>
        <w:tab/>
      </w:r>
      <w:r w:rsidR="00AD5B4D" w:rsidRPr="00DA46D9">
        <w:rPr>
          <w:position w:val="-10"/>
        </w:rPr>
        <w:object w:dxaOrig="1140" w:dyaOrig="360" w14:anchorId="376A6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12" o:title=""/>
          </v:shape>
          <o:OLEObject Type="Embed" ProgID="Equation.3" ShapeID="_x0000_i1025" DrawAspect="Content" ObjectID="_1713703056" r:id="rId13"/>
        </w:object>
      </w:r>
      <w:r>
        <w:tab/>
      </w:r>
      <w:r>
        <w:tab/>
      </w:r>
      <w:r>
        <w:tab/>
      </w:r>
      <w:r>
        <w:rPr>
          <w:b w:val="0"/>
        </w:rPr>
        <w:t>(1)</w:t>
      </w:r>
    </w:p>
    <w:p w14:paraId="5F1FF9FC" w14:textId="77777777" w:rsidR="00396A1A" w:rsidRPr="005E0FBF" w:rsidRDefault="00396A1A" w:rsidP="00DA46D9">
      <w:pPr>
        <w:jc w:val="both"/>
        <w:rPr>
          <w:sz w:val="22"/>
          <w:szCs w:val="22"/>
          <w:lang w:val="en-US"/>
        </w:rPr>
      </w:pPr>
    </w:p>
    <w:p w14:paraId="68C623FE" w14:textId="77777777" w:rsidR="00654051" w:rsidRDefault="00DA46D9" w:rsidP="00DA46D9">
      <w:pPr>
        <w:jc w:val="both"/>
        <w:rPr>
          <w:sz w:val="22"/>
          <w:szCs w:val="22"/>
          <w:lang w:val="en-US"/>
        </w:rPr>
      </w:pPr>
      <w:r w:rsidRPr="00DA46D9">
        <w:rPr>
          <w:sz w:val="22"/>
          <w:szCs w:val="22"/>
          <w:lang w:val="en-US"/>
        </w:rPr>
        <w:t>References are listed at the end of the article in order of citation, the numbers being enclosed in square brackets [ ].</w:t>
      </w:r>
    </w:p>
    <w:p w14:paraId="145FB340" w14:textId="77777777" w:rsidR="00DA46D9" w:rsidRPr="00396A1A" w:rsidRDefault="00DA46D9" w:rsidP="00DA46D9">
      <w:pPr>
        <w:jc w:val="both"/>
        <w:rPr>
          <w:sz w:val="22"/>
          <w:szCs w:val="22"/>
          <w:lang w:val="en-US"/>
        </w:rPr>
      </w:pPr>
    </w:p>
    <w:p w14:paraId="366C47E9" w14:textId="77777777" w:rsidR="003D4CF2" w:rsidRDefault="003D4CF2" w:rsidP="006E517B">
      <w:pPr>
        <w:numPr>
          <w:ilvl w:val="0"/>
          <w:numId w:val="2"/>
        </w:numPr>
        <w:tabs>
          <w:tab w:val="clear" w:pos="360"/>
          <w:tab w:val="num" w:pos="-3402"/>
        </w:tabs>
        <w:ind w:left="567" w:hanging="567"/>
        <w:jc w:val="both"/>
        <w:rPr>
          <w:sz w:val="20"/>
          <w:szCs w:val="20"/>
        </w:rPr>
      </w:pPr>
      <w:r w:rsidRPr="003D4CF2">
        <w:rPr>
          <w:sz w:val="20"/>
          <w:szCs w:val="20"/>
        </w:rPr>
        <w:t xml:space="preserve">A. P. Chippendale, D. McConnell, K. Bannister, N. Nikolic, A.W. </w:t>
      </w:r>
      <w:proofErr w:type="spellStart"/>
      <w:r w:rsidRPr="003D4CF2">
        <w:rPr>
          <w:sz w:val="20"/>
          <w:szCs w:val="20"/>
        </w:rPr>
        <w:t>Hotan</w:t>
      </w:r>
      <w:proofErr w:type="spellEnd"/>
      <w:r w:rsidRPr="003D4CF2">
        <w:rPr>
          <w:sz w:val="20"/>
          <w:szCs w:val="20"/>
        </w:rPr>
        <w:t>, K.W. Smart, R.D. Shaw, D.B. Hayman, S.G. Hay</w:t>
      </w:r>
      <w:r w:rsidR="00BE2A08">
        <w:rPr>
          <w:sz w:val="20"/>
          <w:szCs w:val="20"/>
        </w:rPr>
        <w:t>,</w:t>
      </w:r>
      <w:r w:rsidRPr="003D4CF2">
        <w:rPr>
          <w:sz w:val="20"/>
          <w:szCs w:val="20"/>
        </w:rPr>
        <w:t xml:space="preserve"> “Recent Developments in Measuring Signal and Noise in Phased Array Feeds at CSIRO,” </w:t>
      </w:r>
      <w:r w:rsidRPr="004C0F88">
        <w:rPr>
          <w:i/>
          <w:sz w:val="20"/>
          <w:szCs w:val="20"/>
        </w:rPr>
        <w:t>European Conf. on Antennas and Propagation (</w:t>
      </w:r>
      <w:proofErr w:type="spellStart"/>
      <w:r w:rsidRPr="004C0F88">
        <w:rPr>
          <w:i/>
          <w:sz w:val="20"/>
          <w:szCs w:val="20"/>
        </w:rPr>
        <w:t>EuCAP</w:t>
      </w:r>
      <w:proofErr w:type="spellEnd"/>
      <w:r w:rsidRPr="004C0F88">
        <w:rPr>
          <w:i/>
          <w:sz w:val="20"/>
          <w:szCs w:val="20"/>
        </w:rPr>
        <w:t>)</w:t>
      </w:r>
      <w:r w:rsidRPr="003D4CF2">
        <w:rPr>
          <w:sz w:val="20"/>
          <w:szCs w:val="20"/>
        </w:rPr>
        <w:t xml:space="preserve">, Davos, Switzerland, </w:t>
      </w:r>
      <w:r w:rsidR="004C0F88" w:rsidRPr="003D4CF2">
        <w:rPr>
          <w:sz w:val="20"/>
          <w:szCs w:val="20"/>
        </w:rPr>
        <w:t>pp. 1-5</w:t>
      </w:r>
      <w:r w:rsidR="004C0F88">
        <w:rPr>
          <w:sz w:val="20"/>
          <w:szCs w:val="20"/>
        </w:rPr>
        <w:t xml:space="preserve">, </w:t>
      </w:r>
      <w:r w:rsidRPr="003D4CF2">
        <w:rPr>
          <w:sz w:val="20"/>
          <w:szCs w:val="20"/>
        </w:rPr>
        <w:t>2016.</w:t>
      </w:r>
    </w:p>
    <w:p w14:paraId="730F8F2E" w14:textId="77777777" w:rsidR="006E517B" w:rsidRDefault="0069654D" w:rsidP="006E517B">
      <w:pPr>
        <w:numPr>
          <w:ilvl w:val="0"/>
          <w:numId w:val="2"/>
        </w:numPr>
        <w:tabs>
          <w:tab w:val="clear" w:pos="360"/>
          <w:tab w:val="num" w:pos="-3402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C.A. </w:t>
      </w:r>
      <w:proofErr w:type="spellStart"/>
      <w:r>
        <w:rPr>
          <w:sz w:val="20"/>
          <w:szCs w:val="20"/>
        </w:rPr>
        <w:t>Balanis</w:t>
      </w:r>
      <w:proofErr w:type="spellEnd"/>
      <w:r w:rsidR="006E517B" w:rsidRPr="00D9690B">
        <w:rPr>
          <w:sz w:val="20"/>
          <w:szCs w:val="20"/>
        </w:rPr>
        <w:t xml:space="preserve">, </w:t>
      </w:r>
      <w:r w:rsidRPr="004C0F88">
        <w:rPr>
          <w:i/>
          <w:sz w:val="20"/>
          <w:szCs w:val="20"/>
        </w:rPr>
        <w:t>Antenna Theory: Analysis and Design</w:t>
      </w:r>
      <w:r w:rsidRPr="0069654D">
        <w:rPr>
          <w:sz w:val="20"/>
          <w:szCs w:val="20"/>
        </w:rPr>
        <w:t>,</w:t>
      </w:r>
      <w:r w:rsidR="006E517B" w:rsidRPr="003D4CF2">
        <w:rPr>
          <w:sz w:val="20"/>
          <w:szCs w:val="20"/>
        </w:rPr>
        <w:t xml:space="preserve"> </w:t>
      </w:r>
      <w:r w:rsidRPr="003D4CF2">
        <w:rPr>
          <w:sz w:val="20"/>
          <w:szCs w:val="20"/>
        </w:rPr>
        <w:t>Wiley</w:t>
      </w:r>
      <w:r w:rsidR="006E517B" w:rsidRPr="003D4CF2">
        <w:rPr>
          <w:sz w:val="20"/>
          <w:szCs w:val="20"/>
        </w:rPr>
        <w:t>,</w:t>
      </w:r>
      <w:r w:rsidR="006E517B" w:rsidRPr="00D9690B">
        <w:rPr>
          <w:sz w:val="20"/>
          <w:szCs w:val="20"/>
        </w:rPr>
        <w:t xml:space="preserve"> </w:t>
      </w:r>
      <w:r>
        <w:rPr>
          <w:sz w:val="20"/>
          <w:szCs w:val="20"/>
        </w:rPr>
        <w:t>New Jersey,</w:t>
      </w:r>
      <w:r w:rsidR="006E517B" w:rsidRPr="00D9690B">
        <w:rPr>
          <w:sz w:val="20"/>
          <w:szCs w:val="20"/>
        </w:rPr>
        <w:t xml:space="preserve"> </w:t>
      </w:r>
      <w:r>
        <w:rPr>
          <w:sz w:val="20"/>
          <w:szCs w:val="20"/>
        </w:rPr>
        <w:t>2005</w:t>
      </w:r>
      <w:r w:rsidR="006E517B" w:rsidRPr="00D9690B">
        <w:rPr>
          <w:sz w:val="20"/>
          <w:szCs w:val="20"/>
        </w:rPr>
        <w:t>.</w:t>
      </w:r>
    </w:p>
    <w:p w14:paraId="36F4DA3D" w14:textId="77777777" w:rsidR="00D9690B" w:rsidRDefault="0069654D" w:rsidP="00D9690B">
      <w:pPr>
        <w:numPr>
          <w:ilvl w:val="0"/>
          <w:numId w:val="2"/>
        </w:numPr>
        <w:tabs>
          <w:tab w:val="clear" w:pos="360"/>
          <w:tab w:val="num" w:pos="-3402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H. Yagi, “Beam transmission of </w:t>
      </w:r>
      <w:proofErr w:type="spellStart"/>
      <w:r>
        <w:rPr>
          <w:sz w:val="20"/>
          <w:szCs w:val="20"/>
        </w:rPr>
        <w:t>ultra short</w:t>
      </w:r>
      <w:proofErr w:type="spellEnd"/>
      <w:r>
        <w:rPr>
          <w:sz w:val="20"/>
          <w:szCs w:val="20"/>
        </w:rPr>
        <w:t xml:space="preserve"> waves,” </w:t>
      </w:r>
      <w:r w:rsidRPr="0069654D">
        <w:rPr>
          <w:i/>
          <w:sz w:val="20"/>
          <w:szCs w:val="20"/>
        </w:rPr>
        <w:t>Proc. IRE</w:t>
      </w:r>
      <w:r w:rsidR="00D9690B" w:rsidRPr="006E517B">
        <w:rPr>
          <w:sz w:val="20"/>
          <w:szCs w:val="20"/>
        </w:rPr>
        <w:t xml:space="preserve">, </w:t>
      </w:r>
      <w:r>
        <w:rPr>
          <w:sz w:val="20"/>
          <w:szCs w:val="20"/>
        </w:rPr>
        <w:t>vol. 16, pp. 715 – 741, June 1928</w:t>
      </w:r>
      <w:r w:rsidR="00D9690B" w:rsidRPr="006E517B">
        <w:rPr>
          <w:sz w:val="20"/>
          <w:szCs w:val="20"/>
        </w:rPr>
        <w:t>.</w:t>
      </w:r>
    </w:p>
    <w:p w14:paraId="6A6519D1" w14:textId="77777777" w:rsidR="002902AB" w:rsidRDefault="002902AB" w:rsidP="002902AB">
      <w:pPr>
        <w:rPr>
          <w:sz w:val="28"/>
          <w:szCs w:val="28"/>
        </w:rPr>
      </w:pPr>
    </w:p>
    <w:sectPr w:rsidR="002902AB" w:rsidSect="008865D7">
      <w:headerReference w:type="default" r:id="rId14"/>
      <w:footerReference w:type="default" r:id="rId15"/>
      <w:pgSz w:w="11900" w:h="16840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4044" w14:textId="77777777" w:rsidR="00F052B5" w:rsidRDefault="00F052B5">
      <w:r>
        <w:separator/>
      </w:r>
    </w:p>
  </w:endnote>
  <w:endnote w:type="continuationSeparator" w:id="0">
    <w:p w14:paraId="39551105" w14:textId="77777777" w:rsidR="00F052B5" w:rsidRDefault="00F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B35" w14:textId="77777777" w:rsidR="001B4C01" w:rsidRDefault="001B4C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B70">
      <w:rPr>
        <w:noProof/>
      </w:rPr>
      <w:t>1</w:t>
    </w:r>
    <w:r>
      <w:fldChar w:fldCharType="end"/>
    </w:r>
  </w:p>
  <w:p w14:paraId="1D83ECD4" w14:textId="77777777" w:rsidR="001B4C01" w:rsidRDefault="001B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797B" w14:textId="77777777" w:rsidR="00F052B5" w:rsidRDefault="00F052B5">
      <w:r>
        <w:separator/>
      </w:r>
    </w:p>
  </w:footnote>
  <w:footnote w:type="continuationSeparator" w:id="0">
    <w:p w14:paraId="66B68A86" w14:textId="77777777" w:rsidR="00F052B5" w:rsidRDefault="00F0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5C9B" w14:textId="02363CCB" w:rsidR="00117797" w:rsidRDefault="003D4CF2" w:rsidP="003D4CF2">
    <w:pPr>
      <w:pStyle w:val="Header"/>
      <w:jc w:val="right"/>
      <w:rPr>
        <w:i/>
        <w:sz w:val="22"/>
        <w:lang w:val="en-GB"/>
      </w:rPr>
    </w:pPr>
    <w:r>
      <w:rPr>
        <w:i/>
        <w:sz w:val="22"/>
        <w:lang w:val="en-GB"/>
      </w:rPr>
      <w:t xml:space="preserve">Phased Array Feed </w:t>
    </w:r>
    <w:r w:rsidR="00997041">
      <w:rPr>
        <w:i/>
        <w:sz w:val="22"/>
        <w:lang w:val="en-GB"/>
      </w:rPr>
      <w:t xml:space="preserve">&amp; Advanced Receivers </w:t>
    </w:r>
    <w:r>
      <w:rPr>
        <w:i/>
        <w:sz w:val="22"/>
        <w:lang w:val="en-GB"/>
      </w:rPr>
      <w:t>Workshop, 1</w:t>
    </w:r>
    <w:r w:rsidR="00523124">
      <w:rPr>
        <w:i/>
        <w:sz w:val="22"/>
        <w:lang w:val="en-GB"/>
      </w:rPr>
      <w:t>5</w:t>
    </w:r>
    <w:r>
      <w:rPr>
        <w:i/>
        <w:sz w:val="22"/>
        <w:lang w:val="en-GB"/>
      </w:rPr>
      <w:t>-1</w:t>
    </w:r>
    <w:r w:rsidR="00523124">
      <w:rPr>
        <w:i/>
        <w:sz w:val="22"/>
        <w:lang w:val="en-GB"/>
      </w:rPr>
      <w:t>7</w:t>
    </w:r>
    <w:r>
      <w:rPr>
        <w:i/>
        <w:sz w:val="22"/>
        <w:lang w:val="en-GB"/>
      </w:rPr>
      <w:t xml:space="preserve"> November 20</w:t>
    </w:r>
    <w:r w:rsidR="00523124">
      <w:rPr>
        <w:i/>
        <w:sz w:val="22"/>
        <w:lang w:val="en-GB"/>
      </w:rPr>
      <w:t>22</w:t>
    </w:r>
    <w:r>
      <w:rPr>
        <w:rFonts w:hint="eastAsia"/>
        <w:i/>
        <w:sz w:val="22"/>
        <w:lang w:val="en-GB"/>
      </w:rPr>
      <w:t xml:space="preserve">, </w:t>
    </w:r>
    <w:r>
      <w:rPr>
        <w:i/>
        <w:sz w:val="22"/>
        <w:lang w:val="en-GB"/>
      </w:rPr>
      <w:t>Sydney</w:t>
    </w:r>
    <w:r>
      <w:rPr>
        <w:rFonts w:hint="eastAsia"/>
        <w:i/>
        <w:sz w:val="22"/>
        <w:lang w:val="en-GB"/>
      </w:rPr>
      <w:t>,</w:t>
    </w:r>
    <w:r>
      <w:rPr>
        <w:i/>
        <w:sz w:val="22"/>
        <w:lang w:val="en-GB"/>
      </w:rPr>
      <w:t xml:space="preserve"> Australia</w:t>
    </w:r>
  </w:p>
  <w:p w14:paraId="2567AE3B" w14:textId="77777777" w:rsidR="003D4CF2" w:rsidRPr="003D4CF2" w:rsidRDefault="003D4CF2" w:rsidP="003D4C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0F5D32"/>
    <w:multiLevelType w:val="multilevel"/>
    <w:tmpl w:val="2DDCA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1558EC"/>
    <w:multiLevelType w:val="hybridMultilevel"/>
    <w:tmpl w:val="3C40C96E"/>
    <w:lvl w:ilvl="0" w:tplc="E4C848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56EE27BE"/>
    <w:multiLevelType w:val="hybridMultilevel"/>
    <w:tmpl w:val="D38891C8"/>
    <w:lvl w:ilvl="0" w:tplc="7A9E7D58">
      <w:start w:val="1"/>
      <w:numFmt w:val="decimal"/>
      <w:lvlText w:val="[%1]"/>
      <w:lvlJc w:val="left"/>
      <w:pPr>
        <w:ind w:left="1212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3"/>
    <w:rsid w:val="00012B75"/>
    <w:rsid w:val="000258A4"/>
    <w:rsid w:val="00031A17"/>
    <w:rsid w:val="000378BF"/>
    <w:rsid w:val="00037DA7"/>
    <w:rsid w:val="00050931"/>
    <w:rsid w:val="000768BD"/>
    <w:rsid w:val="00094138"/>
    <w:rsid w:val="000A7AF0"/>
    <w:rsid w:val="000B3AF8"/>
    <w:rsid w:val="000D2784"/>
    <w:rsid w:val="000D3179"/>
    <w:rsid w:val="00104B44"/>
    <w:rsid w:val="00117797"/>
    <w:rsid w:val="00144901"/>
    <w:rsid w:val="001651CB"/>
    <w:rsid w:val="00174145"/>
    <w:rsid w:val="00181102"/>
    <w:rsid w:val="00181B2B"/>
    <w:rsid w:val="00191D05"/>
    <w:rsid w:val="001A77F3"/>
    <w:rsid w:val="001B4C01"/>
    <w:rsid w:val="001C0A68"/>
    <w:rsid w:val="001E3044"/>
    <w:rsid w:val="00210751"/>
    <w:rsid w:val="00220D74"/>
    <w:rsid w:val="00233CBC"/>
    <w:rsid w:val="00233FE3"/>
    <w:rsid w:val="00246774"/>
    <w:rsid w:val="00264EC3"/>
    <w:rsid w:val="00265E57"/>
    <w:rsid w:val="00270980"/>
    <w:rsid w:val="002877AA"/>
    <w:rsid w:val="002902AB"/>
    <w:rsid w:val="00292AEF"/>
    <w:rsid w:val="002A47E2"/>
    <w:rsid w:val="002D079A"/>
    <w:rsid w:val="002E07EB"/>
    <w:rsid w:val="002F4207"/>
    <w:rsid w:val="00326470"/>
    <w:rsid w:val="00331D4C"/>
    <w:rsid w:val="00332487"/>
    <w:rsid w:val="00333B89"/>
    <w:rsid w:val="00375734"/>
    <w:rsid w:val="00381C0A"/>
    <w:rsid w:val="00392825"/>
    <w:rsid w:val="00396A1A"/>
    <w:rsid w:val="003A1C86"/>
    <w:rsid w:val="003A1E0A"/>
    <w:rsid w:val="003A7840"/>
    <w:rsid w:val="003C4F48"/>
    <w:rsid w:val="003D3E1B"/>
    <w:rsid w:val="003D4CF2"/>
    <w:rsid w:val="003E5612"/>
    <w:rsid w:val="003F0B18"/>
    <w:rsid w:val="003F62E3"/>
    <w:rsid w:val="00400946"/>
    <w:rsid w:val="004024D1"/>
    <w:rsid w:val="004231D5"/>
    <w:rsid w:val="004532EB"/>
    <w:rsid w:val="00455BDF"/>
    <w:rsid w:val="00457E65"/>
    <w:rsid w:val="00492455"/>
    <w:rsid w:val="0049493D"/>
    <w:rsid w:val="004A6C0C"/>
    <w:rsid w:val="004C0F88"/>
    <w:rsid w:val="004C1FE1"/>
    <w:rsid w:val="004D74DC"/>
    <w:rsid w:val="004F1F2F"/>
    <w:rsid w:val="005075D2"/>
    <w:rsid w:val="0052054B"/>
    <w:rsid w:val="00523124"/>
    <w:rsid w:val="0054430E"/>
    <w:rsid w:val="00567744"/>
    <w:rsid w:val="00575B7D"/>
    <w:rsid w:val="00580270"/>
    <w:rsid w:val="005A49B2"/>
    <w:rsid w:val="005B72A5"/>
    <w:rsid w:val="005C6873"/>
    <w:rsid w:val="005C7D94"/>
    <w:rsid w:val="005D5F44"/>
    <w:rsid w:val="005E0FBF"/>
    <w:rsid w:val="005E10FC"/>
    <w:rsid w:val="005E6FD6"/>
    <w:rsid w:val="005F2539"/>
    <w:rsid w:val="005F30F6"/>
    <w:rsid w:val="006101FB"/>
    <w:rsid w:val="00613287"/>
    <w:rsid w:val="006229D5"/>
    <w:rsid w:val="00630767"/>
    <w:rsid w:val="00631B9D"/>
    <w:rsid w:val="0063420D"/>
    <w:rsid w:val="00654051"/>
    <w:rsid w:val="0065581E"/>
    <w:rsid w:val="006739ED"/>
    <w:rsid w:val="00693EDA"/>
    <w:rsid w:val="0069654D"/>
    <w:rsid w:val="00697577"/>
    <w:rsid w:val="006B6660"/>
    <w:rsid w:val="006C4363"/>
    <w:rsid w:val="006E3179"/>
    <w:rsid w:val="006E41A6"/>
    <w:rsid w:val="006E517B"/>
    <w:rsid w:val="00716829"/>
    <w:rsid w:val="007560EB"/>
    <w:rsid w:val="00774FC7"/>
    <w:rsid w:val="0077650C"/>
    <w:rsid w:val="007A1E76"/>
    <w:rsid w:val="007A23EB"/>
    <w:rsid w:val="007B498D"/>
    <w:rsid w:val="007C4133"/>
    <w:rsid w:val="007C7F6E"/>
    <w:rsid w:val="007D14E8"/>
    <w:rsid w:val="007F41A3"/>
    <w:rsid w:val="00802539"/>
    <w:rsid w:val="0083739B"/>
    <w:rsid w:val="0085048B"/>
    <w:rsid w:val="008728B0"/>
    <w:rsid w:val="008865D7"/>
    <w:rsid w:val="00893A70"/>
    <w:rsid w:val="00893D13"/>
    <w:rsid w:val="008E0937"/>
    <w:rsid w:val="00900C1F"/>
    <w:rsid w:val="009061E0"/>
    <w:rsid w:val="00907361"/>
    <w:rsid w:val="00912DAD"/>
    <w:rsid w:val="00923E8B"/>
    <w:rsid w:val="0093420B"/>
    <w:rsid w:val="00934227"/>
    <w:rsid w:val="00997041"/>
    <w:rsid w:val="009A08AC"/>
    <w:rsid w:val="009C557A"/>
    <w:rsid w:val="009C6842"/>
    <w:rsid w:val="009E5C61"/>
    <w:rsid w:val="009F6A5F"/>
    <w:rsid w:val="00A13CA8"/>
    <w:rsid w:val="00A21C2B"/>
    <w:rsid w:val="00A64FB8"/>
    <w:rsid w:val="00A83445"/>
    <w:rsid w:val="00AD5B4D"/>
    <w:rsid w:val="00AE0F8B"/>
    <w:rsid w:val="00B034A1"/>
    <w:rsid w:val="00B053AB"/>
    <w:rsid w:val="00B06E84"/>
    <w:rsid w:val="00B22F0A"/>
    <w:rsid w:val="00B27DCB"/>
    <w:rsid w:val="00B55A8C"/>
    <w:rsid w:val="00B615D3"/>
    <w:rsid w:val="00BB2257"/>
    <w:rsid w:val="00BD2685"/>
    <w:rsid w:val="00BD278E"/>
    <w:rsid w:val="00BE2A08"/>
    <w:rsid w:val="00BE6933"/>
    <w:rsid w:val="00C002D8"/>
    <w:rsid w:val="00C3050D"/>
    <w:rsid w:val="00C42A9B"/>
    <w:rsid w:val="00C545B6"/>
    <w:rsid w:val="00C91E83"/>
    <w:rsid w:val="00C94A0B"/>
    <w:rsid w:val="00CA4B09"/>
    <w:rsid w:val="00CC6538"/>
    <w:rsid w:val="00CE4C97"/>
    <w:rsid w:val="00CE5DE0"/>
    <w:rsid w:val="00CE7E3C"/>
    <w:rsid w:val="00D0709D"/>
    <w:rsid w:val="00D3173B"/>
    <w:rsid w:val="00D318AE"/>
    <w:rsid w:val="00D445C2"/>
    <w:rsid w:val="00D57E46"/>
    <w:rsid w:val="00D860A1"/>
    <w:rsid w:val="00D9690B"/>
    <w:rsid w:val="00D97A39"/>
    <w:rsid w:val="00DA46D9"/>
    <w:rsid w:val="00DC28F6"/>
    <w:rsid w:val="00DD4BC6"/>
    <w:rsid w:val="00DF7A45"/>
    <w:rsid w:val="00E00C1D"/>
    <w:rsid w:val="00E33244"/>
    <w:rsid w:val="00E54273"/>
    <w:rsid w:val="00E80626"/>
    <w:rsid w:val="00E97634"/>
    <w:rsid w:val="00EA7E5F"/>
    <w:rsid w:val="00ED145D"/>
    <w:rsid w:val="00EE7C14"/>
    <w:rsid w:val="00EF696A"/>
    <w:rsid w:val="00F052B5"/>
    <w:rsid w:val="00F152CC"/>
    <w:rsid w:val="00F16503"/>
    <w:rsid w:val="00F20219"/>
    <w:rsid w:val="00FA776C"/>
    <w:rsid w:val="00FB23F9"/>
    <w:rsid w:val="00FC5B70"/>
    <w:rsid w:val="00FD3B7B"/>
    <w:rsid w:val="00FD411A"/>
    <w:rsid w:val="00FE20D7"/>
    <w:rsid w:val="00FF17C1"/>
    <w:rsid w:val="00FF6A5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CB568A"/>
  <w15:chartTrackingRefBased/>
  <w15:docId w15:val="{6D5A3DDA-00F7-4402-82F7-2AA9F60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A8C"/>
    <w:rPr>
      <w:sz w:val="24"/>
      <w:szCs w:val="24"/>
      <w:lang w:val="en-NZ" w:eastAsia="zh-CN"/>
    </w:rPr>
  </w:style>
  <w:style w:type="paragraph" w:styleId="Heading1">
    <w:name w:val="heading 1"/>
    <w:basedOn w:val="Normal"/>
    <w:next w:val="Normal"/>
    <w:link w:val="Heading1Char"/>
    <w:rsid w:val="002902AB"/>
    <w:pPr>
      <w:keepNext/>
      <w:widowControl w:val="0"/>
      <w:tabs>
        <w:tab w:val="left" w:pos="709"/>
      </w:tabs>
      <w:suppressAutoHyphens/>
      <w:spacing w:before="240" w:after="120" w:line="276" w:lineRule="auto"/>
      <w:outlineLvl w:val="0"/>
    </w:pPr>
    <w:rPr>
      <w:rFonts w:ascii="Liberation Sans" w:eastAsia="WenQuanYi Micro Hei" w:hAnsi="Liberation Sans" w:cs="Lohit Hindi"/>
      <w:b/>
      <w:bCs/>
      <w:color w:val="00000A"/>
      <w:sz w:val="32"/>
      <w:szCs w:val="32"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0A"/>
    <w:pPr>
      <w:tabs>
        <w:tab w:val="center" w:pos="4320"/>
        <w:tab w:val="right" w:pos="8640"/>
      </w:tabs>
    </w:pPr>
  </w:style>
  <w:style w:type="character" w:styleId="Hyperlink">
    <w:name w:val="Hyperlink"/>
    <w:rsid w:val="006E3179"/>
    <w:rPr>
      <w:color w:val="0000FF"/>
      <w:u w:val="single"/>
    </w:rPr>
  </w:style>
  <w:style w:type="paragraph" w:customStyle="1" w:styleId="Authors">
    <w:name w:val="Authors"/>
    <w:basedOn w:val="Normal"/>
    <w:next w:val="Normal"/>
    <w:rsid w:val="00104B44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  <w:sz w:val="22"/>
      <w:szCs w:val="22"/>
      <w:lang w:val="en-US" w:eastAsia="en-US"/>
    </w:rPr>
  </w:style>
  <w:style w:type="paragraph" w:customStyle="1" w:styleId="References">
    <w:name w:val="References"/>
    <w:basedOn w:val="Normal"/>
    <w:rsid w:val="00104B44"/>
    <w:pPr>
      <w:numPr>
        <w:numId w:val="1"/>
      </w:numPr>
      <w:autoSpaceDE w:val="0"/>
      <w:autoSpaceDN w:val="0"/>
      <w:jc w:val="both"/>
    </w:pPr>
    <w:rPr>
      <w:rFonts w:eastAsia="Times New Roman"/>
      <w:sz w:val="16"/>
      <w:szCs w:val="16"/>
      <w:lang w:val="en-US" w:eastAsia="en-US"/>
    </w:rPr>
  </w:style>
  <w:style w:type="paragraph" w:customStyle="1" w:styleId="FigureCaption">
    <w:name w:val="Figure Caption"/>
    <w:basedOn w:val="Normal"/>
    <w:rsid w:val="00104B44"/>
    <w:pPr>
      <w:autoSpaceDE w:val="0"/>
      <w:autoSpaceDN w:val="0"/>
      <w:jc w:val="both"/>
    </w:pPr>
    <w:rPr>
      <w:rFonts w:eastAsia="Times New Roman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E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5D2"/>
    <w:rPr>
      <w:rFonts w:ascii="Tahoma" w:hAnsi="Tahoma" w:cs="Tahoma"/>
      <w:sz w:val="16"/>
      <w:szCs w:val="16"/>
    </w:rPr>
  </w:style>
  <w:style w:type="paragraph" w:customStyle="1" w:styleId="Els-Affiliation">
    <w:name w:val="Els-Affiliation"/>
    <w:next w:val="Normal"/>
    <w:rsid w:val="002902AB"/>
    <w:pPr>
      <w:suppressAutoHyphens/>
      <w:spacing w:line="200" w:lineRule="exact"/>
      <w:jc w:val="center"/>
    </w:pPr>
    <w:rPr>
      <w:rFonts w:eastAsia="Times New Roman"/>
      <w:i/>
      <w:noProof/>
      <w:sz w:val="16"/>
      <w:lang w:val="en-US" w:eastAsia="en-US"/>
    </w:rPr>
  </w:style>
  <w:style w:type="paragraph" w:customStyle="1" w:styleId="references0">
    <w:name w:val="references"/>
    <w:rsid w:val="002902AB"/>
    <w:pPr>
      <w:numPr>
        <w:numId w:val="3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902AB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Heading1Char">
    <w:name w:val="Heading 1 Char"/>
    <w:link w:val="Heading1"/>
    <w:rsid w:val="002902AB"/>
    <w:rPr>
      <w:rFonts w:ascii="Liberation Sans" w:eastAsia="WenQuanYi Micro Hei" w:hAnsi="Liberation Sans" w:cs="Lohit Hindi"/>
      <w:b/>
      <w:bCs/>
      <w:color w:val="00000A"/>
      <w:sz w:val="32"/>
      <w:szCs w:val="32"/>
      <w:lang w:val="en-AU" w:eastAsia="zh-CN" w:bidi="hi-IN"/>
    </w:rPr>
  </w:style>
  <w:style w:type="character" w:customStyle="1" w:styleId="InternetLink">
    <w:name w:val="Internet Link"/>
    <w:rsid w:val="002902AB"/>
    <w:rPr>
      <w:color w:val="000080"/>
      <w:u w:val="single"/>
      <w:lang w:val="en-US" w:eastAsia="en-US" w:bidi="en-US"/>
    </w:rPr>
  </w:style>
  <w:style w:type="character" w:customStyle="1" w:styleId="HeaderChar">
    <w:name w:val="Header Char"/>
    <w:link w:val="Header"/>
    <w:uiPriority w:val="99"/>
    <w:rsid w:val="002902AB"/>
    <w:rPr>
      <w:sz w:val="24"/>
      <w:szCs w:val="24"/>
      <w:lang w:val="en-NZ" w:eastAsia="zh-CN"/>
    </w:rPr>
  </w:style>
  <w:style w:type="paragraph" w:styleId="ListParagraph">
    <w:name w:val="List Paragraph"/>
    <w:basedOn w:val="Normal"/>
    <w:uiPriority w:val="34"/>
    <w:qFormat/>
    <w:rsid w:val="002902A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FootnoteText">
    <w:name w:val="footnote text"/>
    <w:basedOn w:val="Normal"/>
    <w:link w:val="FootnoteTextChar"/>
    <w:rsid w:val="002902AB"/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link w:val="FootnoteText"/>
    <w:rsid w:val="002902AB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rsid w:val="002902AB"/>
    <w:rPr>
      <w:vertAlign w:val="superscript"/>
    </w:rPr>
  </w:style>
  <w:style w:type="character" w:customStyle="1" w:styleId="FooterChar">
    <w:name w:val="Footer Char"/>
    <w:link w:val="Footer"/>
    <w:uiPriority w:val="99"/>
    <w:rsid w:val="00396A1A"/>
    <w:rPr>
      <w:sz w:val="24"/>
      <w:szCs w:val="24"/>
      <w:lang w:val="en-NZ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22F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@email.address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FAR2022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.address@email.addres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FAE-88F5-469A-B143-5E51499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OF COAXIAL LINE TO CIRCULAR WAVEGUIDE TRANSITIONS</vt:lpstr>
    </vt:vector>
  </TitlesOfParts>
  <Company>The University of Auckland</Company>
  <LinksUpToDate>false</LinksUpToDate>
  <CharactersWithSpaces>2226</CharactersWithSpaces>
  <SharedDoc>false</SharedDoc>
  <HLinks>
    <vt:vector size="18" baseType="variant">
      <vt:variant>
        <vt:i4>7798855</vt:i4>
      </vt:variant>
      <vt:variant>
        <vt:i4>6</vt:i4>
      </vt:variant>
      <vt:variant>
        <vt:i4>0</vt:i4>
      </vt:variant>
      <vt:variant>
        <vt:i4>5</vt:i4>
      </vt:variant>
      <vt:variant>
        <vt:lpwstr>mailto:PAF2017@csiro.au</vt:lpwstr>
      </vt:variant>
      <vt:variant>
        <vt:lpwstr/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mailto:email.address@email.address</vt:lpwstr>
      </vt:variant>
      <vt:variant>
        <vt:lpwstr/>
      </vt:variant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mailto:email.address@email.address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OF COAXIAL LINE TO CIRCULAR WAVEGUIDE TRANSITIONS</dc:title>
  <dc:subject/>
  <dc:creator>PAF2017@csiro.au</dc:creator>
  <cp:keywords/>
  <cp:lastModifiedBy>Barker, Steve (S&amp;A, Marsfield)</cp:lastModifiedBy>
  <cp:revision>2</cp:revision>
  <cp:lastPrinted>2017-05-30T02:28:00Z</cp:lastPrinted>
  <dcterms:created xsi:type="dcterms:W3CDTF">2022-05-10T05:51:00Z</dcterms:created>
  <dcterms:modified xsi:type="dcterms:W3CDTF">2022-05-10T05:51:00Z</dcterms:modified>
</cp:coreProperties>
</file>