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24AD" w:rsidRPr="000A582E" w:rsidRDefault="00254CE2" w:rsidP="007C24AD">
      <w:pPr>
        <w:jc w:val="center"/>
        <w:rPr>
          <w:rFonts w:eastAsia="Arial Unicode MS"/>
          <w:sz w:val="10"/>
          <w:lang w:val="es-ES_tradnl"/>
        </w:rPr>
      </w:pPr>
      <w:r>
        <w:rPr>
          <w:noProof/>
          <w:lang w:val="es-CL" w:eastAsia="es-CL"/>
        </w:rPr>
        <w:drawing>
          <wp:inline distT="0" distB="0" distL="0" distR="0">
            <wp:extent cx="1605280" cy="1445895"/>
            <wp:effectExtent l="0" t="0" r="0" b="1905"/>
            <wp:docPr id="1" name="Imagen 1" descr="Ministerio de obras públ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sterio de obras públic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5280" cy="1445895"/>
                    </a:xfrm>
                    <a:prstGeom prst="rect">
                      <a:avLst/>
                    </a:prstGeom>
                    <a:noFill/>
                    <a:ln>
                      <a:noFill/>
                    </a:ln>
                  </pic:spPr>
                </pic:pic>
              </a:graphicData>
            </a:graphic>
          </wp:inline>
        </w:drawing>
      </w:r>
    </w:p>
    <w:p w:rsidR="007C24AD" w:rsidRPr="000A582E" w:rsidRDefault="007C24AD" w:rsidP="007C24AD">
      <w:pPr>
        <w:suppressAutoHyphens/>
        <w:spacing w:line="240" w:lineRule="atLeast"/>
        <w:jc w:val="center"/>
        <w:rPr>
          <w:rFonts w:eastAsia="Arial Unicode MS" w:cs="Arial"/>
          <w:b/>
          <w:bCs/>
          <w:szCs w:val="36"/>
          <w:lang w:val="es-ES_tradnl"/>
        </w:rPr>
      </w:pPr>
    </w:p>
    <w:p w:rsidR="007C24AD" w:rsidRPr="000A582E" w:rsidRDefault="007C24AD" w:rsidP="007C24AD">
      <w:pPr>
        <w:jc w:val="center"/>
        <w:rPr>
          <w:rFonts w:cs="Arial"/>
          <w:b/>
          <w:lang w:val="es-ES_tradnl"/>
        </w:rPr>
      </w:pPr>
    </w:p>
    <w:p w:rsidR="007C24AD" w:rsidRPr="000A582E" w:rsidRDefault="007C24AD" w:rsidP="007C24AD">
      <w:pPr>
        <w:jc w:val="center"/>
        <w:rPr>
          <w:rFonts w:cs="Arial"/>
          <w:b/>
          <w:sz w:val="32"/>
          <w:szCs w:val="32"/>
        </w:rPr>
      </w:pPr>
    </w:p>
    <w:p w:rsidR="007C24AD" w:rsidRPr="000A582E" w:rsidRDefault="007C24AD" w:rsidP="007C24AD">
      <w:pPr>
        <w:jc w:val="center"/>
        <w:rPr>
          <w:rFonts w:cs="Arial"/>
          <w:b/>
          <w:sz w:val="32"/>
          <w:szCs w:val="32"/>
        </w:rPr>
      </w:pPr>
    </w:p>
    <w:p w:rsidR="007C24AD" w:rsidRDefault="007C24AD" w:rsidP="007C24AD">
      <w:pPr>
        <w:jc w:val="center"/>
        <w:rPr>
          <w:rFonts w:cs="Arial"/>
          <w:b/>
          <w:sz w:val="32"/>
          <w:szCs w:val="32"/>
        </w:rPr>
      </w:pPr>
    </w:p>
    <w:p w:rsidR="007C24AD" w:rsidRPr="000A582E" w:rsidRDefault="007C24AD" w:rsidP="007C24AD">
      <w:pPr>
        <w:jc w:val="center"/>
        <w:rPr>
          <w:rFonts w:cs="Arial"/>
          <w:b/>
          <w:sz w:val="32"/>
          <w:szCs w:val="32"/>
        </w:rPr>
      </w:pPr>
    </w:p>
    <w:p w:rsidR="007C24AD" w:rsidRPr="000A582E" w:rsidRDefault="007C24AD" w:rsidP="007C24AD">
      <w:pPr>
        <w:jc w:val="center"/>
        <w:rPr>
          <w:rFonts w:cs="Arial"/>
          <w:b/>
          <w:sz w:val="32"/>
          <w:szCs w:val="32"/>
        </w:rPr>
      </w:pPr>
    </w:p>
    <w:p w:rsidR="007C24AD" w:rsidRDefault="007C24AD" w:rsidP="007C24AD">
      <w:pPr>
        <w:spacing w:line="360" w:lineRule="auto"/>
        <w:jc w:val="center"/>
        <w:rPr>
          <w:rFonts w:cs="Arial"/>
          <w:b/>
          <w:sz w:val="40"/>
          <w:szCs w:val="40"/>
        </w:rPr>
      </w:pPr>
      <w:r>
        <w:rPr>
          <w:rFonts w:cs="Arial"/>
          <w:b/>
          <w:sz w:val="40"/>
          <w:szCs w:val="40"/>
        </w:rPr>
        <w:t>CONVENIO DE COLABORACION</w:t>
      </w:r>
      <w:r w:rsidRPr="002E1EA2">
        <w:rPr>
          <w:rFonts w:cs="Arial"/>
          <w:b/>
          <w:sz w:val="40"/>
          <w:szCs w:val="40"/>
        </w:rPr>
        <w:t xml:space="preserve"> </w:t>
      </w:r>
    </w:p>
    <w:p w:rsidR="007C24AD" w:rsidRPr="002E1EA2" w:rsidRDefault="007C24AD" w:rsidP="007C24AD">
      <w:pPr>
        <w:spacing w:line="360" w:lineRule="auto"/>
        <w:jc w:val="center"/>
        <w:rPr>
          <w:rFonts w:cs="Arial"/>
          <w:b/>
          <w:sz w:val="40"/>
          <w:szCs w:val="40"/>
        </w:rPr>
      </w:pPr>
      <w:r>
        <w:rPr>
          <w:rFonts w:cs="Arial"/>
          <w:b/>
          <w:sz w:val="40"/>
          <w:szCs w:val="40"/>
        </w:rPr>
        <w:t xml:space="preserve">PARA </w:t>
      </w:r>
      <w:smartTag w:uri="urn:schemas-microsoft-com:office:smarttags" w:element="PersonName">
        <w:smartTagPr>
          <w:attr w:name="ProductID" w:val="LA PLANIFICACION Y"/>
        </w:smartTagPr>
        <w:r>
          <w:rPr>
            <w:rFonts w:cs="Arial"/>
            <w:b/>
            <w:sz w:val="40"/>
            <w:szCs w:val="40"/>
          </w:rPr>
          <w:t>LA PLANIFICACION Y</w:t>
        </w:r>
      </w:smartTag>
      <w:r>
        <w:rPr>
          <w:rFonts w:cs="Arial"/>
          <w:b/>
          <w:sz w:val="40"/>
          <w:szCs w:val="40"/>
        </w:rPr>
        <w:t xml:space="preserve"> GESTION HIDROLOGICA </w:t>
      </w:r>
      <w:r w:rsidRPr="002E1EA2">
        <w:rPr>
          <w:rFonts w:cs="Arial"/>
          <w:b/>
          <w:sz w:val="40"/>
          <w:szCs w:val="40"/>
        </w:rPr>
        <w:t>DE CUENCAS</w:t>
      </w:r>
    </w:p>
    <w:p w:rsidR="007C24AD" w:rsidRDefault="007C24AD" w:rsidP="007C24AD">
      <w:pPr>
        <w:jc w:val="center"/>
        <w:rPr>
          <w:rFonts w:cs="Arial"/>
          <w:b/>
          <w:sz w:val="40"/>
          <w:szCs w:val="40"/>
        </w:rPr>
      </w:pPr>
    </w:p>
    <w:p w:rsidR="007C24AD" w:rsidRPr="002E1EA2" w:rsidRDefault="007C24AD" w:rsidP="007C24AD">
      <w:pPr>
        <w:spacing w:line="360" w:lineRule="auto"/>
        <w:jc w:val="center"/>
        <w:rPr>
          <w:rFonts w:cs="Arial"/>
          <w:sz w:val="40"/>
          <w:szCs w:val="40"/>
        </w:rPr>
      </w:pPr>
      <w:r w:rsidRPr="002E1EA2">
        <w:rPr>
          <w:rFonts w:cs="Arial"/>
          <w:b/>
          <w:sz w:val="40"/>
          <w:szCs w:val="40"/>
        </w:rPr>
        <w:t xml:space="preserve">VI </w:t>
      </w:r>
      <w:r>
        <w:rPr>
          <w:rFonts w:cs="Arial"/>
          <w:b/>
          <w:sz w:val="40"/>
          <w:szCs w:val="40"/>
        </w:rPr>
        <w:t>REGION</w:t>
      </w:r>
    </w:p>
    <w:p w:rsidR="007C24AD" w:rsidRDefault="007C24AD" w:rsidP="007C24AD">
      <w:pPr>
        <w:rPr>
          <w:rFonts w:cs="Arial"/>
          <w:szCs w:val="22"/>
        </w:rPr>
      </w:pPr>
    </w:p>
    <w:p w:rsidR="007C24AD" w:rsidRDefault="007C24AD" w:rsidP="007C24AD">
      <w:pPr>
        <w:rPr>
          <w:rFonts w:cs="Arial"/>
          <w:szCs w:val="22"/>
        </w:rPr>
      </w:pPr>
    </w:p>
    <w:p w:rsidR="007C24AD" w:rsidRDefault="007C24AD" w:rsidP="007C24AD">
      <w:pPr>
        <w:rPr>
          <w:rFonts w:cs="Arial"/>
          <w:szCs w:val="22"/>
        </w:rPr>
      </w:pPr>
    </w:p>
    <w:p w:rsidR="007C24AD" w:rsidRPr="000A582E" w:rsidRDefault="007C24AD" w:rsidP="007C24AD">
      <w:pPr>
        <w:rPr>
          <w:rFonts w:cs="Arial"/>
          <w:szCs w:val="22"/>
        </w:rPr>
      </w:pPr>
    </w:p>
    <w:p w:rsidR="007C24AD" w:rsidRPr="000A582E" w:rsidRDefault="007C24AD" w:rsidP="007C24AD">
      <w:pPr>
        <w:rPr>
          <w:rFonts w:cs="Arial"/>
          <w:szCs w:val="22"/>
        </w:rPr>
      </w:pPr>
    </w:p>
    <w:p w:rsidR="007C24AD" w:rsidRDefault="007C24AD" w:rsidP="007C24AD">
      <w:pPr>
        <w:rPr>
          <w:rFonts w:cs="Arial"/>
          <w:szCs w:val="22"/>
        </w:rPr>
      </w:pPr>
    </w:p>
    <w:p w:rsidR="007C24AD" w:rsidRDefault="007C24AD" w:rsidP="007C24AD">
      <w:pPr>
        <w:rPr>
          <w:rFonts w:cs="Arial"/>
          <w:szCs w:val="22"/>
        </w:rPr>
      </w:pPr>
    </w:p>
    <w:p w:rsidR="007C24AD" w:rsidRDefault="007C24AD" w:rsidP="007C24AD">
      <w:pPr>
        <w:rPr>
          <w:rFonts w:cs="Arial"/>
          <w:szCs w:val="22"/>
        </w:rPr>
      </w:pPr>
    </w:p>
    <w:p w:rsidR="007C24AD" w:rsidRPr="000A582E" w:rsidRDefault="007C24AD" w:rsidP="007C24AD">
      <w:pPr>
        <w:rPr>
          <w:rFonts w:cs="Arial"/>
          <w:szCs w:val="22"/>
        </w:rPr>
      </w:pPr>
    </w:p>
    <w:p w:rsidR="007C24AD" w:rsidRDefault="007C24AD" w:rsidP="007C24AD">
      <w:pPr>
        <w:rPr>
          <w:rFonts w:cs="Arial"/>
          <w:szCs w:val="22"/>
        </w:rPr>
      </w:pPr>
    </w:p>
    <w:p w:rsidR="007C24AD" w:rsidRPr="000A582E" w:rsidRDefault="007C24AD" w:rsidP="007C24AD">
      <w:pPr>
        <w:jc w:val="center"/>
        <w:rPr>
          <w:rFonts w:cs="Arial"/>
          <w:szCs w:val="22"/>
        </w:rPr>
      </w:pPr>
    </w:p>
    <w:p w:rsidR="007C24AD" w:rsidRPr="0049789F" w:rsidRDefault="007C24AD" w:rsidP="007C24AD">
      <w:pPr>
        <w:jc w:val="center"/>
        <w:rPr>
          <w:rFonts w:cs="Arial"/>
          <w:szCs w:val="22"/>
        </w:rPr>
      </w:pPr>
      <w:r>
        <w:rPr>
          <w:rFonts w:cs="Arial"/>
          <w:b/>
          <w:szCs w:val="22"/>
        </w:rPr>
        <w:t>DICIEMBRE</w:t>
      </w:r>
      <w:r w:rsidRPr="000A582E">
        <w:rPr>
          <w:rFonts w:cs="Arial"/>
          <w:b/>
          <w:szCs w:val="22"/>
        </w:rPr>
        <w:t xml:space="preserve"> 2012</w:t>
      </w:r>
    </w:p>
    <w:p w:rsidR="0059149E" w:rsidRPr="005252EA" w:rsidRDefault="0059149E" w:rsidP="00B51B51">
      <w:pPr>
        <w:widowControl w:val="0"/>
        <w:tabs>
          <w:tab w:val="center" w:pos="4844"/>
        </w:tabs>
        <w:spacing w:line="276" w:lineRule="auto"/>
        <w:contextualSpacing/>
        <w:jc w:val="center"/>
        <w:rPr>
          <w:rFonts w:cs="Arial"/>
        </w:rPr>
      </w:pPr>
      <w:r w:rsidRPr="005252EA">
        <w:rPr>
          <w:rFonts w:cs="Arial"/>
          <w:b/>
        </w:rPr>
        <w:br w:type="page"/>
      </w: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p w:rsidR="001F3D2B" w:rsidRPr="005252EA" w:rsidRDefault="001F3D2B" w:rsidP="00B51B51">
      <w:pPr>
        <w:widowControl w:val="0"/>
        <w:jc w:val="center"/>
        <w:rPr>
          <w:rFonts w:cs="Arial"/>
          <w:b/>
        </w:rPr>
      </w:pPr>
    </w:p>
    <w:p w:rsidR="001F3D2B" w:rsidRPr="005252EA" w:rsidRDefault="001F3D2B" w:rsidP="00B51B51">
      <w:pPr>
        <w:widowControl w:val="0"/>
        <w:jc w:val="center"/>
        <w:rPr>
          <w:rFonts w:cs="Arial"/>
          <w:b/>
        </w:rPr>
      </w:pPr>
    </w:p>
    <w:p w:rsidR="001F3D2B" w:rsidRPr="005252EA" w:rsidRDefault="001F3D2B" w:rsidP="00B51B51">
      <w:pPr>
        <w:widowControl w:val="0"/>
        <w:jc w:val="center"/>
        <w:rPr>
          <w:rFonts w:cs="Arial"/>
          <w:b/>
        </w:rPr>
      </w:pPr>
    </w:p>
    <w:p w:rsidR="001F3D2B" w:rsidRPr="005252EA" w:rsidRDefault="001F3D2B" w:rsidP="00B51B51">
      <w:pPr>
        <w:widowControl w:val="0"/>
        <w:jc w:val="center"/>
        <w:rPr>
          <w:rFonts w:cs="Arial"/>
          <w:b/>
        </w:rPr>
      </w:pPr>
    </w:p>
    <w:p w:rsidR="001F3D2B" w:rsidRPr="005252EA" w:rsidRDefault="001F3D2B" w:rsidP="00B51B51">
      <w:pPr>
        <w:widowControl w:val="0"/>
        <w:jc w:val="center"/>
        <w:rPr>
          <w:rFonts w:cs="Arial"/>
          <w:b/>
        </w:rPr>
      </w:pPr>
    </w:p>
    <w:p w:rsidR="00CE4408" w:rsidRPr="005252EA" w:rsidRDefault="00CE4408" w:rsidP="00B51B51">
      <w:pPr>
        <w:widowControl w:val="0"/>
        <w:jc w:val="center"/>
        <w:rPr>
          <w:rFonts w:cs="Arial"/>
          <w:b/>
          <w:sz w:val="32"/>
          <w:szCs w:val="32"/>
        </w:rPr>
      </w:pPr>
    </w:p>
    <w:p w:rsidR="00D47B2F" w:rsidRPr="00C624DE" w:rsidRDefault="00D47B2F" w:rsidP="00B51B51">
      <w:pPr>
        <w:widowControl w:val="0"/>
        <w:jc w:val="center"/>
        <w:rPr>
          <w:rFonts w:cs="Arial"/>
          <w:b/>
          <w:sz w:val="28"/>
          <w:szCs w:val="28"/>
        </w:rPr>
      </w:pPr>
      <w:r w:rsidRPr="00C624DE">
        <w:rPr>
          <w:rFonts w:cs="Arial"/>
          <w:b/>
          <w:sz w:val="28"/>
          <w:szCs w:val="28"/>
        </w:rPr>
        <w:t xml:space="preserve">INFORME </w:t>
      </w:r>
      <w:r>
        <w:rPr>
          <w:rFonts w:cs="Arial"/>
          <w:b/>
          <w:sz w:val="28"/>
          <w:szCs w:val="28"/>
        </w:rPr>
        <w:t>ETAPA 3</w:t>
      </w:r>
    </w:p>
    <w:p w:rsidR="00D47B2F" w:rsidRPr="00C624DE" w:rsidRDefault="00D47B2F" w:rsidP="00B51B51">
      <w:pPr>
        <w:widowControl w:val="0"/>
        <w:jc w:val="center"/>
        <w:rPr>
          <w:rFonts w:cs="Arial"/>
          <w:b/>
          <w:sz w:val="28"/>
          <w:szCs w:val="28"/>
        </w:rPr>
      </w:pPr>
    </w:p>
    <w:p w:rsidR="00D47B2F" w:rsidRDefault="00D47B2F" w:rsidP="00B51B51">
      <w:pPr>
        <w:widowControl w:val="0"/>
        <w:jc w:val="center"/>
        <w:rPr>
          <w:rFonts w:cs="Arial"/>
          <w:b/>
          <w:sz w:val="28"/>
          <w:szCs w:val="28"/>
        </w:rPr>
      </w:pPr>
      <w:r>
        <w:rPr>
          <w:rFonts w:cs="Arial"/>
          <w:b/>
          <w:sz w:val="28"/>
          <w:szCs w:val="28"/>
        </w:rPr>
        <w:t>BALANCE OFERTA – DEMANDA</w:t>
      </w:r>
    </w:p>
    <w:p w:rsidR="00D47B2F" w:rsidRDefault="00D47B2F" w:rsidP="00B51B51">
      <w:pPr>
        <w:widowControl w:val="0"/>
        <w:jc w:val="center"/>
        <w:rPr>
          <w:rFonts w:cs="Arial"/>
          <w:b/>
          <w:sz w:val="28"/>
          <w:szCs w:val="28"/>
        </w:rPr>
      </w:pPr>
      <w:r>
        <w:rPr>
          <w:rFonts w:cs="Arial"/>
          <w:b/>
          <w:sz w:val="28"/>
          <w:szCs w:val="28"/>
        </w:rPr>
        <w:t>PROPUESTAS DE SOLUCIONES, CONCLUSIONES</w:t>
      </w:r>
    </w:p>
    <w:p w:rsidR="00876170" w:rsidRPr="005252EA" w:rsidRDefault="00D47B2F" w:rsidP="00B51B51">
      <w:pPr>
        <w:widowControl w:val="0"/>
        <w:jc w:val="center"/>
        <w:rPr>
          <w:rFonts w:cs="Arial"/>
          <w:b/>
          <w:sz w:val="32"/>
          <w:szCs w:val="32"/>
        </w:rPr>
      </w:pPr>
      <w:r>
        <w:rPr>
          <w:rFonts w:cs="Arial"/>
          <w:b/>
          <w:sz w:val="28"/>
          <w:szCs w:val="28"/>
        </w:rPr>
        <w:t>E INFORME FINAL</w:t>
      </w:r>
    </w:p>
    <w:p w:rsidR="00CE4408" w:rsidRPr="005252EA" w:rsidRDefault="00CE4408" w:rsidP="00B51B51">
      <w:pPr>
        <w:widowControl w:val="0"/>
        <w:rPr>
          <w:rFonts w:cs="Arial"/>
          <w:szCs w:val="22"/>
        </w:rPr>
      </w:pPr>
    </w:p>
    <w:p w:rsidR="00CE4408" w:rsidRPr="005252EA" w:rsidRDefault="00CE4408" w:rsidP="00B51B51">
      <w:pPr>
        <w:widowControl w:val="0"/>
        <w:rPr>
          <w:rFonts w:cs="Arial"/>
          <w:szCs w:val="22"/>
        </w:rPr>
      </w:pPr>
    </w:p>
    <w:p w:rsidR="00CE4408" w:rsidRPr="005252EA" w:rsidRDefault="00CE4408" w:rsidP="00B51B51">
      <w:pPr>
        <w:widowControl w:val="0"/>
        <w:rPr>
          <w:rFonts w:cs="Arial"/>
          <w:szCs w:val="22"/>
        </w:rPr>
      </w:pPr>
    </w:p>
    <w:p w:rsidR="00CE4408" w:rsidRPr="005252EA" w:rsidRDefault="00CE4408" w:rsidP="00B51B51">
      <w:pPr>
        <w:widowControl w:val="0"/>
        <w:rPr>
          <w:rFonts w:cs="Arial"/>
          <w:szCs w:val="22"/>
        </w:rPr>
      </w:pPr>
    </w:p>
    <w:p w:rsidR="00CE4408" w:rsidRPr="005252EA" w:rsidRDefault="00CE4408" w:rsidP="00B51B51">
      <w:pPr>
        <w:widowControl w:val="0"/>
        <w:jc w:val="center"/>
        <w:rPr>
          <w:rFonts w:cs="Arial"/>
          <w:b/>
        </w:rPr>
      </w:pPr>
    </w:p>
    <w:p w:rsidR="00CE4408" w:rsidRPr="005252EA" w:rsidRDefault="00CE4408" w:rsidP="00B51B51">
      <w:pPr>
        <w:widowControl w:val="0"/>
        <w:jc w:val="center"/>
        <w:rPr>
          <w:rFonts w:cs="Arial"/>
          <w:b/>
        </w:rPr>
      </w:pPr>
    </w:p>
    <w:tbl>
      <w:tblPr>
        <w:tblW w:w="9544" w:type="dxa"/>
        <w:tblLayout w:type="fixed"/>
        <w:tblCellMar>
          <w:left w:w="70" w:type="dxa"/>
          <w:right w:w="70" w:type="dxa"/>
        </w:tblCellMar>
        <w:tblLook w:val="0000" w:firstRow="0" w:lastRow="0" w:firstColumn="0" w:lastColumn="0" w:noHBand="0" w:noVBand="0"/>
      </w:tblPr>
      <w:tblGrid>
        <w:gridCol w:w="970"/>
        <w:gridCol w:w="1620"/>
        <w:gridCol w:w="3060"/>
        <w:gridCol w:w="1764"/>
        <w:gridCol w:w="887"/>
        <w:gridCol w:w="1243"/>
      </w:tblGrid>
      <w:tr w:rsidR="00CE4408" w:rsidRPr="005252EA">
        <w:tblPrEx>
          <w:tblCellMar>
            <w:top w:w="0" w:type="dxa"/>
            <w:bottom w:w="0" w:type="dxa"/>
          </w:tblCellMar>
        </w:tblPrEx>
        <w:trPr>
          <w:trHeight w:val="255"/>
        </w:trPr>
        <w:tc>
          <w:tcPr>
            <w:tcW w:w="970" w:type="dxa"/>
            <w:tcBorders>
              <w:top w:val="single" w:sz="4" w:space="0" w:color="auto"/>
              <w:left w:val="single" w:sz="4" w:space="0" w:color="auto"/>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1620" w:type="dxa"/>
            <w:tcBorders>
              <w:top w:val="single" w:sz="4" w:space="0" w:color="auto"/>
              <w:left w:val="nil"/>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3060" w:type="dxa"/>
            <w:tcBorders>
              <w:top w:val="single" w:sz="4" w:space="0" w:color="auto"/>
              <w:left w:val="nil"/>
              <w:bottom w:val="single" w:sz="4" w:space="0" w:color="auto"/>
              <w:right w:val="single" w:sz="4" w:space="0" w:color="000000"/>
            </w:tcBorders>
            <w:vAlign w:val="center"/>
          </w:tcPr>
          <w:p w:rsidR="00CE4408" w:rsidRPr="005252EA" w:rsidRDefault="00CE4408" w:rsidP="00B51B51">
            <w:pPr>
              <w:widowControl w:val="0"/>
              <w:spacing w:before="120"/>
              <w:ind w:right="99"/>
              <w:jc w:val="center"/>
              <w:rPr>
                <w:rFonts w:cs="Arial"/>
                <w:sz w:val="20"/>
                <w:lang w:val="es-MX"/>
              </w:rPr>
            </w:pPr>
          </w:p>
        </w:tc>
        <w:tc>
          <w:tcPr>
            <w:tcW w:w="1764" w:type="dxa"/>
            <w:tcBorders>
              <w:top w:val="single" w:sz="4" w:space="0" w:color="auto"/>
              <w:left w:val="nil"/>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887" w:type="dxa"/>
            <w:tcBorders>
              <w:top w:val="single" w:sz="4" w:space="0" w:color="auto"/>
              <w:left w:val="nil"/>
              <w:bottom w:val="single" w:sz="4" w:space="0" w:color="auto"/>
              <w:right w:val="nil"/>
            </w:tcBorders>
            <w:vAlign w:val="center"/>
          </w:tcPr>
          <w:p w:rsidR="00CE4408" w:rsidRPr="005252EA" w:rsidRDefault="00CE4408" w:rsidP="00B51B51">
            <w:pPr>
              <w:widowControl w:val="0"/>
              <w:spacing w:before="120"/>
              <w:ind w:right="99"/>
              <w:jc w:val="center"/>
              <w:rPr>
                <w:rFonts w:cs="Arial"/>
                <w:sz w:val="20"/>
              </w:rPr>
            </w:pPr>
          </w:p>
        </w:tc>
        <w:tc>
          <w:tcPr>
            <w:tcW w:w="1243" w:type="dxa"/>
            <w:tcBorders>
              <w:top w:val="single" w:sz="4" w:space="0" w:color="auto"/>
              <w:left w:val="single" w:sz="4" w:space="0" w:color="auto"/>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rPr>
            </w:pPr>
          </w:p>
        </w:tc>
      </w:tr>
      <w:tr w:rsidR="00CE4408" w:rsidRPr="005252EA">
        <w:tblPrEx>
          <w:tblCellMar>
            <w:top w:w="0" w:type="dxa"/>
            <w:bottom w:w="0" w:type="dxa"/>
          </w:tblCellMar>
        </w:tblPrEx>
        <w:trPr>
          <w:trHeight w:val="255"/>
        </w:trPr>
        <w:tc>
          <w:tcPr>
            <w:tcW w:w="970" w:type="dxa"/>
            <w:tcBorders>
              <w:top w:val="single" w:sz="4" w:space="0" w:color="auto"/>
              <w:left w:val="single" w:sz="4" w:space="0" w:color="auto"/>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1620" w:type="dxa"/>
            <w:tcBorders>
              <w:top w:val="single" w:sz="4" w:space="0" w:color="auto"/>
              <w:left w:val="nil"/>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3060" w:type="dxa"/>
            <w:tcBorders>
              <w:top w:val="single" w:sz="4" w:space="0" w:color="auto"/>
              <w:left w:val="nil"/>
              <w:bottom w:val="single" w:sz="4" w:space="0" w:color="auto"/>
              <w:right w:val="single" w:sz="4" w:space="0" w:color="000000"/>
            </w:tcBorders>
            <w:vAlign w:val="center"/>
          </w:tcPr>
          <w:p w:rsidR="00CE4408" w:rsidRPr="005252EA" w:rsidRDefault="00CE4408" w:rsidP="00B51B51">
            <w:pPr>
              <w:widowControl w:val="0"/>
              <w:spacing w:before="120"/>
              <w:ind w:right="99"/>
              <w:jc w:val="center"/>
              <w:rPr>
                <w:rFonts w:cs="Arial"/>
                <w:sz w:val="20"/>
                <w:lang w:val="es-MX"/>
              </w:rPr>
            </w:pPr>
          </w:p>
        </w:tc>
        <w:tc>
          <w:tcPr>
            <w:tcW w:w="1764" w:type="dxa"/>
            <w:tcBorders>
              <w:top w:val="single" w:sz="4" w:space="0" w:color="auto"/>
              <w:left w:val="nil"/>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lang w:val="es-MX"/>
              </w:rPr>
            </w:pPr>
          </w:p>
        </w:tc>
        <w:tc>
          <w:tcPr>
            <w:tcW w:w="887" w:type="dxa"/>
            <w:tcBorders>
              <w:top w:val="single" w:sz="4" w:space="0" w:color="auto"/>
              <w:left w:val="nil"/>
              <w:bottom w:val="single" w:sz="4" w:space="0" w:color="auto"/>
              <w:right w:val="nil"/>
            </w:tcBorders>
            <w:vAlign w:val="center"/>
          </w:tcPr>
          <w:p w:rsidR="00CE4408" w:rsidRPr="005252EA" w:rsidRDefault="00CE4408" w:rsidP="00B51B51">
            <w:pPr>
              <w:widowControl w:val="0"/>
              <w:spacing w:before="120"/>
              <w:ind w:right="99"/>
              <w:jc w:val="center"/>
              <w:rPr>
                <w:rFonts w:cs="Arial"/>
                <w:sz w:val="20"/>
              </w:rPr>
            </w:pPr>
          </w:p>
        </w:tc>
        <w:tc>
          <w:tcPr>
            <w:tcW w:w="1243" w:type="dxa"/>
            <w:tcBorders>
              <w:top w:val="single" w:sz="4" w:space="0" w:color="auto"/>
              <w:left w:val="single" w:sz="4" w:space="0" w:color="auto"/>
              <w:bottom w:val="single" w:sz="4" w:space="0" w:color="auto"/>
              <w:right w:val="single" w:sz="4" w:space="0" w:color="auto"/>
            </w:tcBorders>
            <w:vAlign w:val="center"/>
          </w:tcPr>
          <w:p w:rsidR="00CE4408" w:rsidRPr="005252EA" w:rsidRDefault="00CE4408" w:rsidP="00B51B51">
            <w:pPr>
              <w:widowControl w:val="0"/>
              <w:spacing w:before="120"/>
              <w:ind w:right="99"/>
              <w:jc w:val="center"/>
              <w:rPr>
                <w:rFonts w:cs="Arial"/>
                <w:sz w:val="20"/>
              </w:rPr>
            </w:pPr>
          </w:p>
        </w:tc>
      </w:tr>
      <w:tr w:rsidR="00D66052" w:rsidRPr="005252EA">
        <w:tblPrEx>
          <w:tblCellMar>
            <w:top w:w="0" w:type="dxa"/>
            <w:bottom w:w="0" w:type="dxa"/>
          </w:tblCellMar>
        </w:tblPrEx>
        <w:trPr>
          <w:trHeight w:val="255"/>
        </w:trPr>
        <w:tc>
          <w:tcPr>
            <w:tcW w:w="970" w:type="dxa"/>
            <w:tcBorders>
              <w:top w:val="single" w:sz="4" w:space="0" w:color="auto"/>
              <w:left w:val="single" w:sz="4" w:space="0" w:color="auto"/>
              <w:bottom w:val="single" w:sz="4" w:space="0" w:color="auto"/>
              <w:right w:val="single" w:sz="4" w:space="0" w:color="auto"/>
            </w:tcBorders>
            <w:vAlign w:val="center"/>
          </w:tcPr>
          <w:p w:rsidR="00D66052" w:rsidRPr="005252EA" w:rsidRDefault="00D66052" w:rsidP="001D6285">
            <w:pPr>
              <w:widowControl w:val="0"/>
              <w:spacing w:before="120"/>
              <w:ind w:right="96"/>
              <w:jc w:val="center"/>
              <w:rPr>
                <w:rFonts w:cs="Arial"/>
                <w:sz w:val="20"/>
                <w:lang w:val="es-MX"/>
              </w:rPr>
            </w:pPr>
            <w:r>
              <w:rPr>
                <w:rFonts w:cs="Arial"/>
                <w:sz w:val="20"/>
                <w:lang w:val="es-MX"/>
              </w:rPr>
              <w:t>C</w:t>
            </w:r>
          </w:p>
        </w:tc>
        <w:tc>
          <w:tcPr>
            <w:tcW w:w="1620" w:type="dxa"/>
            <w:tcBorders>
              <w:top w:val="single" w:sz="4" w:space="0" w:color="auto"/>
              <w:left w:val="nil"/>
              <w:bottom w:val="single" w:sz="4" w:space="0" w:color="auto"/>
              <w:right w:val="single" w:sz="4" w:space="0" w:color="auto"/>
            </w:tcBorders>
            <w:vAlign w:val="center"/>
          </w:tcPr>
          <w:p w:rsidR="00D66052" w:rsidRPr="005252EA" w:rsidRDefault="00D66052" w:rsidP="001D6285">
            <w:pPr>
              <w:widowControl w:val="0"/>
              <w:spacing w:before="120"/>
              <w:ind w:right="96"/>
              <w:jc w:val="center"/>
              <w:rPr>
                <w:rFonts w:cs="Arial"/>
                <w:sz w:val="20"/>
                <w:lang w:val="es-MX"/>
              </w:rPr>
            </w:pPr>
            <w:r>
              <w:rPr>
                <w:rFonts w:cs="Arial"/>
                <w:sz w:val="20"/>
                <w:lang w:val="es-MX"/>
              </w:rPr>
              <w:t>26</w:t>
            </w:r>
            <w:r w:rsidRPr="005252EA">
              <w:rPr>
                <w:rFonts w:cs="Arial"/>
                <w:sz w:val="20"/>
                <w:lang w:val="es-MX"/>
              </w:rPr>
              <w:t>-</w:t>
            </w:r>
            <w:r>
              <w:rPr>
                <w:rFonts w:cs="Arial"/>
                <w:sz w:val="20"/>
                <w:lang w:val="es-MX"/>
              </w:rPr>
              <w:t>12</w:t>
            </w:r>
            <w:r w:rsidRPr="005252EA">
              <w:rPr>
                <w:rFonts w:cs="Arial"/>
                <w:sz w:val="20"/>
                <w:lang w:val="es-MX"/>
              </w:rPr>
              <w:t>-2012</w:t>
            </w:r>
          </w:p>
        </w:tc>
        <w:tc>
          <w:tcPr>
            <w:tcW w:w="3060" w:type="dxa"/>
            <w:tcBorders>
              <w:top w:val="single" w:sz="4" w:space="0" w:color="auto"/>
              <w:left w:val="nil"/>
              <w:bottom w:val="single" w:sz="4" w:space="0" w:color="auto"/>
              <w:right w:val="single" w:sz="4" w:space="0" w:color="000000"/>
            </w:tcBorders>
            <w:vAlign w:val="center"/>
          </w:tcPr>
          <w:p w:rsidR="00D66052" w:rsidRPr="005252EA" w:rsidRDefault="00D66052" w:rsidP="001D6285">
            <w:pPr>
              <w:widowControl w:val="0"/>
              <w:spacing w:before="120"/>
              <w:ind w:right="96"/>
              <w:jc w:val="center"/>
              <w:rPr>
                <w:rFonts w:cs="Arial"/>
                <w:sz w:val="20"/>
                <w:lang w:val="es-MX"/>
              </w:rPr>
            </w:pPr>
            <w:r w:rsidRPr="005252EA">
              <w:rPr>
                <w:rFonts w:cs="Arial"/>
                <w:sz w:val="20"/>
                <w:lang w:val="es-MX"/>
              </w:rPr>
              <w:t xml:space="preserve">Para </w:t>
            </w:r>
            <w:r>
              <w:rPr>
                <w:rFonts w:cs="Arial"/>
                <w:sz w:val="20"/>
                <w:lang w:val="es-MX"/>
              </w:rPr>
              <w:t>Emisión</w:t>
            </w:r>
          </w:p>
        </w:tc>
        <w:tc>
          <w:tcPr>
            <w:tcW w:w="1764" w:type="dxa"/>
            <w:tcBorders>
              <w:top w:val="single" w:sz="4" w:space="0" w:color="auto"/>
              <w:left w:val="nil"/>
              <w:bottom w:val="single" w:sz="4" w:space="0" w:color="auto"/>
              <w:right w:val="single" w:sz="4" w:space="0" w:color="auto"/>
            </w:tcBorders>
            <w:vAlign w:val="center"/>
          </w:tcPr>
          <w:p w:rsidR="00D66052" w:rsidRPr="005252EA" w:rsidRDefault="00D66052" w:rsidP="001D6285">
            <w:pPr>
              <w:widowControl w:val="0"/>
              <w:spacing w:before="120"/>
              <w:ind w:right="96"/>
              <w:jc w:val="center"/>
              <w:rPr>
                <w:rFonts w:cs="Arial"/>
                <w:sz w:val="20"/>
                <w:lang w:val="es-MX"/>
              </w:rPr>
            </w:pPr>
            <w:r w:rsidRPr="005252EA">
              <w:rPr>
                <w:rFonts w:cs="Arial"/>
                <w:sz w:val="20"/>
                <w:lang w:val="es-MX"/>
              </w:rPr>
              <w:t>PM-JV-GC-VL</w:t>
            </w:r>
          </w:p>
        </w:tc>
        <w:tc>
          <w:tcPr>
            <w:tcW w:w="887" w:type="dxa"/>
            <w:tcBorders>
              <w:top w:val="single" w:sz="4" w:space="0" w:color="auto"/>
              <w:left w:val="nil"/>
              <w:bottom w:val="single" w:sz="4" w:space="0" w:color="auto"/>
              <w:right w:val="nil"/>
            </w:tcBorders>
            <w:vAlign w:val="center"/>
          </w:tcPr>
          <w:p w:rsidR="00D66052" w:rsidRPr="005252EA" w:rsidRDefault="00D66052" w:rsidP="001D6285">
            <w:pPr>
              <w:widowControl w:val="0"/>
              <w:spacing w:before="120"/>
              <w:ind w:right="96"/>
              <w:jc w:val="center"/>
              <w:rPr>
                <w:rFonts w:cs="Arial"/>
                <w:sz w:val="20"/>
                <w:lang w:val="en-US"/>
              </w:rPr>
            </w:pPr>
            <w:r w:rsidRPr="005252EA">
              <w:rPr>
                <w:rFonts w:cs="Arial"/>
                <w:sz w:val="20"/>
                <w:lang w:val="en-US"/>
              </w:rPr>
              <w:t>GC-VL</w:t>
            </w:r>
          </w:p>
        </w:tc>
        <w:tc>
          <w:tcPr>
            <w:tcW w:w="1243" w:type="dxa"/>
            <w:tcBorders>
              <w:top w:val="single" w:sz="4" w:space="0" w:color="auto"/>
              <w:left w:val="single" w:sz="4" w:space="0" w:color="auto"/>
              <w:bottom w:val="single" w:sz="4" w:space="0" w:color="auto"/>
              <w:right w:val="single" w:sz="4" w:space="0" w:color="auto"/>
            </w:tcBorders>
            <w:vAlign w:val="center"/>
          </w:tcPr>
          <w:p w:rsidR="00D66052" w:rsidRPr="005252EA" w:rsidRDefault="00D66052" w:rsidP="001D6285">
            <w:pPr>
              <w:widowControl w:val="0"/>
              <w:spacing w:before="120"/>
              <w:ind w:right="96"/>
              <w:jc w:val="center"/>
              <w:rPr>
                <w:rFonts w:cs="Arial"/>
                <w:sz w:val="20"/>
                <w:lang w:val="en-US"/>
              </w:rPr>
            </w:pPr>
            <w:r w:rsidRPr="005252EA">
              <w:rPr>
                <w:rFonts w:cs="Arial"/>
                <w:sz w:val="20"/>
                <w:lang w:val="en-US"/>
              </w:rPr>
              <w:t>EM</w:t>
            </w:r>
          </w:p>
        </w:tc>
      </w:tr>
      <w:tr w:rsidR="00F82284" w:rsidRPr="005252EA">
        <w:tblPrEx>
          <w:tblCellMar>
            <w:top w:w="0" w:type="dxa"/>
            <w:bottom w:w="0" w:type="dxa"/>
          </w:tblCellMar>
        </w:tblPrEx>
        <w:trPr>
          <w:trHeight w:val="255"/>
        </w:trPr>
        <w:tc>
          <w:tcPr>
            <w:tcW w:w="970" w:type="dxa"/>
            <w:tcBorders>
              <w:top w:val="nil"/>
              <w:left w:val="single" w:sz="4" w:space="0" w:color="auto"/>
              <w:bottom w:val="single" w:sz="4" w:space="0" w:color="auto"/>
              <w:right w:val="single" w:sz="4" w:space="0" w:color="auto"/>
            </w:tcBorders>
            <w:vAlign w:val="center"/>
          </w:tcPr>
          <w:p w:rsidR="00F82284" w:rsidRPr="005252EA" w:rsidRDefault="00F82284" w:rsidP="00001434">
            <w:pPr>
              <w:widowControl w:val="0"/>
              <w:spacing w:before="120"/>
              <w:ind w:right="96"/>
              <w:jc w:val="center"/>
              <w:rPr>
                <w:rFonts w:cs="Arial"/>
                <w:sz w:val="20"/>
                <w:lang w:val="es-MX"/>
              </w:rPr>
            </w:pPr>
            <w:r>
              <w:rPr>
                <w:rFonts w:cs="Arial"/>
                <w:sz w:val="20"/>
                <w:lang w:val="es-MX"/>
              </w:rPr>
              <w:t>B</w:t>
            </w:r>
          </w:p>
        </w:tc>
        <w:tc>
          <w:tcPr>
            <w:tcW w:w="1620" w:type="dxa"/>
            <w:tcBorders>
              <w:top w:val="nil"/>
              <w:left w:val="nil"/>
              <w:bottom w:val="single" w:sz="4" w:space="0" w:color="auto"/>
              <w:right w:val="single" w:sz="4" w:space="0" w:color="auto"/>
            </w:tcBorders>
            <w:vAlign w:val="center"/>
          </w:tcPr>
          <w:p w:rsidR="00F82284" w:rsidRPr="005252EA" w:rsidRDefault="007C1DAA" w:rsidP="00001434">
            <w:pPr>
              <w:widowControl w:val="0"/>
              <w:spacing w:before="120"/>
              <w:ind w:right="96"/>
              <w:jc w:val="center"/>
              <w:rPr>
                <w:rFonts w:cs="Arial"/>
                <w:sz w:val="20"/>
                <w:lang w:val="es-MX"/>
              </w:rPr>
            </w:pPr>
            <w:r>
              <w:rPr>
                <w:rFonts w:cs="Arial"/>
                <w:sz w:val="20"/>
                <w:lang w:val="es-MX"/>
              </w:rPr>
              <w:t>30</w:t>
            </w:r>
            <w:r w:rsidR="00F82284" w:rsidRPr="005252EA">
              <w:rPr>
                <w:rFonts w:cs="Arial"/>
                <w:sz w:val="20"/>
                <w:lang w:val="es-MX"/>
              </w:rPr>
              <w:t>-</w:t>
            </w:r>
            <w:r w:rsidR="00F82284">
              <w:rPr>
                <w:rFonts w:cs="Arial"/>
                <w:sz w:val="20"/>
                <w:lang w:val="es-MX"/>
              </w:rPr>
              <w:t>1</w:t>
            </w:r>
            <w:r>
              <w:rPr>
                <w:rFonts w:cs="Arial"/>
                <w:sz w:val="20"/>
                <w:lang w:val="es-MX"/>
              </w:rPr>
              <w:t>1</w:t>
            </w:r>
            <w:r w:rsidR="00F82284" w:rsidRPr="005252EA">
              <w:rPr>
                <w:rFonts w:cs="Arial"/>
                <w:sz w:val="20"/>
                <w:lang w:val="es-MX"/>
              </w:rPr>
              <w:t>-2012</w:t>
            </w:r>
          </w:p>
        </w:tc>
        <w:tc>
          <w:tcPr>
            <w:tcW w:w="3060" w:type="dxa"/>
            <w:tcBorders>
              <w:top w:val="single" w:sz="4" w:space="0" w:color="auto"/>
              <w:left w:val="nil"/>
              <w:bottom w:val="single" w:sz="4" w:space="0" w:color="auto"/>
              <w:right w:val="single" w:sz="4" w:space="0" w:color="000000"/>
            </w:tcBorders>
            <w:vAlign w:val="center"/>
          </w:tcPr>
          <w:p w:rsidR="00F82284" w:rsidRPr="005252EA" w:rsidRDefault="00F82284" w:rsidP="00001434">
            <w:pPr>
              <w:widowControl w:val="0"/>
              <w:spacing w:before="120"/>
              <w:ind w:right="96"/>
              <w:jc w:val="center"/>
              <w:rPr>
                <w:rFonts w:cs="Arial"/>
                <w:sz w:val="20"/>
                <w:lang w:val="es-MX"/>
              </w:rPr>
            </w:pPr>
            <w:r w:rsidRPr="005252EA">
              <w:rPr>
                <w:rFonts w:cs="Arial"/>
                <w:sz w:val="20"/>
                <w:lang w:val="es-MX"/>
              </w:rPr>
              <w:t xml:space="preserve">Para </w:t>
            </w:r>
            <w:r>
              <w:rPr>
                <w:rFonts w:cs="Arial"/>
                <w:sz w:val="20"/>
                <w:lang w:val="es-MX"/>
              </w:rPr>
              <w:t>Emisión</w:t>
            </w:r>
          </w:p>
        </w:tc>
        <w:tc>
          <w:tcPr>
            <w:tcW w:w="1764" w:type="dxa"/>
            <w:tcBorders>
              <w:top w:val="nil"/>
              <w:left w:val="nil"/>
              <w:bottom w:val="single" w:sz="4" w:space="0" w:color="auto"/>
              <w:right w:val="single" w:sz="4" w:space="0" w:color="auto"/>
            </w:tcBorders>
            <w:vAlign w:val="center"/>
          </w:tcPr>
          <w:p w:rsidR="00F82284" w:rsidRPr="005252EA" w:rsidRDefault="00F82284" w:rsidP="00001434">
            <w:pPr>
              <w:widowControl w:val="0"/>
              <w:spacing w:before="120"/>
              <w:ind w:right="96"/>
              <w:jc w:val="center"/>
              <w:rPr>
                <w:rFonts w:cs="Arial"/>
                <w:sz w:val="20"/>
                <w:lang w:val="es-MX"/>
              </w:rPr>
            </w:pPr>
            <w:r w:rsidRPr="005252EA">
              <w:rPr>
                <w:rFonts w:cs="Arial"/>
                <w:sz w:val="20"/>
                <w:lang w:val="es-MX"/>
              </w:rPr>
              <w:t>PM-JV-GC-VL</w:t>
            </w:r>
          </w:p>
        </w:tc>
        <w:tc>
          <w:tcPr>
            <w:tcW w:w="887" w:type="dxa"/>
            <w:tcBorders>
              <w:top w:val="nil"/>
              <w:left w:val="nil"/>
              <w:bottom w:val="single" w:sz="4" w:space="0" w:color="auto"/>
              <w:right w:val="nil"/>
            </w:tcBorders>
            <w:vAlign w:val="center"/>
          </w:tcPr>
          <w:p w:rsidR="00F82284" w:rsidRPr="005252EA" w:rsidRDefault="00F82284" w:rsidP="00001434">
            <w:pPr>
              <w:widowControl w:val="0"/>
              <w:spacing w:before="120"/>
              <w:ind w:right="96"/>
              <w:jc w:val="center"/>
              <w:rPr>
                <w:rFonts w:cs="Arial"/>
                <w:sz w:val="20"/>
                <w:lang w:val="en-US"/>
              </w:rPr>
            </w:pPr>
            <w:r w:rsidRPr="005252EA">
              <w:rPr>
                <w:rFonts w:cs="Arial"/>
                <w:sz w:val="20"/>
                <w:lang w:val="en-US"/>
              </w:rPr>
              <w:t>GC-VL</w:t>
            </w:r>
          </w:p>
        </w:tc>
        <w:tc>
          <w:tcPr>
            <w:tcW w:w="1243" w:type="dxa"/>
            <w:tcBorders>
              <w:top w:val="nil"/>
              <w:left w:val="single" w:sz="4" w:space="0" w:color="auto"/>
              <w:bottom w:val="single" w:sz="4" w:space="0" w:color="auto"/>
              <w:right w:val="single" w:sz="4" w:space="0" w:color="auto"/>
            </w:tcBorders>
            <w:vAlign w:val="center"/>
          </w:tcPr>
          <w:p w:rsidR="00F82284" w:rsidRPr="005252EA" w:rsidRDefault="00F82284" w:rsidP="00001434">
            <w:pPr>
              <w:widowControl w:val="0"/>
              <w:spacing w:before="120"/>
              <w:ind w:right="96"/>
              <w:jc w:val="center"/>
              <w:rPr>
                <w:rFonts w:cs="Arial"/>
                <w:sz w:val="20"/>
                <w:lang w:val="en-US"/>
              </w:rPr>
            </w:pPr>
            <w:r w:rsidRPr="005252EA">
              <w:rPr>
                <w:rFonts w:cs="Arial"/>
                <w:sz w:val="20"/>
                <w:lang w:val="en-US"/>
              </w:rPr>
              <w:t>EM</w:t>
            </w:r>
          </w:p>
        </w:tc>
      </w:tr>
      <w:tr w:rsidR="00E25073" w:rsidRPr="005252EA">
        <w:tblPrEx>
          <w:tblCellMar>
            <w:top w:w="0" w:type="dxa"/>
            <w:bottom w:w="0" w:type="dxa"/>
          </w:tblCellMar>
        </w:tblPrEx>
        <w:trPr>
          <w:trHeight w:val="255"/>
        </w:trPr>
        <w:tc>
          <w:tcPr>
            <w:tcW w:w="970" w:type="dxa"/>
            <w:tcBorders>
              <w:top w:val="nil"/>
              <w:left w:val="single" w:sz="4" w:space="0" w:color="auto"/>
              <w:bottom w:val="single" w:sz="4" w:space="0" w:color="auto"/>
              <w:right w:val="single" w:sz="4" w:space="0" w:color="auto"/>
            </w:tcBorders>
            <w:vAlign w:val="center"/>
          </w:tcPr>
          <w:p w:rsidR="00E25073" w:rsidRPr="005252EA" w:rsidRDefault="00E25073" w:rsidP="00B51B51">
            <w:pPr>
              <w:widowControl w:val="0"/>
              <w:spacing w:before="120"/>
              <w:ind w:right="96"/>
              <w:jc w:val="center"/>
              <w:rPr>
                <w:rFonts w:cs="Arial"/>
                <w:sz w:val="20"/>
                <w:lang w:val="es-MX"/>
              </w:rPr>
            </w:pPr>
            <w:r w:rsidRPr="005252EA">
              <w:rPr>
                <w:rFonts w:cs="Arial"/>
                <w:sz w:val="20"/>
                <w:lang w:val="es-MX"/>
              </w:rPr>
              <w:t>A</w:t>
            </w:r>
          </w:p>
        </w:tc>
        <w:tc>
          <w:tcPr>
            <w:tcW w:w="1620" w:type="dxa"/>
            <w:tcBorders>
              <w:top w:val="nil"/>
              <w:left w:val="nil"/>
              <w:bottom w:val="single" w:sz="4" w:space="0" w:color="auto"/>
              <w:right w:val="single" w:sz="4" w:space="0" w:color="auto"/>
            </w:tcBorders>
            <w:vAlign w:val="center"/>
          </w:tcPr>
          <w:p w:rsidR="00E25073" w:rsidRPr="005252EA" w:rsidRDefault="00F82284" w:rsidP="00B51B51">
            <w:pPr>
              <w:widowControl w:val="0"/>
              <w:spacing w:before="120"/>
              <w:ind w:right="96"/>
              <w:jc w:val="center"/>
              <w:rPr>
                <w:rFonts w:cs="Arial"/>
                <w:sz w:val="20"/>
                <w:lang w:val="es-MX"/>
              </w:rPr>
            </w:pPr>
            <w:r>
              <w:rPr>
                <w:rFonts w:cs="Arial"/>
                <w:sz w:val="20"/>
                <w:lang w:val="es-MX"/>
              </w:rPr>
              <w:t>2</w:t>
            </w:r>
            <w:r w:rsidR="00E25073" w:rsidRPr="005252EA">
              <w:rPr>
                <w:rFonts w:cs="Arial"/>
                <w:sz w:val="20"/>
                <w:lang w:val="es-MX"/>
              </w:rPr>
              <w:t>1-</w:t>
            </w:r>
            <w:r w:rsidR="00E25073">
              <w:rPr>
                <w:rFonts w:cs="Arial"/>
                <w:sz w:val="20"/>
                <w:lang w:val="es-MX"/>
              </w:rPr>
              <w:t>1</w:t>
            </w:r>
            <w:r>
              <w:rPr>
                <w:rFonts w:cs="Arial"/>
                <w:sz w:val="20"/>
                <w:lang w:val="es-MX"/>
              </w:rPr>
              <w:t>1</w:t>
            </w:r>
            <w:r w:rsidR="00E25073" w:rsidRPr="005252EA">
              <w:rPr>
                <w:rFonts w:cs="Arial"/>
                <w:sz w:val="20"/>
                <w:lang w:val="es-MX"/>
              </w:rPr>
              <w:t>-2012</w:t>
            </w:r>
          </w:p>
        </w:tc>
        <w:tc>
          <w:tcPr>
            <w:tcW w:w="3060" w:type="dxa"/>
            <w:tcBorders>
              <w:top w:val="single" w:sz="4" w:space="0" w:color="auto"/>
              <w:left w:val="nil"/>
              <w:bottom w:val="single" w:sz="4" w:space="0" w:color="auto"/>
              <w:right w:val="single" w:sz="4" w:space="0" w:color="000000"/>
            </w:tcBorders>
            <w:vAlign w:val="center"/>
          </w:tcPr>
          <w:p w:rsidR="00E25073" w:rsidRPr="005252EA" w:rsidRDefault="00E25073" w:rsidP="00B51B51">
            <w:pPr>
              <w:widowControl w:val="0"/>
              <w:spacing w:before="120"/>
              <w:ind w:right="96"/>
              <w:jc w:val="center"/>
              <w:rPr>
                <w:rFonts w:cs="Arial"/>
                <w:sz w:val="20"/>
                <w:lang w:val="es-MX"/>
              </w:rPr>
            </w:pPr>
            <w:r w:rsidRPr="005252EA">
              <w:rPr>
                <w:rFonts w:cs="Arial"/>
                <w:sz w:val="20"/>
                <w:lang w:val="es-MX"/>
              </w:rPr>
              <w:t>Para Revisión Interna</w:t>
            </w:r>
          </w:p>
        </w:tc>
        <w:tc>
          <w:tcPr>
            <w:tcW w:w="1764" w:type="dxa"/>
            <w:tcBorders>
              <w:top w:val="nil"/>
              <w:left w:val="nil"/>
              <w:bottom w:val="single" w:sz="4" w:space="0" w:color="auto"/>
              <w:right w:val="single" w:sz="4" w:space="0" w:color="auto"/>
            </w:tcBorders>
            <w:vAlign w:val="center"/>
          </w:tcPr>
          <w:p w:rsidR="00E25073" w:rsidRPr="005252EA" w:rsidRDefault="00E25073" w:rsidP="00B51B51">
            <w:pPr>
              <w:widowControl w:val="0"/>
              <w:spacing w:before="120"/>
              <w:ind w:right="96"/>
              <w:jc w:val="center"/>
              <w:rPr>
                <w:rFonts w:cs="Arial"/>
                <w:sz w:val="20"/>
                <w:lang w:val="es-MX"/>
              </w:rPr>
            </w:pPr>
            <w:r w:rsidRPr="005252EA">
              <w:rPr>
                <w:rFonts w:cs="Arial"/>
                <w:sz w:val="20"/>
                <w:lang w:val="es-MX"/>
              </w:rPr>
              <w:t>PM-JV-GC-VL</w:t>
            </w:r>
          </w:p>
        </w:tc>
        <w:tc>
          <w:tcPr>
            <w:tcW w:w="887" w:type="dxa"/>
            <w:tcBorders>
              <w:top w:val="nil"/>
              <w:left w:val="nil"/>
              <w:bottom w:val="single" w:sz="4" w:space="0" w:color="auto"/>
              <w:right w:val="nil"/>
            </w:tcBorders>
            <w:vAlign w:val="center"/>
          </w:tcPr>
          <w:p w:rsidR="00E25073" w:rsidRPr="005252EA" w:rsidRDefault="00E25073" w:rsidP="00B51B51">
            <w:pPr>
              <w:widowControl w:val="0"/>
              <w:spacing w:before="120"/>
              <w:ind w:right="96"/>
              <w:jc w:val="center"/>
              <w:rPr>
                <w:rFonts w:cs="Arial"/>
                <w:sz w:val="20"/>
                <w:lang w:val="en-US"/>
              </w:rPr>
            </w:pPr>
            <w:r w:rsidRPr="005252EA">
              <w:rPr>
                <w:rFonts w:cs="Arial"/>
                <w:sz w:val="20"/>
                <w:lang w:val="en-US"/>
              </w:rPr>
              <w:t>GC-VL</w:t>
            </w:r>
          </w:p>
        </w:tc>
        <w:tc>
          <w:tcPr>
            <w:tcW w:w="1243" w:type="dxa"/>
            <w:tcBorders>
              <w:top w:val="nil"/>
              <w:left w:val="single" w:sz="4" w:space="0" w:color="auto"/>
              <w:bottom w:val="single" w:sz="4" w:space="0" w:color="auto"/>
              <w:right w:val="single" w:sz="4" w:space="0" w:color="auto"/>
            </w:tcBorders>
            <w:vAlign w:val="center"/>
          </w:tcPr>
          <w:p w:rsidR="00E25073" w:rsidRPr="005252EA" w:rsidRDefault="00E25073" w:rsidP="00B51B51">
            <w:pPr>
              <w:widowControl w:val="0"/>
              <w:spacing w:before="120"/>
              <w:ind w:right="96"/>
              <w:jc w:val="center"/>
              <w:rPr>
                <w:rFonts w:cs="Arial"/>
                <w:sz w:val="20"/>
                <w:lang w:val="en-US"/>
              </w:rPr>
            </w:pPr>
            <w:r w:rsidRPr="005252EA">
              <w:rPr>
                <w:rFonts w:cs="Arial"/>
                <w:sz w:val="20"/>
                <w:lang w:val="en-US"/>
              </w:rPr>
              <w:t>EM</w:t>
            </w:r>
          </w:p>
        </w:tc>
      </w:tr>
      <w:tr w:rsidR="00E25073" w:rsidRPr="005252EA">
        <w:tblPrEx>
          <w:tblCellMar>
            <w:top w:w="0" w:type="dxa"/>
            <w:bottom w:w="0" w:type="dxa"/>
          </w:tblCellMar>
        </w:tblPrEx>
        <w:trPr>
          <w:cantSplit/>
          <w:trHeight w:val="481"/>
        </w:trPr>
        <w:tc>
          <w:tcPr>
            <w:tcW w:w="970" w:type="dxa"/>
            <w:vMerge w:val="restart"/>
            <w:tcBorders>
              <w:top w:val="nil"/>
              <w:left w:val="single" w:sz="4" w:space="0" w:color="auto"/>
              <w:bottom w:val="single" w:sz="4" w:space="0" w:color="000000"/>
              <w:right w:val="single" w:sz="4" w:space="0" w:color="auto"/>
            </w:tcBorders>
            <w:vAlign w:val="center"/>
          </w:tcPr>
          <w:p w:rsidR="00E25073" w:rsidRPr="005252EA" w:rsidRDefault="00E25073" w:rsidP="00B51B51">
            <w:pPr>
              <w:widowControl w:val="0"/>
              <w:jc w:val="center"/>
              <w:rPr>
                <w:rFonts w:cs="Arial"/>
                <w:sz w:val="20"/>
                <w:lang w:val="en-US"/>
              </w:rPr>
            </w:pPr>
            <w:r w:rsidRPr="005252EA">
              <w:rPr>
                <w:rFonts w:cs="Arial"/>
                <w:sz w:val="20"/>
                <w:lang w:val="en-US"/>
              </w:rPr>
              <w:t>Versión</w:t>
            </w:r>
          </w:p>
        </w:tc>
        <w:tc>
          <w:tcPr>
            <w:tcW w:w="1620" w:type="dxa"/>
            <w:vMerge w:val="restart"/>
            <w:tcBorders>
              <w:top w:val="nil"/>
              <w:left w:val="single" w:sz="4" w:space="0" w:color="auto"/>
              <w:bottom w:val="single" w:sz="4" w:space="0" w:color="000000"/>
              <w:right w:val="single" w:sz="4" w:space="0" w:color="auto"/>
            </w:tcBorders>
            <w:vAlign w:val="center"/>
          </w:tcPr>
          <w:p w:rsidR="00E25073" w:rsidRPr="005252EA" w:rsidRDefault="00E25073" w:rsidP="00B51B51">
            <w:pPr>
              <w:pStyle w:val="Encabezado"/>
              <w:widowControl w:val="0"/>
              <w:jc w:val="center"/>
              <w:rPr>
                <w:rFonts w:cs="Arial"/>
                <w:sz w:val="20"/>
                <w:lang w:val="es-MX" w:eastAsia="es-CL"/>
              </w:rPr>
            </w:pPr>
            <w:r w:rsidRPr="005252EA">
              <w:rPr>
                <w:rFonts w:cs="Arial"/>
                <w:sz w:val="20"/>
                <w:lang w:val="es-MX" w:eastAsia="es-CL"/>
              </w:rPr>
              <w:t>Fecha</w:t>
            </w:r>
          </w:p>
        </w:tc>
        <w:tc>
          <w:tcPr>
            <w:tcW w:w="3060" w:type="dxa"/>
            <w:vMerge w:val="restart"/>
            <w:tcBorders>
              <w:top w:val="single" w:sz="4" w:space="0" w:color="auto"/>
              <w:left w:val="single" w:sz="4" w:space="0" w:color="auto"/>
              <w:bottom w:val="nil"/>
              <w:right w:val="single" w:sz="4" w:space="0" w:color="000000"/>
            </w:tcBorders>
            <w:vAlign w:val="center"/>
          </w:tcPr>
          <w:p w:rsidR="00E25073" w:rsidRPr="005252EA" w:rsidRDefault="00E25073" w:rsidP="00B51B51">
            <w:pPr>
              <w:widowControl w:val="0"/>
              <w:jc w:val="center"/>
              <w:rPr>
                <w:rFonts w:cs="Arial"/>
                <w:sz w:val="20"/>
                <w:lang w:val="es-MX"/>
              </w:rPr>
            </w:pPr>
            <w:r w:rsidRPr="005252EA">
              <w:rPr>
                <w:rFonts w:cs="Arial"/>
                <w:sz w:val="20"/>
                <w:lang w:val="es-MX"/>
              </w:rPr>
              <w:t>Revisión</w:t>
            </w:r>
          </w:p>
        </w:tc>
        <w:tc>
          <w:tcPr>
            <w:tcW w:w="1764" w:type="dxa"/>
            <w:vMerge w:val="restart"/>
            <w:tcBorders>
              <w:top w:val="nil"/>
              <w:left w:val="single" w:sz="4" w:space="0" w:color="auto"/>
              <w:bottom w:val="nil"/>
              <w:right w:val="single" w:sz="4" w:space="0" w:color="auto"/>
            </w:tcBorders>
            <w:vAlign w:val="center"/>
          </w:tcPr>
          <w:p w:rsidR="00E25073" w:rsidRPr="005252EA" w:rsidRDefault="00E25073" w:rsidP="00B51B51">
            <w:pPr>
              <w:widowControl w:val="0"/>
              <w:jc w:val="center"/>
              <w:rPr>
                <w:rFonts w:cs="Arial"/>
                <w:sz w:val="20"/>
                <w:lang w:val="es-MX"/>
              </w:rPr>
            </w:pPr>
            <w:r w:rsidRPr="005252EA">
              <w:rPr>
                <w:rFonts w:cs="Arial"/>
                <w:sz w:val="20"/>
                <w:lang w:val="es-MX"/>
              </w:rPr>
              <w:t>Preparó</w:t>
            </w:r>
          </w:p>
        </w:tc>
        <w:tc>
          <w:tcPr>
            <w:tcW w:w="887" w:type="dxa"/>
            <w:vMerge w:val="restart"/>
            <w:tcBorders>
              <w:top w:val="nil"/>
              <w:left w:val="single" w:sz="4" w:space="0" w:color="auto"/>
              <w:bottom w:val="nil"/>
              <w:right w:val="nil"/>
            </w:tcBorders>
            <w:vAlign w:val="center"/>
          </w:tcPr>
          <w:p w:rsidR="00E25073" w:rsidRPr="005252EA" w:rsidRDefault="00E25073" w:rsidP="00B51B51">
            <w:pPr>
              <w:widowControl w:val="0"/>
              <w:jc w:val="center"/>
              <w:rPr>
                <w:rFonts w:cs="Arial"/>
                <w:sz w:val="20"/>
                <w:lang w:val="es-MX"/>
              </w:rPr>
            </w:pPr>
            <w:r w:rsidRPr="005252EA">
              <w:rPr>
                <w:rFonts w:cs="Arial"/>
                <w:sz w:val="20"/>
                <w:lang w:val="es-MX"/>
              </w:rPr>
              <w:t>Revisó</w:t>
            </w:r>
          </w:p>
        </w:tc>
        <w:tc>
          <w:tcPr>
            <w:tcW w:w="1243" w:type="dxa"/>
            <w:vMerge w:val="restart"/>
            <w:tcBorders>
              <w:top w:val="nil"/>
              <w:left w:val="single" w:sz="4" w:space="0" w:color="auto"/>
              <w:bottom w:val="single" w:sz="4" w:space="0" w:color="000000"/>
              <w:right w:val="single" w:sz="4" w:space="0" w:color="auto"/>
            </w:tcBorders>
            <w:vAlign w:val="center"/>
          </w:tcPr>
          <w:p w:rsidR="00E25073" w:rsidRPr="005252EA" w:rsidRDefault="00E25073" w:rsidP="00B51B51">
            <w:pPr>
              <w:widowControl w:val="0"/>
              <w:jc w:val="center"/>
              <w:rPr>
                <w:rFonts w:cs="Arial"/>
                <w:sz w:val="20"/>
                <w:lang w:val="es-MX"/>
              </w:rPr>
            </w:pPr>
            <w:r w:rsidRPr="005252EA">
              <w:rPr>
                <w:rFonts w:cs="Arial"/>
                <w:sz w:val="20"/>
                <w:lang w:val="es-MX"/>
              </w:rPr>
              <w:t>Aprobó</w:t>
            </w:r>
          </w:p>
        </w:tc>
      </w:tr>
      <w:tr w:rsidR="00E25073" w:rsidRPr="005252EA">
        <w:tblPrEx>
          <w:tblCellMar>
            <w:top w:w="0" w:type="dxa"/>
            <w:bottom w:w="0" w:type="dxa"/>
          </w:tblCellMar>
        </w:tblPrEx>
        <w:trPr>
          <w:cantSplit/>
          <w:trHeight w:val="464"/>
        </w:trPr>
        <w:tc>
          <w:tcPr>
            <w:tcW w:w="970" w:type="dxa"/>
            <w:vMerge/>
            <w:tcBorders>
              <w:top w:val="nil"/>
              <w:left w:val="single" w:sz="4" w:space="0" w:color="auto"/>
              <w:bottom w:val="single" w:sz="4" w:space="0" w:color="000000"/>
              <w:right w:val="single" w:sz="4" w:space="0" w:color="auto"/>
            </w:tcBorders>
            <w:vAlign w:val="center"/>
          </w:tcPr>
          <w:p w:rsidR="00E25073" w:rsidRPr="005252EA" w:rsidRDefault="00E25073" w:rsidP="00B51B51">
            <w:pPr>
              <w:widowControl w:val="0"/>
              <w:ind w:right="99"/>
              <w:rPr>
                <w:rFonts w:cs="Arial"/>
                <w:sz w:val="20"/>
                <w:lang w:val="es-MX"/>
              </w:rPr>
            </w:pPr>
          </w:p>
        </w:tc>
        <w:tc>
          <w:tcPr>
            <w:tcW w:w="1620" w:type="dxa"/>
            <w:vMerge/>
            <w:tcBorders>
              <w:top w:val="nil"/>
              <w:left w:val="single" w:sz="4" w:space="0" w:color="auto"/>
              <w:bottom w:val="single" w:sz="4" w:space="0" w:color="000000"/>
              <w:right w:val="single" w:sz="4" w:space="0" w:color="auto"/>
            </w:tcBorders>
            <w:vAlign w:val="center"/>
          </w:tcPr>
          <w:p w:rsidR="00E25073" w:rsidRPr="005252EA" w:rsidRDefault="00E25073" w:rsidP="00B51B51">
            <w:pPr>
              <w:widowControl w:val="0"/>
              <w:ind w:right="99"/>
              <w:rPr>
                <w:rFonts w:cs="Arial"/>
                <w:sz w:val="20"/>
                <w:lang w:val="es-MX"/>
              </w:rPr>
            </w:pPr>
          </w:p>
        </w:tc>
        <w:tc>
          <w:tcPr>
            <w:tcW w:w="3060" w:type="dxa"/>
            <w:vMerge/>
            <w:tcBorders>
              <w:top w:val="single" w:sz="4" w:space="0" w:color="auto"/>
              <w:left w:val="single" w:sz="4" w:space="0" w:color="auto"/>
              <w:bottom w:val="nil"/>
              <w:right w:val="single" w:sz="4" w:space="0" w:color="000000"/>
            </w:tcBorders>
            <w:vAlign w:val="center"/>
          </w:tcPr>
          <w:p w:rsidR="00E25073" w:rsidRPr="005252EA" w:rsidRDefault="00E25073" w:rsidP="00B51B51">
            <w:pPr>
              <w:widowControl w:val="0"/>
              <w:ind w:right="99"/>
              <w:rPr>
                <w:rFonts w:cs="Arial"/>
                <w:sz w:val="20"/>
                <w:lang w:val="es-MX"/>
              </w:rPr>
            </w:pPr>
          </w:p>
        </w:tc>
        <w:tc>
          <w:tcPr>
            <w:tcW w:w="1764" w:type="dxa"/>
            <w:vMerge/>
            <w:tcBorders>
              <w:top w:val="nil"/>
              <w:left w:val="single" w:sz="4" w:space="0" w:color="auto"/>
              <w:bottom w:val="nil"/>
              <w:right w:val="single" w:sz="4" w:space="0" w:color="auto"/>
            </w:tcBorders>
            <w:vAlign w:val="center"/>
          </w:tcPr>
          <w:p w:rsidR="00E25073" w:rsidRPr="005252EA" w:rsidRDefault="00E25073" w:rsidP="00B51B51">
            <w:pPr>
              <w:widowControl w:val="0"/>
              <w:ind w:right="99"/>
              <w:rPr>
                <w:rFonts w:cs="Arial"/>
                <w:sz w:val="20"/>
                <w:lang w:val="es-MX"/>
              </w:rPr>
            </w:pPr>
          </w:p>
        </w:tc>
        <w:tc>
          <w:tcPr>
            <w:tcW w:w="887" w:type="dxa"/>
            <w:vMerge/>
            <w:tcBorders>
              <w:top w:val="nil"/>
              <w:left w:val="single" w:sz="4" w:space="0" w:color="auto"/>
              <w:bottom w:val="nil"/>
              <w:right w:val="nil"/>
            </w:tcBorders>
            <w:vAlign w:val="center"/>
          </w:tcPr>
          <w:p w:rsidR="00E25073" w:rsidRPr="005252EA" w:rsidRDefault="00E25073" w:rsidP="00B51B51">
            <w:pPr>
              <w:widowControl w:val="0"/>
              <w:ind w:right="99"/>
              <w:rPr>
                <w:rFonts w:cs="Arial"/>
                <w:sz w:val="20"/>
                <w:lang w:val="es-MX"/>
              </w:rPr>
            </w:pPr>
          </w:p>
        </w:tc>
        <w:tc>
          <w:tcPr>
            <w:tcW w:w="1243" w:type="dxa"/>
            <w:vMerge/>
            <w:tcBorders>
              <w:top w:val="nil"/>
              <w:left w:val="single" w:sz="4" w:space="0" w:color="auto"/>
              <w:bottom w:val="single" w:sz="4" w:space="0" w:color="000000"/>
              <w:right w:val="single" w:sz="4" w:space="0" w:color="auto"/>
            </w:tcBorders>
            <w:vAlign w:val="center"/>
          </w:tcPr>
          <w:p w:rsidR="00E25073" w:rsidRPr="005252EA" w:rsidRDefault="00E25073" w:rsidP="00B51B51">
            <w:pPr>
              <w:widowControl w:val="0"/>
              <w:ind w:right="99"/>
              <w:rPr>
                <w:rFonts w:cs="Arial"/>
                <w:sz w:val="20"/>
                <w:lang w:val="es-MX"/>
              </w:rPr>
            </w:pPr>
          </w:p>
        </w:tc>
      </w:tr>
      <w:tr w:rsidR="00E25073" w:rsidRPr="005252EA">
        <w:tblPrEx>
          <w:tblCellMar>
            <w:top w:w="0" w:type="dxa"/>
            <w:bottom w:w="0" w:type="dxa"/>
          </w:tblCellMar>
        </w:tblPrEx>
        <w:trPr>
          <w:trHeight w:val="885"/>
        </w:trPr>
        <w:tc>
          <w:tcPr>
            <w:tcW w:w="2590" w:type="dxa"/>
            <w:gridSpan w:val="2"/>
            <w:tcBorders>
              <w:top w:val="single" w:sz="4" w:space="0" w:color="auto"/>
              <w:left w:val="single" w:sz="4" w:space="0" w:color="auto"/>
              <w:bottom w:val="single" w:sz="4" w:space="0" w:color="auto"/>
              <w:right w:val="single" w:sz="4" w:space="0" w:color="auto"/>
            </w:tcBorders>
            <w:vAlign w:val="center"/>
          </w:tcPr>
          <w:p w:rsidR="00E25073" w:rsidRPr="005252EA" w:rsidRDefault="00E25073" w:rsidP="00B51B51">
            <w:pPr>
              <w:widowControl w:val="0"/>
              <w:ind w:right="99"/>
              <w:jc w:val="center"/>
              <w:rPr>
                <w:rFonts w:ascii="Arial Narrow" w:hAnsi="Arial Narrow" w:cs="Arial"/>
                <w:sz w:val="20"/>
                <w:lang w:val="es-MX"/>
              </w:rPr>
            </w:pPr>
            <w:r w:rsidRPr="005252EA">
              <w:rPr>
                <w:rFonts w:ascii="Arial Narrow" w:hAnsi="Arial Narrow" w:cs="Arial"/>
                <w:sz w:val="20"/>
                <w:lang w:val="es-MX"/>
              </w:rPr>
              <w:t>  CODIGO DOCUMENTO:</w:t>
            </w:r>
          </w:p>
          <w:p w:rsidR="00E25073" w:rsidRPr="005252EA" w:rsidRDefault="00E25073" w:rsidP="00B51B51">
            <w:pPr>
              <w:widowControl w:val="0"/>
              <w:ind w:right="99"/>
              <w:jc w:val="center"/>
              <w:rPr>
                <w:rFonts w:cs="Arial"/>
                <w:b/>
                <w:sz w:val="20"/>
                <w:lang w:val="es-MX"/>
              </w:rPr>
            </w:pPr>
            <w:r w:rsidRPr="005252EA">
              <w:rPr>
                <w:rFonts w:cs="Arial"/>
                <w:b/>
                <w:sz w:val="20"/>
                <w:lang w:val="it-IT"/>
              </w:rPr>
              <w:t>0961-INF-HI-00</w:t>
            </w:r>
            <w:r w:rsidR="00D47B2F">
              <w:rPr>
                <w:rFonts w:cs="Arial"/>
                <w:b/>
                <w:sz w:val="20"/>
                <w:lang w:val="it-IT"/>
              </w:rPr>
              <w:t>3</w:t>
            </w:r>
            <w:r w:rsidRPr="005252EA">
              <w:rPr>
                <w:rFonts w:cs="Arial"/>
                <w:b/>
                <w:sz w:val="20"/>
                <w:lang w:val="it-IT"/>
              </w:rPr>
              <w:t>-V</w:t>
            </w:r>
            <w:r w:rsidR="00D66052">
              <w:rPr>
                <w:rFonts w:cs="Arial"/>
                <w:b/>
                <w:sz w:val="20"/>
                <w:lang w:val="it-IT"/>
              </w:rPr>
              <w:t>C</w:t>
            </w:r>
            <w:r w:rsidRPr="005252EA">
              <w:rPr>
                <w:rFonts w:cs="Arial"/>
                <w:b/>
                <w:sz w:val="20"/>
                <w:lang w:val="it-IT"/>
              </w:rPr>
              <w:t>-VIR</w:t>
            </w:r>
          </w:p>
        </w:tc>
        <w:tc>
          <w:tcPr>
            <w:tcW w:w="5711" w:type="dxa"/>
            <w:gridSpan w:val="3"/>
            <w:tcBorders>
              <w:top w:val="single" w:sz="4" w:space="0" w:color="auto"/>
              <w:left w:val="nil"/>
              <w:bottom w:val="single" w:sz="4" w:space="0" w:color="auto"/>
              <w:right w:val="single" w:sz="4" w:space="0" w:color="auto"/>
            </w:tcBorders>
          </w:tcPr>
          <w:p w:rsidR="00E25073" w:rsidRPr="005252EA" w:rsidRDefault="00E25073" w:rsidP="00B51B51">
            <w:pPr>
              <w:widowControl w:val="0"/>
              <w:ind w:right="99"/>
              <w:rPr>
                <w:rFonts w:cs="Arial"/>
                <w:sz w:val="20"/>
                <w:lang w:val="pt-BR"/>
              </w:rPr>
            </w:pPr>
            <w:r w:rsidRPr="005252EA">
              <w:rPr>
                <w:rFonts w:cs="Arial"/>
                <w:sz w:val="20"/>
                <w:lang w:val="pt-BR"/>
              </w:rPr>
              <w:t xml:space="preserve"> Ubicación Archivo: </w:t>
            </w:r>
          </w:p>
          <w:p w:rsidR="00E25073" w:rsidRPr="005252EA" w:rsidRDefault="00E25073" w:rsidP="00B51B51">
            <w:pPr>
              <w:widowControl w:val="0"/>
              <w:ind w:right="99"/>
              <w:rPr>
                <w:rFonts w:cs="Arial"/>
                <w:sz w:val="20"/>
                <w:lang w:val="pt-BR"/>
              </w:rPr>
            </w:pPr>
            <w:hyperlink r:id="rId9" w:history="1">
              <w:r w:rsidRPr="005252EA">
                <w:rPr>
                  <w:rStyle w:val="Hipervnculo"/>
                  <w:rFonts w:cs="Arial"/>
                  <w:sz w:val="20"/>
                  <w:lang w:val="pt-BR"/>
                </w:rPr>
                <w:t>\\Servidor\conicbf\PROYECTOS\0961-Hidrologia</w:t>
              </w:r>
            </w:hyperlink>
            <w:r w:rsidRPr="005252EA">
              <w:rPr>
                <w:rFonts w:cs="Arial"/>
                <w:sz w:val="20"/>
                <w:lang w:val="pt-BR"/>
              </w:rPr>
              <w:t xml:space="preserve"> Cuencas Regiones V y VI\Etapa </w:t>
            </w:r>
            <w:r w:rsidR="00D47B2F">
              <w:rPr>
                <w:rFonts w:cs="Arial"/>
                <w:sz w:val="20"/>
                <w:lang w:val="pt-BR"/>
              </w:rPr>
              <w:t>3</w:t>
            </w:r>
            <w:r w:rsidRPr="005252EA">
              <w:rPr>
                <w:rFonts w:cs="Arial"/>
                <w:sz w:val="20"/>
                <w:lang w:val="pt-BR"/>
              </w:rPr>
              <w:t>\Hidrologia\v</w:t>
            </w:r>
            <w:r w:rsidR="00D66052">
              <w:rPr>
                <w:rFonts w:cs="Arial"/>
                <w:sz w:val="20"/>
                <w:lang w:val="pt-BR"/>
              </w:rPr>
              <w:t>c</w:t>
            </w:r>
            <w:r w:rsidRPr="005252EA">
              <w:rPr>
                <w:rFonts w:cs="Arial"/>
                <w:sz w:val="20"/>
                <w:lang w:val="pt-BR"/>
              </w:rPr>
              <w:t>\Documentos</w:t>
            </w:r>
          </w:p>
        </w:tc>
        <w:tc>
          <w:tcPr>
            <w:tcW w:w="1243" w:type="dxa"/>
            <w:tcBorders>
              <w:top w:val="nil"/>
              <w:left w:val="nil"/>
              <w:bottom w:val="single" w:sz="4" w:space="0" w:color="auto"/>
              <w:right w:val="single" w:sz="4" w:space="0" w:color="auto"/>
            </w:tcBorders>
          </w:tcPr>
          <w:p w:rsidR="00E25073" w:rsidRPr="005252EA" w:rsidRDefault="00E25073" w:rsidP="00B51B51">
            <w:pPr>
              <w:widowControl w:val="0"/>
              <w:ind w:right="99"/>
              <w:jc w:val="center"/>
              <w:rPr>
                <w:rFonts w:ascii="Arial Narrow" w:hAnsi="Arial Narrow" w:cs="Arial"/>
                <w:b/>
                <w:sz w:val="20"/>
                <w:lang w:val="es-MX"/>
              </w:rPr>
            </w:pPr>
            <w:r w:rsidRPr="005252EA">
              <w:rPr>
                <w:rFonts w:ascii="Arial Narrow" w:hAnsi="Arial Narrow" w:cs="Arial"/>
                <w:b/>
                <w:sz w:val="20"/>
                <w:lang w:val="es-MX"/>
              </w:rPr>
              <w:t>VERSION</w:t>
            </w:r>
          </w:p>
          <w:p w:rsidR="00E25073" w:rsidRPr="005252EA" w:rsidRDefault="00D66052" w:rsidP="00B51B51">
            <w:pPr>
              <w:widowControl w:val="0"/>
              <w:ind w:right="99"/>
              <w:jc w:val="center"/>
              <w:rPr>
                <w:rFonts w:cs="Arial"/>
                <w:b/>
                <w:sz w:val="28"/>
                <w:szCs w:val="28"/>
                <w:lang w:val="es-MX"/>
              </w:rPr>
            </w:pPr>
            <w:r>
              <w:rPr>
                <w:rFonts w:cs="Arial"/>
                <w:b/>
                <w:sz w:val="28"/>
                <w:szCs w:val="28"/>
                <w:lang w:val="es-MX"/>
              </w:rPr>
              <w:t>C</w:t>
            </w:r>
          </w:p>
        </w:tc>
      </w:tr>
      <w:tr w:rsidR="00E25073" w:rsidRPr="005252EA">
        <w:tblPrEx>
          <w:tblCellMar>
            <w:top w:w="0" w:type="dxa"/>
            <w:bottom w:w="0" w:type="dxa"/>
          </w:tblCellMar>
        </w:tblPrEx>
        <w:trPr>
          <w:trHeight w:val="1005"/>
        </w:trPr>
        <w:tc>
          <w:tcPr>
            <w:tcW w:w="9544" w:type="dxa"/>
            <w:gridSpan w:val="6"/>
            <w:tcBorders>
              <w:top w:val="single" w:sz="4" w:space="0" w:color="auto"/>
              <w:left w:val="single" w:sz="4" w:space="0" w:color="auto"/>
              <w:bottom w:val="single" w:sz="4" w:space="0" w:color="auto"/>
              <w:right w:val="single" w:sz="4" w:space="0" w:color="auto"/>
            </w:tcBorders>
            <w:vAlign w:val="center"/>
          </w:tcPr>
          <w:p w:rsidR="00E25073" w:rsidRPr="005252EA" w:rsidRDefault="00254CE2" w:rsidP="00B51B51">
            <w:pPr>
              <w:widowControl w:val="0"/>
              <w:rPr>
                <w:rFonts w:cs="Arial"/>
                <w:sz w:val="20"/>
                <w:lang w:val="es-MX"/>
              </w:rPr>
            </w:pPr>
            <w:r>
              <w:rPr>
                <w:noProof/>
                <w:lang w:val="es-CL" w:eastAsia="es-CL"/>
              </w:rPr>
              <w:drawing>
                <wp:inline distT="0" distB="0" distL="0" distR="0">
                  <wp:extent cx="2062480" cy="478155"/>
                  <wp:effectExtent l="0" t="0" r="0" b="0"/>
                  <wp:docPr id="3" name="Imagen 3" descr="Logo-CONIC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CONICB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2480" cy="478155"/>
                          </a:xfrm>
                          <a:prstGeom prst="rect">
                            <a:avLst/>
                          </a:prstGeom>
                          <a:noFill/>
                          <a:ln>
                            <a:noFill/>
                          </a:ln>
                        </pic:spPr>
                      </pic:pic>
                    </a:graphicData>
                  </a:graphic>
                </wp:inline>
              </w:drawing>
            </w:r>
            <w:r w:rsidR="00E25073" w:rsidRPr="005252EA">
              <w:rPr>
                <w:rFonts w:cs="Arial"/>
                <w:sz w:val="20"/>
                <w:lang w:val="es-MX"/>
              </w:rPr>
              <w:t xml:space="preserve">      </w:t>
            </w:r>
            <w:r w:rsidR="00E25073" w:rsidRPr="005252EA">
              <w:rPr>
                <w:rFonts w:cs="Arial"/>
                <w:color w:val="000080"/>
                <w:sz w:val="20"/>
                <w:lang w:val="es-MX"/>
              </w:rPr>
              <w:t>INGENIEROS CIVILES CONSULTORES LTDA.</w:t>
            </w:r>
          </w:p>
          <w:p w:rsidR="00E25073" w:rsidRPr="005252EA" w:rsidRDefault="00E25073" w:rsidP="00B51B51">
            <w:pPr>
              <w:pStyle w:val="Piedepgina"/>
              <w:widowControl w:val="0"/>
              <w:pBdr>
                <w:top w:val="single" w:sz="4" w:space="1" w:color="auto"/>
              </w:pBdr>
              <w:ind w:right="357"/>
              <w:rPr>
                <w:rFonts w:cs="Arial"/>
              </w:rPr>
            </w:pPr>
            <w:r w:rsidRPr="005252EA">
              <w:rPr>
                <w:rFonts w:cs="Arial"/>
              </w:rPr>
              <w:t xml:space="preserve"> </w:t>
            </w:r>
          </w:p>
          <w:p w:rsidR="00E25073" w:rsidRPr="005252EA" w:rsidRDefault="00E25073" w:rsidP="00B51B51">
            <w:pPr>
              <w:pStyle w:val="Piedepgina"/>
              <w:widowControl w:val="0"/>
              <w:pBdr>
                <w:top w:val="single" w:sz="4" w:space="1" w:color="auto"/>
              </w:pBdr>
              <w:ind w:right="357"/>
              <w:rPr>
                <w:rFonts w:cs="Arial"/>
                <w:sz w:val="18"/>
                <w:szCs w:val="18"/>
                <w:lang w:val="pt-BR"/>
              </w:rPr>
            </w:pPr>
            <w:r w:rsidRPr="005252EA">
              <w:rPr>
                <w:rFonts w:cs="Arial"/>
                <w:sz w:val="18"/>
                <w:szCs w:val="18"/>
                <w:lang w:val="pt-BR"/>
              </w:rPr>
              <w:t>Maitenes 2387 Providencia – Fono 2054095  e-mail: gerencia@conicbf.cl</w:t>
            </w:r>
          </w:p>
          <w:p w:rsidR="00E25073" w:rsidRPr="005252EA" w:rsidRDefault="00E25073" w:rsidP="00B51B51">
            <w:pPr>
              <w:widowControl w:val="0"/>
              <w:rPr>
                <w:rFonts w:cs="Arial"/>
                <w:sz w:val="20"/>
                <w:lang w:val="es-MX"/>
              </w:rPr>
            </w:pPr>
          </w:p>
        </w:tc>
      </w:tr>
    </w:tbl>
    <w:p w:rsidR="000F3986" w:rsidRPr="005252EA" w:rsidRDefault="00D451C1" w:rsidP="00B51B51">
      <w:pPr>
        <w:widowControl w:val="0"/>
        <w:jc w:val="center"/>
        <w:rPr>
          <w:rFonts w:cs="Arial"/>
          <w:b/>
          <w:szCs w:val="22"/>
        </w:rPr>
      </w:pPr>
      <w:r w:rsidRPr="005252EA">
        <w:rPr>
          <w:rFonts w:cs="Arial"/>
          <w:szCs w:val="22"/>
        </w:rPr>
        <w:br w:type="page"/>
      </w:r>
      <w:r w:rsidR="00142BB2" w:rsidRPr="005252EA">
        <w:rPr>
          <w:rFonts w:cs="Arial"/>
          <w:b/>
          <w:szCs w:val="22"/>
        </w:rPr>
        <w:lastRenderedPageBreak/>
        <w:t>ÍNDICE</w:t>
      </w:r>
      <w:r w:rsidR="000F3986" w:rsidRPr="005252EA">
        <w:rPr>
          <w:rFonts w:cs="Arial"/>
          <w:b/>
          <w:szCs w:val="22"/>
        </w:rPr>
        <w:t xml:space="preserve"> DE CONTENIDOS</w:t>
      </w:r>
    </w:p>
    <w:p w:rsidR="00D33176" w:rsidRDefault="00D33176" w:rsidP="00B51B51">
      <w:pPr>
        <w:widowControl w:val="0"/>
        <w:rPr>
          <w:rFonts w:cs="Arial"/>
          <w:szCs w:val="22"/>
        </w:rPr>
      </w:pPr>
    </w:p>
    <w:p w:rsidR="00A87F61" w:rsidRPr="005252EA" w:rsidRDefault="00A87F61" w:rsidP="00B51B51">
      <w:pPr>
        <w:widowControl w:val="0"/>
        <w:rPr>
          <w:rFonts w:cs="Arial"/>
          <w:szCs w:val="22"/>
        </w:rPr>
      </w:pPr>
    </w:p>
    <w:p w:rsidR="00264070" w:rsidRDefault="0094231C">
      <w:pPr>
        <w:pStyle w:val="TDC1"/>
        <w:rPr>
          <w:rFonts w:ascii="Times New Roman" w:hAnsi="Times New Roman"/>
          <w:noProof/>
          <w:sz w:val="24"/>
        </w:rPr>
      </w:pPr>
      <w:r w:rsidRPr="005252EA">
        <w:rPr>
          <w:rFonts w:cs="Arial"/>
          <w:szCs w:val="22"/>
        </w:rPr>
        <w:fldChar w:fldCharType="begin"/>
      </w:r>
      <w:r w:rsidRPr="005252EA">
        <w:rPr>
          <w:rFonts w:cs="Arial"/>
          <w:szCs w:val="22"/>
        </w:rPr>
        <w:instrText xml:space="preserve"> TOC \o "1-4" \h \z \u </w:instrText>
      </w:r>
      <w:r w:rsidRPr="005252EA">
        <w:rPr>
          <w:rFonts w:cs="Arial"/>
          <w:szCs w:val="22"/>
        </w:rPr>
        <w:fldChar w:fldCharType="separate"/>
      </w:r>
      <w:hyperlink w:anchor="_Toc344391720" w:history="1">
        <w:r w:rsidR="00264070" w:rsidRPr="00D55AAB">
          <w:rPr>
            <w:rStyle w:val="Hipervnculo"/>
            <w:noProof/>
          </w:rPr>
          <w:t>1.</w:t>
        </w:r>
        <w:r w:rsidR="00264070">
          <w:rPr>
            <w:rFonts w:ascii="Times New Roman" w:hAnsi="Times New Roman"/>
            <w:noProof/>
            <w:sz w:val="24"/>
          </w:rPr>
          <w:tab/>
        </w:r>
        <w:r w:rsidR="00264070" w:rsidRPr="00D55AAB">
          <w:rPr>
            <w:rStyle w:val="Hipervnculo"/>
            <w:noProof/>
          </w:rPr>
          <w:t>INTRODUCCIÓN</w:t>
        </w:r>
        <w:r w:rsidR="00264070">
          <w:rPr>
            <w:noProof/>
            <w:webHidden/>
          </w:rPr>
          <w:tab/>
        </w:r>
        <w:r w:rsidR="00264070">
          <w:rPr>
            <w:noProof/>
            <w:webHidden/>
          </w:rPr>
          <w:fldChar w:fldCharType="begin"/>
        </w:r>
        <w:r w:rsidR="00264070">
          <w:rPr>
            <w:noProof/>
            <w:webHidden/>
          </w:rPr>
          <w:instrText xml:space="preserve"> PAGEREF _Toc344391720 \h </w:instrText>
        </w:r>
        <w:r w:rsidR="00264070">
          <w:rPr>
            <w:noProof/>
          </w:rPr>
        </w:r>
        <w:r w:rsidR="00264070">
          <w:rPr>
            <w:noProof/>
            <w:webHidden/>
          </w:rPr>
          <w:fldChar w:fldCharType="separate"/>
        </w:r>
        <w:r w:rsidR="00264070">
          <w:rPr>
            <w:noProof/>
            <w:webHidden/>
          </w:rPr>
          <w:t>1</w:t>
        </w:r>
        <w:r w:rsidR="00264070">
          <w:rPr>
            <w:noProof/>
            <w:webHidden/>
          </w:rPr>
          <w:fldChar w:fldCharType="end"/>
        </w:r>
      </w:hyperlink>
    </w:p>
    <w:p w:rsidR="00264070" w:rsidRDefault="00264070">
      <w:pPr>
        <w:pStyle w:val="TDC2"/>
        <w:rPr>
          <w:rFonts w:ascii="Times New Roman" w:hAnsi="Times New Roman"/>
          <w:noProof/>
          <w:sz w:val="24"/>
        </w:rPr>
      </w:pPr>
      <w:hyperlink w:anchor="_Toc344391721" w:history="1">
        <w:r w:rsidRPr="00D55AAB">
          <w:rPr>
            <w:rStyle w:val="Hipervnculo"/>
            <w:noProof/>
          </w:rPr>
          <w:t>1.1</w:t>
        </w:r>
        <w:r>
          <w:rPr>
            <w:rFonts w:ascii="Times New Roman" w:hAnsi="Times New Roman"/>
            <w:noProof/>
            <w:sz w:val="24"/>
          </w:rPr>
          <w:tab/>
        </w:r>
        <w:r w:rsidRPr="00D55AAB">
          <w:rPr>
            <w:rStyle w:val="Hipervnculo"/>
            <w:noProof/>
          </w:rPr>
          <w:t>Generalidades</w:t>
        </w:r>
        <w:r>
          <w:rPr>
            <w:noProof/>
            <w:webHidden/>
          </w:rPr>
          <w:tab/>
        </w:r>
        <w:r>
          <w:rPr>
            <w:noProof/>
            <w:webHidden/>
          </w:rPr>
          <w:fldChar w:fldCharType="begin"/>
        </w:r>
        <w:r>
          <w:rPr>
            <w:noProof/>
            <w:webHidden/>
          </w:rPr>
          <w:instrText xml:space="preserve"> PAGEREF _Toc344391721 \h </w:instrText>
        </w:r>
        <w:r>
          <w:rPr>
            <w:noProof/>
          </w:rPr>
        </w:r>
        <w:r>
          <w:rPr>
            <w:noProof/>
            <w:webHidden/>
          </w:rPr>
          <w:fldChar w:fldCharType="separate"/>
        </w:r>
        <w:r>
          <w:rPr>
            <w:noProof/>
            <w:webHidden/>
          </w:rPr>
          <w:t>1</w:t>
        </w:r>
        <w:r>
          <w:rPr>
            <w:noProof/>
            <w:webHidden/>
          </w:rPr>
          <w:fldChar w:fldCharType="end"/>
        </w:r>
      </w:hyperlink>
    </w:p>
    <w:p w:rsidR="00264070" w:rsidRDefault="00264070">
      <w:pPr>
        <w:pStyle w:val="TDC2"/>
        <w:rPr>
          <w:rFonts w:ascii="Times New Roman" w:hAnsi="Times New Roman"/>
          <w:noProof/>
          <w:sz w:val="24"/>
        </w:rPr>
      </w:pPr>
      <w:hyperlink w:anchor="_Toc344391722" w:history="1">
        <w:r w:rsidRPr="00D55AAB">
          <w:rPr>
            <w:rStyle w:val="Hipervnculo"/>
            <w:noProof/>
          </w:rPr>
          <w:t>1.2</w:t>
        </w:r>
        <w:r>
          <w:rPr>
            <w:rFonts w:ascii="Times New Roman" w:hAnsi="Times New Roman"/>
            <w:noProof/>
            <w:sz w:val="24"/>
          </w:rPr>
          <w:tab/>
        </w:r>
        <w:r w:rsidRPr="00D55AAB">
          <w:rPr>
            <w:rStyle w:val="Hipervnculo"/>
            <w:noProof/>
          </w:rPr>
          <w:t>Objetivos de la Consultoría</w:t>
        </w:r>
        <w:r>
          <w:rPr>
            <w:noProof/>
            <w:webHidden/>
          </w:rPr>
          <w:tab/>
        </w:r>
        <w:r>
          <w:rPr>
            <w:noProof/>
            <w:webHidden/>
          </w:rPr>
          <w:fldChar w:fldCharType="begin"/>
        </w:r>
        <w:r>
          <w:rPr>
            <w:noProof/>
            <w:webHidden/>
          </w:rPr>
          <w:instrText xml:space="preserve"> PAGEREF _Toc344391722 \h </w:instrText>
        </w:r>
        <w:r>
          <w:rPr>
            <w:noProof/>
          </w:rPr>
        </w:r>
        <w:r>
          <w:rPr>
            <w:noProof/>
            <w:webHidden/>
          </w:rPr>
          <w:fldChar w:fldCharType="separate"/>
        </w:r>
        <w:r>
          <w:rPr>
            <w:noProof/>
            <w:webHidden/>
          </w:rPr>
          <w:t>1</w:t>
        </w:r>
        <w:r>
          <w:rPr>
            <w:noProof/>
            <w:webHidden/>
          </w:rPr>
          <w:fldChar w:fldCharType="end"/>
        </w:r>
      </w:hyperlink>
    </w:p>
    <w:p w:rsidR="00264070" w:rsidRDefault="00264070">
      <w:pPr>
        <w:pStyle w:val="TDC3"/>
        <w:rPr>
          <w:rFonts w:ascii="Times New Roman" w:hAnsi="Times New Roman"/>
          <w:sz w:val="24"/>
          <w:szCs w:val="24"/>
        </w:rPr>
      </w:pPr>
      <w:hyperlink w:anchor="_Toc344391723" w:history="1">
        <w:r w:rsidRPr="00D55AAB">
          <w:rPr>
            <w:rStyle w:val="Hipervnculo"/>
          </w:rPr>
          <w:t>1.2.1</w:t>
        </w:r>
        <w:r>
          <w:rPr>
            <w:rFonts w:ascii="Times New Roman" w:hAnsi="Times New Roman"/>
            <w:sz w:val="24"/>
            <w:szCs w:val="24"/>
          </w:rPr>
          <w:tab/>
        </w:r>
        <w:r w:rsidRPr="00D55AAB">
          <w:rPr>
            <w:rStyle w:val="Hipervnculo"/>
          </w:rPr>
          <w:t>Objetivo General</w:t>
        </w:r>
        <w:r>
          <w:rPr>
            <w:webHidden/>
          </w:rPr>
          <w:tab/>
        </w:r>
        <w:r>
          <w:rPr>
            <w:webHidden/>
          </w:rPr>
          <w:fldChar w:fldCharType="begin"/>
        </w:r>
        <w:r>
          <w:rPr>
            <w:webHidden/>
          </w:rPr>
          <w:instrText xml:space="preserve"> PAGEREF _Toc344391723 \h </w:instrText>
        </w:r>
        <w:r>
          <w:rPr>
            <w:webHidden/>
          </w:rPr>
          <w:fldChar w:fldCharType="separate"/>
        </w:r>
        <w:r>
          <w:rPr>
            <w:webHidden/>
          </w:rPr>
          <w:t>1</w:t>
        </w:r>
        <w:r>
          <w:rPr>
            <w:webHidden/>
          </w:rPr>
          <w:fldChar w:fldCharType="end"/>
        </w:r>
      </w:hyperlink>
    </w:p>
    <w:p w:rsidR="00264070" w:rsidRDefault="00264070">
      <w:pPr>
        <w:pStyle w:val="TDC3"/>
        <w:rPr>
          <w:rFonts w:ascii="Times New Roman" w:hAnsi="Times New Roman"/>
          <w:sz w:val="24"/>
          <w:szCs w:val="24"/>
        </w:rPr>
      </w:pPr>
      <w:hyperlink w:anchor="_Toc344391724" w:history="1">
        <w:r w:rsidRPr="00D55AAB">
          <w:rPr>
            <w:rStyle w:val="Hipervnculo"/>
          </w:rPr>
          <w:t>1.2.2</w:t>
        </w:r>
        <w:r>
          <w:rPr>
            <w:rFonts w:ascii="Times New Roman" w:hAnsi="Times New Roman"/>
            <w:sz w:val="24"/>
            <w:szCs w:val="24"/>
          </w:rPr>
          <w:tab/>
        </w:r>
        <w:r w:rsidRPr="00D55AAB">
          <w:rPr>
            <w:rStyle w:val="Hipervnculo"/>
          </w:rPr>
          <w:t>Objetivos Específicos</w:t>
        </w:r>
        <w:r>
          <w:rPr>
            <w:webHidden/>
          </w:rPr>
          <w:tab/>
        </w:r>
        <w:r>
          <w:rPr>
            <w:webHidden/>
          </w:rPr>
          <w:fldChar w:fldCharType="begin"/>
        </w:r>
        <w:r>
          <w:rPr>
            <w:webHidden/>
          </w:rPr>
          <w:instrText xml:space="preserve"> PAGEREF _Toc344391724 \h </w:instrText>
        </w:r>
        <w:r>
          <w:rPr>
            <w:webHidden/>
          </w:rPr>
          <w:fldChar w:fldCharType="separate"/>
        </w:r>
        <w:r>
          <w:rPr>
            <w:webHidden/>
          </w:rPr>
          <w:t>1</w:t>
        </w:r>
        <w:r>
          <w:rPr>
            <w:webHidden/>
          </w:rPr>
          <w:fldChar w:fldCharType="end"/>
        </w:r>
      </w:hyperlink>
    </w:p>
    <w:p w:rsidR="00264070" w:rsidRDefault="00264070">
      <w:pPr>
        <w:pStyle w:val="TDC2"/>
        <w:rPr>
          <w:rFonts w:ascii="Times New Roman" w:hAnsi="Times New Roman"/>
          <w:noProof/>
          <w:sz w:val="24"/>
        </w:rPr>
      </w:pPr>
      <w:hyperlink w:anchor="_Toc344391725" w:history="1">
        <w:r w:rsidRPr="00D55AAB">
          <w:rPr>
            <w:rStyle w:val="Hipervnculo"/>
            <w:noProof/>
          </w:rPr>
          <w:t>1.3</w:t>
        </w:r>
        <w:r>
          <w:rPr>
            <w:rFonts w:ascii="Times New Roman" w:hAnsi="Times New Roman"/>
            <w:noProof/>
            <w:sz w:val="24"/>
          </w:rPr>
          <w:tab/>
        </w:r>
        <w:r w:rsidRPr="00D55AAB">
          <w:rPr>
            <w:rStyle w:val="Hipervnculo"/>
            <w:noProof/>
          </w:rPr>
          <w:t>Área de Estudio</w:t>
        </w:r>
        <w:r>
          <w:rPr>
            <w:noProof/>
            <w:webHidden/>
          </w:rPr>
          <w:tab/>
        </w:r>
        <w:r>
          <w:rPr>
            <w:noProof/>
            <w:webHidden/>
          </w:rPr>
          <w:fldChar w:fldCharType="begin"/>
        </w:r>
        <w:r>
          <w:rPr>
            <w:noProof/>
            <w:webHidden/>
          </w:rPr>
          <w:instrText xml:space="preserve"> PAGEREF _Toc344391725 \h </w:instrText>
        </w:r>
        <w:r>
          <w:rPr>
            <w:noProof/>
          </w:rPr>
        </w:r>
        <w:r>
          <w:rPr>
            <w:noProof/>
            <w:webHidden/>
          </w:rPr>
          <w:fldChar w:fldCharType="separate"/>
        </w:r>
        <w:r>
          <w:rPr>
            <w:noProof/>
            <w:webHidden/>
          </w:rPr>
          <w:t>2</w:t>
        </w:r>
        <w:r>
          <w:rPr>
            <w:noProof/>
            <w:webHidden/>
          </w:rPr>
          <w:fldChar w:fldCharType="end"/>
        </w:r>
      </w:hyperlink>
    </w:p>
    <w:p w:rsidR="00264070" w:rsidRDefault="00264070">
      <w:pPr>
        <w:pStyle w:val="TDC3"/>
        <w:rPr>
          <w:rFonts w:ascii="Times New Roman" w:hAnsi="Times New Roman"/>
          <w:sz w:val="24"/>
          <w:szCs w:val="24"/>
        </w:rPr>
      </w:pPr>
      <w:hyperlink w:anchor="_Toc344391726" w:history="1">
        <w:r w:rsidRPr="00D55AAB">
          <w:rPr>
            <w:rStyle w:val="Hipervnculo"/>
          </w:rPr>
          <w:t>1.3.1</w:t>
        </w:r>
        <w:r>
          <w:rPr>
            <w:rFonts w:ascii="Times New Roman" w:hAnsi="Times New Roman"/>
            <w:sz w:val="24"/>
            <w:szCs w:val="24"/>
          </w:rPr>
          <w:tab/>
        </w:r>
        <w:r w:rsidRPr="00D55AAB">
          <w:rPr>
            <w:rStyle w:val="Hipervnculo"/>
          </w:rPr>
          <w:t>Cuenca del río Maipo</w:t>
        </w:r>
        <w:r>
          <w:rPr>
            <w:webHidden/>
          </w:rPr>
          <w:tab/>
        </w:r>
        <w:r>
          <w:rPr>
            <w:webHidden/>
          </w:rPr>
          <w:fldChar w:fldCharType="begin"/>
        </w:r>
        <w:r>
          <w:rPr>
            <w:webHidden/>
          </w:rPr>
          <w:instrText xml:space="preserve"> PAGEREF _Toc344391726 \h </w:instrText>
        </w:r>
        <w:r>
          <w:rPr>
            <w:webHidden/>
          </w:rPr>
          <w:fldChar w:fldCharType="separate"/>
        </w:r>
        <w:r>
          <w:rPr>
            <w:webHidden/>
          </w:rPr>
          <w:t>3</w:t>
        </w:r>
        <w:r>
          <w:rPr>
            <w:webHidden/>
          </w:rPr>
          <w:fldChar w:fldCharType="end"/>
        </w:r>
      </w:hyperlink>
    </w:p>
    <w:p w:rsidR="00264070" w:rsidRDefault="00264070">
      <w:pPr>
        <w:pStyle w:val="TDC3"/>
        <w:rPr>
          <w:rFonts w:ascii="Times New Roman" w:hAnsi="Times New Roman"/>
          <w:sz w:val="24"/>
          <w:szCs w:val="24"/>
        </w:rPr>
      </w:pPr>
      <w:hyperlink w:anchor="_Toc344391727" w:history="1">
        <w:r w:rsidRPr="00D55AAB">
          <w:rPr>
            <w:rStyle w:val="Hipervnculo"/>
          </w:rPr>
          <w:t>1.3.2</w:t>
        </w:r>
        <w:r>
          <w:rPr>
            <w:rFonts w:ascii="Times New Roman" w:hAnsi="Times New Roman"/>
            <w:sz w:val="24"/>
            <w:szCs w:val="24"/>
          </w:rPr>
          <w:tab/>
        </w:r>
        <w:r w:rsidRPr="00D55AAB">
          <w:rPr>
            <w:rStyle w:val="Hipervnculo"/>
          </w:rPr>
          <w:t>Cuenca del río Rapel</w:t>
        </w:r>
        <w:r>
          <w:rPr>
            <w:webHidden/>
          </w:rPr>
          <w:tab/>
        </w:r>
        <w:r>
          <w:rPr>
            <w:webHidden/>
          </w:rPr>
          <w:fldChar w:fldCharType="begin"/>
        </w:r>
        <w:r>
          <w:rPr>
            <w:webHidden/>
          </w:rPr>
          <w:instrText xml:space="preserve"> PAGEREF _Toc344391727 \h </w:instrText>
        </w:r>
        <w:r>
          <w:rPr>
            <w:webHidden/>
          </w:rPr>
          <w:fldChar w:fldCharType="separate"/>
        </w:r>
        <w:r>
          <w:rPr>
            <w:webHidden/>
          </w:rPr>
          <w:t>4</w:t>
        </w:r>
        <w:r>
          <w:rPr>
            <w:webHidden/>
          </w:rPr>
          <w:fldChar w:fldCharType="end"/>
        </w:r>
      </w:hyperlink>
    </w:p>
    <w:p w:rsidR="00264070" w:rsidRDefault="00264070">
      <w:pPr>
        <w:pStyle w:val="TDC3"/>
        <w:rPr>
          <w:rFonts w:ascii="Times New Roman" w:hAnsi="Times New Roman"/>
          <w:sz w:val="24"/>
          <w:szCs w:val="24"/>
        </w:rPr>
      </w:pPr>
      <w:hyperlink w:anchor="_Toc344391728" w:history="1">
        <w:r w:rsidRPr="00D55AAB">
          <w:rPr>
            <w:rStyle w:val="Hipervnculo"/>
          </w:rPr>
          <w:t>1.3.3</w:t>
        </w:r>
        <w:r>
          <w:rPr>
            <w:rFonts w:ascii="Times New Roman" w:hAnsi="Times New Roman"/>
            <w:sz w:val="24"/>
            <w:szCs w:val="24"/>
          </w:rPr>
          <w:tab/>
        </w:r>
        <w:r w:rsidRPr="00D55AAB">
          <w:rPr>
            <w:rStyle w:val="Hipervnculo"/>
          </w:rPr>
          <w:t>Cuencas Costeras Rapel- Estero Nilahue</w:t>
        </w:r>
        <w:r>
          <w:rPr>
            <w:webHidden/>
          </w:rPr>
          <w:tab/>
        </w:r>
        <w:r>
          <w:rPr>
            <w:webHidden/>
          </w:rPr>
          <w:fldChar w:fldCharType="begin"/>
        </w:r>
        <w:r>
          <w:rPr>
            <w:webHidden/>
          </w:rPr>
          <w:instrText xml:space="preserve"> PAGEREF _Toc344391728 \h </w:instrText>
        </w:r>
        <w:r>
          <w:rPr>
            <w:webHidden/>
          </w:rPr>
          <w:fldChar w:fldCharType="separate"/>
        </w:r>
        <w:r>
          <w:rPr>
            <w:webHidden/>
          </w:rPr>
          <w:t>4</w:t>
        </w:r>
        <w:r>
          <w:rPr>
            <w:webHidden/>
          </w:rPr>
          <w:fldChar w:fldCharType="end"/>
        </w:r>
      </w:hyperlink>
    </w:p>
    <w:p w:rsidR="00264070" w:rsidRDefault="00264070">
      <w:pPr>
        <w:pStyle w:val="TDC2"/>
        <w:rPr>
          <w:rFonts w:ascii="Times New Roman" w:hAnsi="Times New Roman"/>
          <w:noProof/>
          <w:sz w:val="24"/>
        </w:rPr>
      </w:pPr>
      <w:hyperlink w:anchor="_Toc344391729" w:history="1">
        <w:r w:rsidRPr="00D55AAB">
          <w:rPr>
            <w:rStyle w:val="Hipervnculo"/>
            <w:noProof/>
          </w:rPr>
          <w:t>1.4</w:t>
        </w:r>
        <w:r>
          <w:rPr>
            <w:rFonts w:ascii="Times New Roman" w:hAnsi="Times New Roman"/>
            <w:noProof/>
            <w:sz w:val="24"/>
          </w:rPr>
          <w:tab/>
        </w:r>
        <w:r w:rsidRPr="00D55AAB">
          <w:rPr>
            <w:rStyle w:val="Hipervnculo"/>
            <w:noProof/>
          </w:rPr>
          <w:t>Contenido del Informe</w:t>
        </w:r>
        <w:r>
          <w:rPr>
            <w:noProof/>
            <w:webHidden/>
          </w:rPr>
          <w:tab/>
        </w:r>
        <w:r>
          <w:rPr>
            <w:noProof/>
            <w:webHidden/>
          </w:rPr>
          <w:fldChar w:fldCharType="begin"/>
        </w:r>
        <w:r>
          <w:rPr>
            <w:noProof/>
            <w:webHidden/>
          </w:rPr>
          <w:instrText xml:space="preserve"> PAGEREF _Toc344391729 \h </w:instrText>
        </w:r>
        <w:r>
          <w:rPr>
            <w:noProof/>
          </w:rPr>
        </w:r>
        <w:r>
          <w:rPr>
            <w:noProof/>
            <w:webHidden/>
          </w:rPr>
          <w:fldChar w:fldCharType="separate"/>
        </w:r>
        <w:r>
          <w:rPr>
            <w:noProof/>
            <w:webHidden/>
          </w:rPr>
          <w:t>4</w:t>
        </w:r>
        <w:r>
          <w:rPr>
            <w:noProof/>
            <w:webHidden/>
          </w:rPr>
          <w:fldChar w:fldCharType="end"/>
        </w:r>
      </w:hyperlink>
    </w:p>
    <w:p w:rsidR="00264070" w:rsidRDefault="00264070">
      <w:pPr>
        <w:pStyle w:val="TDC1"/>
        <w:rPr>
          <w:rFonts w:ascii="Times New Roman" w:hAnsi="Times New Roman"/>
          <w:noProof/>
          <w:sz w:val="24"/>
        </w:rPr>
      </w:pPr>
      <w:hyperlink w:anchor="_Toc344391730" w:history="1">
        <w:r w:rsidRPr="00D55AAB">
          <w:rPr>
            <w:rStyle w:val="Hipervnculo"/>
            <w:noProof/>
          </w:rPr>
          <w:t>2.</w:t>
        </w:r>
        <w:r>
          <w:rPr>
            <w:rFonts w:ascii="Times New Roman" w:hAnsi="Times New Roman"/>
            <w:noProof/>
            <w:sz w:val="24"/>
          </w:rPr>
          <w:tab/>
        </w:r>
        <w:r w:rsidRPr="00D55AAB">
          <w:rPr>
            <w:rStyle w:val="Hipervnculo"/>
            <w:noProof/>
          </w:rPr>
          <w:t>REVISIÓN Y ANÁLISIS DE ANTECEDENTES</w:t>
        </w:r>
        <w:r>
          <w:rPr>
            <w:noProof/>
            <w:webHidden/>
          </w:rPr>
          <w:tab/>
        </w:r>
        <w:r>
          <w:rPr>
            <w:noProof/>
            <w:webHidden/>
          </w:rPr>
          <w:fldChar w:fldCharType="begin"/>
        </w:r>
        <w:r>
          <w:rPr>
            <w:noProof/>
            <w:webHidden/>
          </w:rPr>
          <w:instrText xml:space="preserve"> PAGEREF _Toc344391730 \h </w:instrText>
        </w:r>
        <w:r>
          <w:rPr>
            <w:noProof/>
          </w:rPr>
        </w:r>
        <w:r>
          <w:rPr>
            <w:noProof/>
            <w:webHidden/>
          </w:rPr>
          <w:fldChar w:fldCharType="separate"/>
        </w:r>
        <w:r>
          <w:rPr>
            <w:noProof/>
            <w:webHidden/>
          </w:rPr>
          <w:t>7</w:t>
        </w:r>
        <w:r>
          <w:rPr>
            <w:noProof/>
            <w:webHidden/>
          </w:rPr>
          <w:fldChar w:fldCharType="end"/>
        </w:r>
      </w:hyperlink>
    </w:p>
    <w:p w:rsidR="00264070" w:rsidRDefault="00264070">
      <w:pPr>
        <w:pStyle w:val="TDC2"/>
        <w:rPr>
          <w:rFonts w:ascii="Times New Roman" w:hAnsi="Times New Roman"/>
          <w:noProof/>
          <w:sz w:val="24"/>
        </w:rPr>
      </w:pPr>
      <w:hyperlink w:anchor="_Toc344391731" w:history="1">
        <w:r w:rsidRPr="00D55AAB">
          <w:rPr>
            <w:rStyle w:val="Hipervnculo"/>
            <w:noProof/>
          </w:rPr>
          <w:t>2.1</w:t>
        </w:r>
        <w:r>
          <w:rPr>
            <w:rFonts w:ascii="Times New Roman" w:hAnsi="Times New Roman"/>
            <w:noProof/>
            <w:sz w:val="24"/>
          </w:rPr>
          <w:tab/>
        </w:r>
        <w:r w:rsidRPr="00D55AAB">
          <w:rPr>
            <w:rStyle w:val="Hipervnculo"/>
            <w:noProof/>
          </w:rPr>
          <w:t>Alcances</w:t>
        </w:r>
        <w:r>
          <w:rPr>
            <w:noProof/>
            <w:webHidden/>
          </w:rPr>
          <w:tab/>
        </w:r>
        <w:r>
          <w:rPr>
            <w:noProof/>
            <w:webHidden/>
          </w:rPr>
          <w:fldChar w:fldCharType="begin"/>
        </w:r>
        <w:r>
          <w:rPr>
            <w:noProof/>
            <w:webHidden/>
          </w:rPr>
          <w:instrText xml:space="preserve"> PAGEREF _Toc344391731 \h </w:instrText>
        </w:r>
        <w:r>
          <w:rPr>
            <w:noProof/>
          </w:rPr>
        </w:r>
        <w:r>
          <w:rPr>
            <w:noProof/>
            <w:webHidden/>
          </w:rPr>
          <w:fldChar w:fldCharType="separate"/>
        </w:r>
        <w:r>
          <w:rPr>
            <w:noProof/>
            <w:webHidden/>
          </w:rPr>
          <w:t>7</w:t>
        </w:r>
        <w:r>
          <w:rPr>
            <w:noProof/>
            <w:webHidden/>
          </w:rPr>
          <w:fldChar w:fldCharType="end"/>
        </w:r>
      </w:hyperlink>
    </w:p>
    <w:p w:rsidR="00264070" w:rsidRDefault="00264070">
      <w:pPr>
        <w:pStyle w:val="TDC2"/>
        <w:rPr>
          <w:rFonts w:ascii="Times New Roman" w:hAnsi="Times New Roman"/>
          <w:noProof/>
          <w:sz w:val="24"/>
        </w:rPr>
      </w:pPr>
      <w:hyperlink w:anchor="_Toc344391732" w:history="1">
        <w:r w:rsidRPr="00D55AAB">
          <w:rPr>
            <w:rStyle w:val="Hipervnculo"/>
            <w:noProof/>
          </w:rPr>
          <w:t>2.2</w:t>
        </w:r>
        <w:r>
          <w:rPr>
            <w:rFonts w:ascii="Times New Roman" w:hAnsi="Times New Roman"/>
            <w:noProof/>
            <w:sz w:val="24"/>
          </w:rPr>
          <w:tab/>
        </w:r>
        <w:r w:rsidRPr="00D55AAB">
          <w:rPr>
            <w:rStyle w:val="Hipervnculo"/>
            <w:noProof/>
          </w:rPr>
          <w:t>Antecedentes Cartográficos</w:t>
        </w:r>
        <w:r>
          <w:rPr>
            <w:noProof/>
            <w:webHidden/>
          </w:rPr>
          <w:tab/>
        </w:r>
        <w:r>
          <w:rPr>
            <w:noProof/>
            <w:webHidden/>
          </w:rPr>
          <w:fldChar w:fldCharType="begin"/>
        </w:r>
        <w:r>
          <w:rPr>
            <w:noProof/>
            <w:webHidden/>
          </w:rPr>
          <w:instrText xml:space="preserve"> PAGEREF _Toc344391732 \h </w:instrText>
        </w:r>
        <w:r>
          <w:rPr>
            <w:noProof/>
          </w:rPr>
        </w:r>
        <w:r>
          <w:rPr>
            <w:noProof/>
            <w:webHidden/>
          </w:rPr>
          <w:fldChar w:fldCharType="separate"/>
        </w:r>
        <w:r>
          <w:rPr>
            <w:noProof/>
            <w:webHidden/>
          </w:rPr>
          <w:t>7</w:t>
        </w:r>
        <w:r>
          <w:rPr>
            <w:noProof/>
            <w:webHidden/>
          </w:rPr>
          <w:fldChar w:fldCharType="end"/>
        </w:r>
      </w:hyperlink>
    </w:p>
    <w:p w:rsidR="00264070" w:rsidRDefault="00264070">
      <w:pPr>
        <w:pStyle w:val="TDC2"/>
        <w:rPr>
          <w:rFonts w:ascii="Times New Roman" w:hAnsi="Times New Roman"/>
          <w:noProof/>
          <w:sz w:val="24"/>
        </w:rPr>
      </w:pPr>
      <w:hyperlink w:anchor="_Toc344391733" w:history="1">
        <w:r w:rsidRPr="00D55AAB">
          <w:rPr>
            <w:rStyle w:val="Hipervnculo"/>
            <w:noProof/>
          </w:rPr>
          <w:t>2.3</w:t>
        </w:r>
        <w:r>
          <w:rPr>
            <w:rFonts w:ascii="Times New Roman" w:hAnsi="Times New Roman"/>
            <w:noProof/>
            <w:sz w:val="24"/>
          </w:rPr>
          <w:tab/>
        </w:r>
        <w:r w:rsidRPr="00D55AAB">
          <w:rPr>
            <w:rStyle w:val="Hipervnculo"/>
            <w:noProof/>
          </w:rPr>
          <w:t>Antecedentes de Estaciones Hidrometeorológicas</w:t>
        </w:r>
        <w:r>
          <w:rPr>
            <w:noProof/>
            <w:webHidden/>
          </w:rPr>
          <w:tab/>
        </w:r>
        <w:r>
          <w:rPr>
            <w:noProof/>
            <w:webHidden/>
          </w:rPr>
          <w:fldChar w:fldCharType="begin"/>
        </w:r>
        <w:r>
          <w:rPr>
            <w:noProof/>
            <w:webHidden/>
          </w:rPr>
          <w:instrText xml:space="preserve"> PAGEREF _Toc344391733 \h </w:instrText>
        </w:r>
        <w:r>
          <w:rPr>
            <w:noProof/>
          </w:rPr>
        </w:r>
        <w:r>
          <w:rPr>
            <w:noProof/>
            <w:webHidden/>
          </w:rPr>
          <w:fldChar w:fldCharType="separate"/>
        </w:r>
        <w:r>
          <w:rPr>
            <w:noProof/>
            <w:webHidden/>
          </w:rPr>
          <w:t>8</w:t>
        </w:r>
        <w:r>
          <w:rPr>
            <w:noProof/>
            <w:webHidden/>
          </w:rPr>
          <w:fldChar w:fldCharType="end"/>
        </w:r>
      </w:hyperlink>
    </w:p>
    <w:p w:rsidR="00264070" w:rsidRDefault="00264070">
      <w:pPr>
        <w:pStyle w:val="TDC3"/>
        <w:rPr>
          <w:rFonts w:ascii="Times New Roman" w:hAnsi="Times New Roman"/>
          <w:sz w:val="24"/>
          <w:szCs w:val="24"/>
        </w:rPr>
      </w:pPr>
      <w:hyperlink w:anchor="_Toc344391734" w:history="1">
        <w:r w:rsidRPr="00D55AAB">
          <w:rPr>
            <w:rStyle w:val="Hipervnculo"/>
          </w:rPr>
          <w:t>2.3.1</w:t>
        </w:r>
        <w:r>
          <w:rPr>
            <w:rFonts w:ascii="Times New Roman" w:hAnsi="Times New Roman"/>
            <w:sz w:val="24"/>
            <w:szCs w:val="24"/>
          </w:rPr>
          <w:tab/>
        </w:r>
        <w:r w:rsidRPr="00D55AAB">
          <w:rPr>
            <w:rStyle w:val="Hipervnculo"/>
          </w:rPr>
          <w:t>Fluviometría</w:t>
        </w:r>
        <w:r>
          <w:rPr>
            <w:webHidden/>
          </w:rPr>
          <w:tab/>
        </w:r>
        <w:r>
          <w:rPr>
            <w:webHidden/>
          </w:rPr>
          <w:fldChar w:fldCharType="begin"/>
        </w:r>
        <w:r>
          <w:rPr>
            <w:webHidden/>
          </w:rPr>
          <w:instrText xml:space="preserve"> PAGEREF _Toc344391734 \h </w:instrText>
        </w:r>
        <w:r>
          <w:rPr>
            <w:webHidden/>
          </w:rPr>
          <w:fldChar w:fldCharType="separate"/>
        </w:r>
        <w:r>
          <w:rPr>
            <w:webHidden/>
          </w:rPr>
          <w:t>9</w:t>
        </w:r>
        <w:r>
          <w:rPr>
            <w:webHidden/>
          </w:rPr>
          <w:fldChar w:fldCharType="end"/>
        </w:r>
      </w:hyperlink>
    </w:p>
    <w:p w:rsidR="00264070" w:rsidRDefault="00264070">
      <w:pPr>
        <w:pStyle w:val="TDC3"/>
        <w:rPr>
          <w:rFonts w:ascii="Times New Roman" w:hAnsi="Times New Roman"/>
          <w:sz w:val="24"/>
          <w:szCs w:val="24"/>
        </w:rPr>
      </w:pPr>
      <w:hyperlink w:anchor="_Toc344391735" w:history="1">
        <w:r w:rsidRPr="00D55AAB">
          <w:rPr>
            <w:rStyle w:val="Hipervnculo"/>
          </w:rPr>
          <w:t>2.3.2</w:t>
        </w:r>
        <w:r>
          <w:rPr>
            <w:rFonts w:ascii="Times New Roman" w:hAnsi="Times New Roman"/>
            <w:sz w:val="24"/>
            <w:szCs w:val="24"/>
          </w:rPr>
          <w:tab/>
        </w:r>
        <w:r w:rsidRPr="00D55AAB">
          <w:rPr>
            <w:rStyle w:val="Hipervnculo"/>
          </w:rPr>
          <w:t>Pluviometría</w:t>
        </w:r>
        <w:r>
          <w:rPr>
            <w:webHidden/>
          </w:rPr>
          <w:tab/>
        </w:r>
        <w:r>
          <w:rPr>
            <w:webHidden/>
          </w:rPr>
          <w:fldChar w:fldCharType="begin"/>
        </w:r>
        <w:r>
          <w:rPr>
            <w:webHidden/>
          </w:rPr>
          <w:instrText xml:space="preserve"> PAGEREF _Toc344391735 \h </w:instrText>
        </w:r>
        <w:r>
          <w:rPr>
            <w:webHidden/>
          </w:rPr>
          <w:fldChar w:fldCharType="separate"/>
        </w:r>
        <w:r>
          <w:rPr>
            <w:webHidden/>
          </w:rPr>
          <w:t>11</w:t>
        </w:r>
        <w:r>
          <w:rPr>
            <w:webHidden/>
          </w:rPr>
          <w:fldChar w:fldCharType="end"/>
        </w:r>
      </w:hyperlink>
    </w:p>
    <w:p w:rsidR="00264070" w:rsidRDefault="00264070">
      <w:pPr>
        <w:pStyle w:val="TDC3"/>
        <w:rPr>
          <w:rFonts w:ascii="Times New Roman" w:hAnsi="Times New Roman"/>
          <w:sz w:val="24"/>
          <w:szCs w:val="24"/>
        </w:rPr>
      </w:pPr>
      <w:hyperlink w:anchor="_Toc344391736" w:history="1">
        <w:r w:rsidRPr="00D55AAB">
          <w:rPr>
            <w:rStyle w:val="Hipervnculo"/>
          </w:rPr>
          <w:t>2.3.3</w:t>
        </w:r>
        <w:r>
          <w:rPr>
            <w:rFonts w:ascii="Times New Roman" w:hAnsi="Times New Roman"/>
            <w:sz w:val="24"/>
            <w:szCs w:val="24"/>
          </w:rPr>
          <w:tab/>
        </w:r>
        <w:r w:rsidRPr="00D55AAB">
          <w:rPr>
            <w:rStyle w:val="Hipervnculo"/>
          </w:rPr>
          <w:t>Temperaturas</w:t>
        </w:r>
        <w:r>
          <w:rPr>
            <w:webHidden/>
          </w:rPr>
          <w:tab/>
        </w:r>
        <w:r>
          <w:rPr>
            <w:webHidden/>
          </w:rPr>
          <w:fldChar w:fldCharType="begin"/>
        </w:r>
        <w:r>
          <w:rPr>
            <w:webHidden/>
          </w:rPr>
          <w:instrText xml:space="preserve"> PAGEREF _Toc344391736 \h </w:instrText>
        </w:r>
        <w:r>
          <w:rPr>
            <w:webHidden/>
          </w:rPr>
          <w:fldChar w:fldCharType="separate"/>
        </w:r>
        <w:r>
          <w:rPr>
            <w:webHidden/>
          </w:rPr>
          <w:t>12</w:t>
        </w:r>
        <w:r>
          <w:rPr>
            <w:webHidden/>
          </w:rPr>
          <w:fldChar w:fldCharType="end"/>
        </w:r>
      </w:hyperlink>
    </w:p>
    <w:p w:rsidR="00264070" w:rsidRDefault="00264070">
      <w:pPr>
        <w:pStyle w:val="TDC3"/>
        <w:rPr>
          <w:rFonts w:ascii="Times New Roman" w:hAnsi="Times New Roman"/>
          <w:sz w:val="24"/>
          <w:szCs w:val="24"/>
        </w:rPr>
      </w:pPr>
      <w:hyperlink w:anchor="_Toc344391737" w:history="1">
        <w:r w:rsidRPr="00D55AAB">
          <w:rPr>
            <w:rStyle w:val="Hipervnculo"/>
          </w:rPr>
          <w:t>2.3.4</w:t>
        </w:r>
        <w:r>
          <w:rPr>
            <w:rFonts w:ascii="Times New Roman" w:hAnsi="Times New Roman"/>
            <w:sz w:val="24"/>
            <w:szCs w:val="24"/>
          </w:rPr>
          <w:tab/>
        </w:r>
        <w:r w:rsidRPr="00D55AAB">
          <w:rPr>
            <w:rStyle w:val="Hipervnculo"/>
          </w:rPr>
          <w:t>Evaporación</w:t>
        </w:r>
        <w:r>
          <w:rPr>
            <w:webHidden/>
          </w:rPr>
          <w:tab/>
        </w:r>
        <w:r>
          <w:rPr>
            <w:webHidden/>
          </w:rPr>
          <w:fldChar w:fldCharType="begin"/>
        </w:r>
        <w:r>
          <w:rPr>
            <w:webHidden/>
          </w:rPr>
          <w:instrText xml:space="preserve"> PAGEREF _Toc344391737 \h </w:instrText>
        </w:r>
        <w:r>
          <w:rPr>
            <w:webHidden/>
          </w:rPr>
          <w:fldChar w:fldCharType="separate"/>
        </w:r>
        <w:r>
          <w:rPr>
            <w:webHidden/>
          </w:rPr>
          <w:t>12</w:t>
        </w:r>
        <w:r>
          <w:rPr>
            <w:webHidden/>
          </w:rPr>
          <w:fldChar w:fldCharType="end"/>
        </w:r>
      </w:hyperlink>
    </w:p>
    <w:p w:rsidR="00264070" w:rsidRDefault="00264070">
      <w:pPr>
        <w:pStyle w:val="TDC2"/>
        <w:rPr>
          <w:rFonts w:ascii="Times New Roman" w:hAnsi="Times New Roman"/>
          <w:noProof/>
          <w:sz w:val="24"/>
        </w:rPr>
      </w:pPr>
      <w:hyperlink w:anchor="_Toc344391738" w:history="1">
        <w:r w:rsidRPr="00D55AAB">
          <w:rPr>
            <w:rStyle w:val="Hipervnculo"/>
            <w:noProof/>
          </w:rPr>
          <w:t>2.4</w:t>
        </w:r>
        <w:r>
          <w:rPr>
            <w:rFonts w:ascii="Times New Roman" w:hAnsi="Times New Roman"/>
            <w:noProof/>
            <w:sz w:val="24"/>
          </w:rPr>
          <w:tab/>
        </w:r>
        <w:r w:rsidRPr="00D55AAB">
          <w:rPr>
            <w:rStyle w:val="Hipervnculo"/>
            <w:noProof/>
          </w:rPr>
          <w:t>Antecedentes de Derechos de Aguas</w:t>
        </w:r>
        <w:r>
          <w:rPr>
            <w:noProof/>
            <w:webHidden/>
          </w:rPr>
          <w:tab/>
        </w:r>
        <w:r>
          <w:rPr>
            <w:noProof/>
            <w:webHidden/>
          </w:rPr>
          <w:fldChar w:fldCharType="begin"/>
        </w:r>
        <w:r>
          <w:rPr>
            <w:noProof/>
            <w:webHidden/>
          </w:rPr>
          <w:instrText xml:space="preserve"> PAGEREF _Toc344391738 \h </w:instrText>
        </w:r>
        <w:r>
          <w:rPr>
            <w:noProof/>
          </w:rPr>
        </w:r>
        <w:r>
          <w:rPr>
            <w:noProof/>
            <w:webHidden/>
          </w:rPr>
          <w:fldChar w:fldCharType="separate"/>
        </w:r>
        <w:r>
          <w:rPr>
            <w:noProof/>
            <w:webHidden/>
          </w:rPr>
          <w:t>14</w:t>
        </w:r>
        <w:r>
          <w:rPr>
            <w:noProof/>
            <w:webHidden/>
          </w:rPr>
          <w:fldChar w:fldCharType="end"/>
        </w:r>
      </w:hyperlink>
    </w:p>
    <w:p w:rsidR="00264070" w:rsidRDefault="00264070">
      <w:pPr>
        <w:pStyle w:val="TDC3"/>
        <w:rPr>
          <w:rFonts w:ascii="Times New Roman" w:hAnsi="Times New Roman"/>
          <w:sz w:val="24"/>
          <w:szCs w:val="24"/>
        </w:rPr>
      </w:pPr>
      <w:hyperlink w:anchor="_Toc344391739" w:history="1">
        <w:r w:rsidRPr="00D55AAB">
          <w:rPr>
            <w:rStyle w:val="Hipervnculo"/>
          </w:rPr>
          <w:t>2.4.1</w:t>
        </w:r>
        <w:r>
          <w:rPr>
            <w:rFonts w:ascii="Times New Roman" w:hAnsi="Times New Roman"/>
            <w:sz w:val="24"/>
            <w:szCs w:val="24"/>
          </w:rPr>
          <w:tab/>
        </w:r>
        <w:r w:rsidRPr="00D55AAB">
          <w:rPr>
            <w:rStyle w:val="Hipervnculo"/>
          </w:rPr>
          <w:t>Aguas Subterráneas</w:t>
        </w:r>
        <w:r>
          <w:rPr>
            <w:webHidden/>
          </w:rPr>
          <w:tab/>
        </w:r>
        <w:r>
          <w:rPr>
            <w:webHidden/>
          </w:rPr>
          <w:fldChar w:fldCharType="begin"/>
        </w:r>
        <w:r>
          <w:rPr>
            <w:webHidden/>
          </w:rPr>
          <w:instrText xml:space="preserve"> PAGEREF _Toc344391739 \h </w:instrText>
        </w:r>
        <w:r>
          <w:rPr>
            <w:webHidden/>
          </w:rPr>
          <w:fldChar w:fldCharType="separate"/>
        </w:r>
        <w:r>
          <w:rPr>
            <w:webHidden/>
          </w:rPr>
          <w:t>14</w:t>
        </w:r>
        <w:r>
          <w:rPr>
            <w:webHidden/>
          </w:rPr>
          <w:fldChar w:fldCharType="end"/>
        </w:r>
      </w:hyperlink>
    </w:p>
    <w:p w:rsidR="00264070" w:rsidRDefault="00264070">
      <w:pPr>
        <w:pStyle w:val="TDC3"/>
        <w:rPr>
          <w:rFonts w:ascii="Times New Roman" w:hAnsi="Times New Roman"/>
          <w:sz w:val="24"/>
          <w:szCs w:val="24"/>
        </w:rPr>
      </w:pPr>
      <w:hyperlink w:anchor="_Toc344391740" w:history="1">
        <w:r w:rsidRPr="00D55AAB">
          <w:rPr>
            <w:rStyle w:val="Hipervnculo"/>
          </w:rPr>
          <w:t>2.4.2</w:t>
        </w:r>
        <w:r>
          <w:rPr>
            <w:rFonts w:ascii="Times New Roman" w:hAnsi="Times New Roman"/>
            <w:sz w:val="24"/>
            <w:szCs w:val="24"/>
          </w:rPr>
          <w:tab/>
        </w:r>
        <w:r w:rsidRPr="00D55AAB">
          <w:rPr>
            <w:rStyle w:val="Hipervnculo"/>
          </w:rPr>
          <w:t>Aguas Superficiales</w:t>
        </w:r>
        <w:r>
          <w:rPr>
            <w:webHidden/>
          </w:rPr>
          <w:tab/>
        </w:r>
        <w:r>
          <w:rPr>
            <w:webHidden/>
          </w:rPr>
          <w:fldChar w:fldCharType="begin"/>
        </w:r>
        <w:r>
          <w:rPr>
            <w:webHidden/>
          </w:rPr>
          <w:instrText xml:space="preserve"> PAGEREF _Toc344391740 \h </w:instrText>
        </w:r>
        <w:r>
          <w:rPr>
            <w:webHidden/>
          </w:rPr>
          <w:fldChar w:fldCharType="separate"/>
        </w:r>
        <w:r>
          <w:rPr>
            <w:webHidden/>
          </w:rPr>
          <w:t>17</w:t>
        </w:r>
        <w:r>
          <w:rPr>
            <w:webHidden/>
          </w:rPr>
          <w:fldChar w:fldCharType="end"/>
        </w:r>
      </w:hyperlink>
    </w:p>
    <w:p w:rsidR="00264070" w:rsidRDefault="00264070">
      <w:pPr>
        <w:pStyle w:val="TDC2"/>
        <w:rPr>
          <w:rFonts w:ascii="Times New Roman" w:hAnsi="Times New Roman"/>
          <w:noProof/>
          <w:sz w:val="24"/>
        </w:rPr>
      </w:pPr>
      <w:hyperlink w:anchor="_Toc344391741" w:history="1">
        <w:r w:rsidRPr="00D55AAB">
          <w:rPr>
            <w:rStyle w:val="Hipervnculo"/>
            <w:noProof/>
          </w:rPr>
          <w:t>2.5</w:t>
        </w:r>
        <w:r>
          <w:rPr>
            <w:rFonts w:ascii="Times New Roman" w:hAnsi="Times New Roman"/>
            <w:noProof/>
            <w:sz w:val="24"/>
          </w:rPr>
          <w:tab/>
        </w:r>
        <w:r w:rsidRPr="00D55AAB">
          <w:rPr>
            <w:rStyle w:val="Hipervnculo"/>
            <w:noProof/>
          </w:rPr>
          <w:t>Antecedentes Hidrológicos</w:t>
        </w:r>
        <w:r>
          <w:rPr>
            <w:noProof/>
            <w:webHidden/>
          </w:rPr>
          <w:tab/>
        </w:r>
        <w:r>
          <w:rPr>
            <w:noProof/>
            <w:webHidden/>
          </w:rPr>
          <w:fldChar w:fldCharType="begin"/>
        </w:r>
        <w:r>
          <w:rPr>
            <w:noProof/>
            <w:webHidden/>
          </w:rPr>
          <w:instrText xml:space="preserve"> PAGEREF _Toc344391741 \h </w:instrText>
        </w:r>
        <w:r>
          <w:rPr>
            <w:noProof/>
          </w:rPr>
        </w:r>
        <w:r>
          <w:rPr>
            <w:noProof/>
            <w:webHidden/>
          </w:rPr>
          <w:fldChar w:fldCharType="separate"/>
        </w:r>
        <w:r>
          <w:rPr>
            <w:noProof/>
            <w:webHidden/>
          </w:rPr>
          <w:t>20</w:t>
        </w:r>
        <w:r>
          <w:rPr>
            <w:noProof/>
            <w:webHidden/>
          </w:rPr>
          <w:fldChar w:fldCharType="end"/>
        </w:r>
      </w:hyperlink>
    </w:p>
    <w:p w:rsidR="00264070" w:rsidRDefault="00264070">
      <w:pPr>
        <w:pStyle w:val="TDC2"/>
        <w:rPr>
          <w:rFonts w:ascii="Times New Roman" w:hAnsi="Times New Roman"/>
          <w:noProof/>
          <w:sz w:val="24"/>
        </w:rPr>
      </w:pPr>
      <w:hyperlink w:anchor="_Toc344391742" w:history="1">
        <w:r w:rsidRPr="00D55AAB">
          <w:rPr>
            <w:rStyle w:val="Hipervnculo"/>
            <w:noProof/>
          </w:rPr>
          <w:t>2.6</w:t>
        </w:r>
        <w:r>
          <w:rPr>
            <w:rFonts w:ascii="Times New Roman" w:hAnsi="Times New Roman"/>
            <w:noProof/>
            <w:sz w:val="24"/>
          </w:rPr>
          <w:tab/>
        </w:r>
        <w:r w:rsidRPr="00D55AAB">
          <w:rPr>
            <w:rStyle w:val="Hipervnculo"/>
            <w:noProof/>
          </w:rPr>
          <w:t>Antecedentes Hidrogeológicos</w:t>
        </w:r>
        <w:r>
          <w:rPr>
            <w:noProof/>
            <w:webHidden/>
          </w:rPr>
          <w:tab/>
        </w:r>
        <w:r>
          <w:rPr>
            <w:noProof/>
            <w:webHidden/>
          </w:rPr>
          <w:fldChar w:fldCharType="begin"/>
        </w:r>
        <w:r>
          <w:rPr>
            <w:noProof/>
            <w:webHidden/>
          </w:rPr>
          <w:instrText xml:space="preserve"> PAGEREF _Toc344391742 \h </w:instrText>
        </w:r>
        <w:r>
          <w:rPr>
            <w:noProof/>
          </w:rPr>
        </w:r>
        <w:r>
          <w:rPr>
            <w:noProof/>
            <w:webHidden/>
          </w:rPr>
          <w:fldChar w:fldCharType="separate"/>
        </w:r>
        <w:r>
          <w:rPr>
            <w:noProof/>
            <w:webHidden/>
          </w:rPr>
          <w:t>23</w:t>
        </w:r>
        <w:r>
          <w:rPr>
            <w:noProof/>
            <w:webHidden/>
          </w:rPr>
          <w:fldChar w:fldCharType="end"/>
        </w:r>
      </w:hyperlink>
    </w:p>
    <w:p w:rsidR="00264070" w:rsidRDefault="00264070">
      <w:pPr>
        <w:pStyle w:val="TDC2"/>
        <w:rPr>
          <w:rFonts w:ascii="Times New Roman" w:hAnsi="Times New Roman"/>
          <w:noProof/>
          <w:sz w:val="24"/>
        </w:rPr>
      </w:pPr>
      <w:hyperlink w:anchor="_Toc344391743" w:history="1">
        <w:r w:rsidRPr="00D55AAB">
          <w:rPr>
            <w:rStyle w:val="Hipervnculo"/>
            <w:noProof/>
          </w:rPr>
          <w:t>2.7</w:t>
        </w:r>
        <w:r>
          <w:rPr>
            <w:rFonts w:ascii="Times New Roman" w:hAnsi="Times New Roman"/>
            <w:noProof/>
            <w:sz w:val="24"/>
          </w:rPr>
          <w:tab/>
        </w:r>
        <w:r w:rsidRPr="00D55AAB">
          <w:rPr>
            <w:rStyle w:val="Hipervnculo"/>
            <w:noProof/>
          </w:rPr>
          <w:t>Antecedentes Agronómicos y de Demandas de Riego</w:t>
        </w:r>
        <w:r>
          <w:rPr>
            <w:noProof/>
            <w:webHidden/>
          </w:rPr>
          <w:tab/>
        </w:r>
        <w:r>
          <w:rPr>
            <w:noProof/>
            <w:webHidden/>
          </w:rPr>
          <w:fldChar w:fldCharType="begin"/>
        </w:r>
        <w:r>
          <w:rPr>
            <w:noProof/>
            <w:webHidden/>
          </w:rPr>
          <w:instrText xml:space="preserve"> PAGEREF _Toc344391743 \h </w:instrText>
        </w:r>
        <w:r>
          <w:rPr>
            <w:noProof/>
          </w:rPr>
        </w:r>
        <w:r>
          <w:rPr>
            <w:noProof/>
            <w:webHidden/>
          </w:rPr>
          <w:fldChar w:fldCharType="separate"/>
        </w:r>
        <w:r>
          <w:rPr>
            <w:noProof/>
            <w:webHidden/>
          </w:rPr>
          <w:t>30</w:t>
        </w:r>
        <w:r>
          <w:rPr>
            <w:noProof/>
            <w:webHidden/>
          </w:rPr>
          <w:fldChar w:fldCharType="end"/>
        </w:r>
      </w:hyperlink>
    </w:p>
    <w:p w:rsidR="00264070" w:rsidRDefault="00264070">
      <w:pPr>
        <w:pStyle w:val="TDC2"/>
        <w:rPr>
          <w:rFonts w:ascii="Times New Roman" w:hAnsi="Times New Roman"/>
          <w:noProof/>
          <w:sz w:val="24"/>
        </w:rPr>
      </w:pPr>
      <w:hyperlink w:anchor="_Toc344391744" w:history="1">
        <w:r w:rsidRPr="00D55AAB">
          <w:rPr>
            <w:rStyle w:val="Hipervnculo"/>
            <w:noProof/>
          </w:rPr>
          <w:t>2.8</w:t>
        </w:r>
        <w:r>
          <w:rPr>
            <w:rFonts w:ascii="Times New Roman" w:hAnsi="Times New Roman"/>
            <w:noProof/>
            <w:sz w:val="24"/>
          </w:rPr>
          <w:tab/>
        </w:r>
        <w:r w:rsidRPr="00D55AAB">
          <w:rPr>
            <w:rStyle w:val="Hipervnculo"/>
            <w:noProof/>
          </w:rPr>
          <w:t>Antecedentes de Demandas Mineras</w:t>
        </w:r>
        <w:r>
          <w:rPr>
            <w:noProof/>
            <w:webHidden/>
          </w:rPr>
          <w:tab/>
        </w:r>
        <w:r>
          <w:rPr>
            <w:noProof/>
            <w:webHidden/>
          </w:rPr>
          <w:fldChar w:fldCharType="begin"/>
        </w:r>
        <w:r>
          <w:rPr>
            <w:noProof/>
            <w:webHidden/>
          </w:rPr>
          <w:instrText xml:space="preserve"> PAGEREF _Toc344391744 \h </w:instrText>
        </w:r>
        <w:r>
          <w:rPr>
            <w:noProof/>
          </w:rPr>
        </w:r>
        <w:r>
          <w:rPr>
            <w:noProof/>
            <w:webHidden/>
          </w:rPr>
          <w:fldChar w:fldCharType="separate"/>
        </w:r>
        <w:r>
          <w:rPr>
            <w:noProof/>
            <w:webHidden/>
          </w:rPr>
          <w:t>32</w:t>
        </w:r>
        <w:r>
          <w:rPr>
            <w:noProof/>
            <w:webHidden/>
          </w:rPr>
          <w:fldChar w:fldCharType="end"/>
        </w:r>
      </w:hyperlink>
    </w:p>
    <w:p w:rsidR="00264070" w:rsidRDefault="00264070">
      <w:pPr>
        <w:pStyle w:val="TDC2"/>
        <w:rPr>
          <w:rFonts w:ascii="Times New Roman" w:hAnsi="Times New Roman"/>
          <w:noProof/>
          <w:sz w:val="24"/>
        </w:rPr>
      </w:pPr>
      <w:hyperlink w:anchor="_Toc344391745" w:history="1">
        <w:r w:rsidRPr="00D55AAB">
          <w:rPr>
            <w:rStyle w:val="Hipervnculo"/>
            <w:noProof/>
          </w:rPr>
          <w:t>2.9</w:t>
        </w:r>
        <w:r>
          <w:rPr>
            <w:rFonts w:ascii="Times New Roman" w:hAnsi="Times New Roman"/>
            <w:noProof/>
            <w:sz w:val="24"/>
          </w:rPr>
          <w:tab/>
        </w:r>
        <w:r w:rsidRPr="00D55AAB">
          <w:rPr>
            <w:rStyle w:val="Hipervnculo"/>
            <w:noProof/>
          </w:rPr>
          <w:t>Antecedentes de Demandas de Agua Potable</w:t>
        </w:r>
        <w:r>
          <w:rPr>
            <w:noProof/>
            <w:webHidden/>
          </w:rPr>
          <w:tab/>
        </w:r>
        <w:r>
          <w:rPr>
            <w:noProof/>
            <w:webHidden/>
          </w:rPr>
          <w:fldChar w:fldCharType="begin"/>
        </w:r>
        <w:r>
          <w:rPr>
            <w:noProof/>
            <w:webHidden/>
          </w:rPr>
          <w:instrText xml:space="preserve"> PAGEREF _Toc344391745 \h </w:instrText>
        </w:r>
        <w:r>
          <w:rPr>
            <w:noProof/>
          </w:rPr>
        </w:r>
        <w:r>
          <w:rPr>
            <w:noProof/>
            <w:webHidden/>
          </w:rPr>
          <w:fldChar w:fldCharType="separate"/>
        </w:r>
        <w:r>
          <w:rPr>
            <w:noProof/>
            <w:webHidden/>
          </w:rPr>
          <w:t>33</w:t>
        </w:r>
        <w:r>
          <w:rPr>
            <w:noProof/>
            <w:webHidden/>
          </w:rPr>
          <w:fldChar w:fldCharType="end"/>
        </w:r>
      </w:hyperlink>
    </w:p>
    <w:p w:rsidR="00264070" w:rsidRDefault="00264070">
      <w:pPr>
        <w:pStyle w:val="TDC2"/>
        <w:rPr>
          <w:rFonts w:ascii="Times New Roman" w:hAnsi="Times New Roman"/>
          <w:noProof/>
          <w:sz w:val="24"/>
        </w:rPr>
      </w:pPr>
      <w:hyperlink w:anchor="_Toc344391746" w:history="1">
        <w:r w:rsidRPr="00D55AAB">
          <w:rPr>
            <w:rStyle w:val="Hipervnculo"/>
            <w:noProof/>
          </w:rPr>
          <w:t>2.10</w:t>
        </w:r>
        <w:r>
          <w:rPr>
            <w:rFonts w:ascii="Times New Roman" w:hAnsi="Times New Roman"/>
            <w:noProof/>
            <w:sz w:val="24"/>
          </w:rPr>
          <w:tab/>
        </w:r>
        <w:r w:rsidRPr="00D55AAB">
          <w:rPr>
            <w:rStyle w:val="Hipervnculo"/>
            <w:noProof/>
          </w:rPr>
          <w:t>Antecedentes de Demandas Industriales</w:t>
        </w:r>
        <w:r>
          <w:rPr>
            <w:noProof/>
            <w:webHidden/>
          </w:rPr>
          <w:tab/>
        </w:r>
        <w:r>
          <w:rPr>
            <w:noProof/>
            <w:webHidden/>
          </w:rPr>
          <w:fldChar w:fldCharType="begin"/>
        </w:r>
        <w:r>
          <w:rPr>
            <w:noProof/>
            <w:webHidden/>
          </w:rPr>
          <w:instrText xml:space="preserve"> PAGEREF _Toc344391746 \h </w:instrText>
        </w:r>
        <w:r>
          <w:rPr>
            <w:noProof/>
          </w:rPr>
        </w:r>
        <w:r>
          <w:rPr>
            <w:noProof/>
            <w:webHidden/>
          </w:rPr>
          <w:fldChar w:fldCharType="separate"/>
        </w:r>
        <w:r>
          <w:rPr>
            <w:noProof/>
            <w:webHidden/>
          </w:rPr>
          <w:t>34</w:t>
        </w:r>
        <w:r>
          <w:rPr>
            <w:noProof/>
            <w:webHidden/>
          </w:rPr>
          <w:fldChar w:fldCharType="end"/>
        </w:r>
      </w:hyperlink>
    </w:p>
    <w:p w:rsidR="00264070" w:rsidRDefault="00264070">
      <w:pPr>
        <w:pStyle w:val="TDC2"/>
        <w:rPr>
          <w:rFonts w:ascii="Times New Roman" w:hAnsi="Times New Roman"/>
          <w:noProof/>
          <w:sz w:val="24"/>
        </w:rPr>
      </w:pPr>
      <w:hyperlink w:anchor="_Toc344391747" w:history="1">
        <w:r w:rsidRPr="00D55AAB">
          <w:rPr>
            <w:rStyle w:val="Hipervnculo"/>
            <w:noProof/>
          </w:rPr>
          <w:t>2.11</w:t>
        </w:r>
        <w:r>
          <w:rPr>
            <w:rFonts w:ascii="Times New Roman" w:hAnsi="Times New Roman"/>
            <w:noProof/>
            <w:sz w:val="24"/>
          </w:rPr>
          <w:tab/>
        </w:r>
        <w:r w:rsidRPr="00D55AAB">
          <w:rPr>
            <w:rStyle w:val="Hipervnculo"/>
            <w:noProof/>
          </w:rPr>
          <w:t>Antecedentes de Infraestructura</w:t>
        </w:r>
        <w:r>
          <w:rPr>
            <w:noProof/>
            <w:webHidden/>
          </w:rPr>
          <w:tab/>
        </w:r>
        <w:r>
          <w:rPr>
            <w:noProof/>
            <w:webHidden/>
          </w:rPr>
          <w:fldChar w:fldCharType="begin"/>
        </w:r>
        <w:r>
          <w:rPr>
            <w:noProof/>
            <w:webHidden/>
          </w:rPr>
          <w:instrText xml:space="preserve"> PAGEREF _Toc344391747 \h </w:instrText>
        </w:r>
        <w:r>
          <w:rPr>
            <w:noProof/>
          </w:rPr>
        </w:r>
        <w:r>
          <w:rPr>
            <w:noProof/>
            <w:webHidden/>
          </w:rPr>
          <w:fldChar w:fldCharType="separate"/>
        </w:r>
        <w:r>
          <w:rPr>
            <w:noProof/>
            <w:webHidden/>
          </w:rPr>
          <w:t>35</w:t>
        </w:r>
        <w:r>
          <w:rPr>
            <w:noProof/>
            <w:webHidden/>
          </w:rPr>
          <w:fldChar w:fldCharType="end"/>
        </w:r>
      </w:hyperlink>
    </w:p>
    <w:p w:rsidR="00264070" w:rsidRDefault="00264070">
      <w:pPr>
        <w:pStyle w:val="TDC1"/>
        <w:rPr>
          <w:rFonts w:ascii="Times New Roman" w:hAnsi="Times New Roman"/>
          <w:noProof/>
          <w:sz w:val="24"/>
        </w:rPr>
      </w:pPr>
      <w:hyperlink w:anchor="_Toc344391748" w:history="1">
        <w:r w:rsidRPr="00D55AAB">
          <w:rPr>
            <w:rStyle w:val="Hipervnculo"/>
            <w:noProof/>
          </w:rPr>
          <w:t>3.</w:t>
        </w:r>
        <w:r>
          <w:rPr>
            <w:rFonts w:ascii="Times New Roman" w:hAnsi="Times New Roman"/>
            <w:noProof/>
            <w:sz w:val="24"/>
          </w:rPr>
          <w:tab/>
        </w:r>
        <w:r w:rsidRPr="00D55AAB">
          <w:rPr>
            <w:rStyle w:val="Hipervnculo"/>
            <w:noProof/>
          </w:rPr>
          <w:t>DEFINICIÓN DEL MARCO GEOLÓGICO E HIDROGEOLÓGICO</w:t>
        </w:r>
        <w:r>
          <w:rPr>
            <w:noProof/>
            <w:webHidden/>
          </w:rPr>
          <w:tab/>
        </w:r>
        <w:r>
          <w:rPr>
            <w:noProof/>
            <w:webHidden/>
          </w:rPr>
          <w:fldChar w:fldCharType="begin"/>
        </w:r>
        <w:r>
          <w:rPr>
            <w:noProof/>
            <w:webHidden/>
          </w:rPr>
          <w:instrText xml:space="preserve"> PAGEREF _Toc344391748 \h </w:instrText>
        </w:r>
        <w:r>
          <w:rPr>
            <w:noProof/>
          </w:rPr>
        </w:r>
        <w:r>
          <w:rPr>
            <w:noProof/>
            <w:webHidden/>
          </w:rPr>
          <w:fldChar w:fldCharType="separate"/>
        </w:r>
        <w:r>
          <w:rPr>
            <w:noProof/>
            <w:webHidden/>
          </w:rPr>
          <w:t>36</w:t>
        </w:r>
        <w:r>
          <w:rPr>
            <w:noProof/>
            <w:webHidden/>
          </w:rPr>
          <w:fldChar w:fldCharType="end"/>
        </w:r>
      </w:hyperlink>
    </w:p>
    <w:p w:rsidR="00264070" w:rsidRDefault="00264070">
      <w:pPr>
        <w:pStyle w:val="TDC2"/>
        <w:rPr>
          <w:rFonts w:ascii="Times New Roman" w:hAnsi="Times New Roman"/>
          <w:noProof/>
          <w:sz w:val="24"/>
        </w:rPr>
      </w:pPr>
      <w:hyperlink w:anchor="_Toc344391749" w:history="1">
        <w:r w:rsidRPr="00D55AAB">
          <w:rPr>
            <w:rStyle w:val="Hipervnculo"/>
            <w:noProof/>
          </w:rPr>
          <w:t>3.1</w:t>
        </w:r>
        <w:r>
          <w:rPr>
            <w:rFonts w:ascii="Times New Roman" w:hAnsi="Times New Roman"/>
            <w:noProof/>
            <w:sz w:val="24"/>
          </w:rPr>
          <w:tab/>
        </w:r>
        <w:r w:rsidRPr="00D55AAB">
          <w:rPr>
            <w:rStyle w:val="Hipervnculo"/>
            <w:noProof/>
          </w:rPr>
          <w:t>Definición del Marco Geológico y Geomorfológico</w:t>
        </w:r>
        <w:r>
          <w:rPr>
            <w:noProof/>
            <w:webHidden/>
          </w:rPr>
          <w:tab/>
        </w:r>
        <w:r>
          <w:rPr>
            <w:noProof/>
            <w:webHidden/>
          </w:rPr>
          <w:fldChar w:fldCharType="begin"/>
        </w:r>
        <w:r>
          <w:rPr>
            <w:noProof/>
            <w:webHidden/>
          </w:rPr>
          <w:instrText xml:space="preserve"> PAGEREF _Toc344391749 \h </w:instrText>
        </w:r>
        <w:r>
          <w:rPr>
            <w:noProof/>
          </w:rPr>
        </w:r>
        <w:r>
          <w:rPr>
            <w:noProof/>
            <w:webHidden/>
          </w:rPr>
          <w:fldChar w:fldCharType="separate"/>
        </w:r>
        <w:r>
          <w:rPr>
            <w:noProof/>
            <w:webHidden/>
          </w:rPr>
          <w:t>36</w:t>
        </w:r>
        <w:r>
          <w:rPr>
            <w:noProof/>
            <w:webHidden/>
          </w:rPr>
          <w:fldChar w:fldCharType="end"/>
        </w:r>
      </w:hyperlink>
    </w:p>
    <w:p w:rsidR="00264070" w:rsidRDefault="00264070">
      <w:pPr>
        <w:pStyle w:val="TDC3"/>
        <w:rPr>
          <w:rFonts w:ascii="Times New Roman" w:hAnsi="Times New Roman"/>
          <w:sz w:val="24"/>
          <w:szCs w:val="24"/>
        </w:rPr>
      </w:pPr>
      <w:hyperlink w:anchor="_Toc344391750" w:history="1">
        <w:r w:rsidRPr="00D55AAB">
          <w:rPr>
            <w:rStyle w:val="Hipervnculo"/>
          </w:rPr>
          <w:t>3.1.1</w:t>
        </w:r>
        <w:r>
          <w:rPr>
            <w:rFonts w:ascii="Times New Roman" w:hAnsi="Times New Roman"/>
            <w:sz w:val="24"/>
            <w:szCs w:val="24"/>
          </w:rPr>
          <w:tab/>
        </w:r>
        <w:r w:rsidRPr="00D55AAB">
          <w:rPr>
            <w:rStyle w:val="Hipervnculo"/>
          </w:rPr>
          <w:t>Caracterización Geomorfológica Regional</w:t>
        </w:r>
        <w:r>
          <w:rPr>
            <w:webHidden/>
          </w:rPr>
          <w:tab/>
        </w:r>
        <w:r>
          <w:rPr>
            <w:webHidden/>
          </w:rPr>
          <w:fldChar w:fldCharType="begin"/>
        </w:r>
        <w:r>
          <w:rPr>
            <w:webHidden/>
          </w:rPr>
          <w:instrText xml:space="preserve"> PAGEREF _Toc344391750 \h </w:instrText>
        </w:r>
        <w:r>
          <w:rPr>
            <w:webHidden/>
          </w:rPr>
          <w:fldChar w:fldCharType="separate"/>
        </w:r>
        <w:r>
          <w:rPr>
            <w:webHidden/>
          </w:rPr>
          <w:t>36</w:t>
        </w:r>
        <w:r>
          <w:rPr>
            <w:webHidden/>
          </w:rPr>
          <w:fldChar w:fldCharType="end"/>
        </w:r>
      </w:hyperlink>
    </w:p>
    <w:p w:rsidR="00264070" w:rsidRDefault="00264070">
      <w:pPr>
        <w:pStyle w:val="TDC4"/>
        <w:rPr>
          <w:rFonts w:ascii="Times New Roman" w:hAnsi="Times New Roman"/>
          <w:noProof/>
          <w:sz w:val="24"/>
        </w:rPr>
      </w:pPr>
      <w:hyperlink w:anchor="_Toc344391751" w:history="1">
        <w:r w:rsidRPr="00D55AAB">
          <w:rPr>
            <w:rStyle w:val="Hipervnculo"/>
            <w:noProof/>
          </w:rPr>
          <w:t>3.1.1.1</w:t>
        </w:r>
        <w:r>
          <w:rPr>
            <w:rFonts w:ascii="Times New Roman" w:hAnsi="Times New Roman"/>
            <w:noProof/>
            <w:sz w:val="24"/>
          </w:rPr>
          <w:tab/>
        </w:r>
        <w:r w:rsidRPr="00D55AAB">
          <w:rPr>
            <w:rStyle w:val="Hipervnculo"/>
            <w:noProof/>
          </w:rPr>
          <w:t>Planicies litorales</w:t>
        </w:r>
        <w:r>
          <w:rPr>
            <w:noProof/>
            <w:webHidden/>
          </w:rPr>
          <w:tab/>
        </w:r>
        <w:r>
          <w:rPr>
            <w:noProof/>
            <w:webHidden/>
          </w:rPr>
          <w:fldChar w:fldCharType="begin"/>
        </w:r>
        <w:r>
          <w:rPr>
            <w:noProof/>
            <w:webHidden/>
          </w:rPr>
          <w:instrText xml:space="preserve"> PAGEREF _Toc344391751 \h </w:instrText>
        </w:r>
        <w:r>
          <w:rPr>
            <w:noProof/>
          </w:rPr>
        </w:r>
        <w:r>
          <w:rPr>
            <w:noProof/>
            <w:webHidden/>
          </w:rPr>
          <w:fldChar w:fldCharType="separate"/>
        </w:r>
        <w:r>
          <w:rPr>
            <w:noProof/>
            <w:webHidden/>
          </w:rPr>
          <w:t>36</w:t>
        </w:r>
        <w:r>
          <w:rPr>
            <w:noProof/>
            <w:webHidden/>
          </w:rPr>
          <w:fldChar w:fldCharType="end"/>
        </w:r>
      </w:hyperlink>
    </w:p>
    <w:p w:rsidR="00264070" w:rsidRDefault="00264070">
      <w:pPr>
        <w:pStyle w:val="TDC4"/>
        <w:rPr>
          <w:rFonts w:ascii="Times New Roman" w:hAnsi="Times New Roman"/>
          <w:noProof/>
          <w:sz w:val="24"/>
        </w:rPr>
      </w:pPr>
      <w:hyperlink w:anchor="_Toc344391752" w:history="1">
        <w:r w:rsidRPr="00D55AAB">
          <w:rPr>
            <w:rStyle w:val="Hipervnculo"/>
            <w:noProof/>
          </w:rPr>
          <w:t>3.1.1.2</w:t>
        </w:r>
        <w:r>
          <w:rPr>
            <w:rFonts w:ascii="Times New Roman" w:hAnsi="Times New Roman"/>
            <w:noProof/>
            <w:sz w:val="24"/>
          </w:rPr>
          <w:tab/>
        </w:r>
        <w:r w:rsidRPr="00D55AAB">
          <w:rPr>
            <w:rStyle w:val="Hipervnculo"/>
            <w:noProof/>
          </w:rPr>
          <w:t>Cordillera de la Costa</w:t>
        </w:r>
        <w:r>
          <w:rPr>
            <w:noProof/>
            <w:webHidden/>
          </w:rPr>
          <w:tab/>
        </w:r>
        <w:r>
          <w:rPr>
            <w:noProof/>
            <w:webHidden/>
          </w:rPr>
          <w:fldChar w:fldCharType="begin"/>
        </w:r>
        <w:r>
          <w:rPr>
            <w:noProof/>
            <w:webHidden/>
          </w:rPr>
          <w:instrText xml:space="preserve"> PAGEREF _Toc344391752 \h </w:instrText>
        </w:r>
        <w:r>
          <w:rPr>
            <w:noProof/>
          </w:rPr>
        </w:r>
        <w:r>
          <w:rPr>
            <w:noProof/>
            <w:webHidden/>
          </w:rPr>
          <w:fldChar w:fldCharType="separate"/>
        </w:r>
        <w:r>
          <w:rPr>
            <w:noProof/>
            <w:webHidden/>
          </w:rPr>
          <w:t>36</w:t>
        </w:r>
        <w:r>
          <w:rPr>
            <w:noProof/>
            <w:webHidden/>
          </w:rPr>
          <w:fldChar w:fldCharType="end"/>
        </w:r>
      </w:hyperlink>
    </w:p>
    <w:p w:rsidR="00264070" w:rsidRDefault="00264070">
      <w:pPr>
        <w:pStyle w:val="TDC4"/>
        <w:rPr>
          <w:rFonts w:ascii="Times New Roman" w:hAnsi="Times New Roman"/>
          <w:noProof/>
          <w:sz w:val="24"/>
        </w:rPr>
      </w:pPr>
      <w:hyperlink w:anchor="_Toc344391753" w:history="1">
        <w:r w:rsidRPr="00D55AAB">
          <w:rPr>
            <w:rStyle w:val="Hipervnculo"/>
            <w:noProof/>
          </w:rPr>
          <w:t>3.1.1.3</w:t>
        </w:r>
        <w:r>
          <w:rPr>
            <w:rFonts w:ascii="Times New Roman" w:hAnsi="Times New Roman"/>
            <w:noProof/>
            <w:sz w:val="24"/>
          </w:rPr>
          <w:tab/>
        </w:r>
        <w:r w:rsidRPr="00D55AAB">
          <w:rPr>
            <w:rStyle w:val="Hipervnculo"/>
            <w:noProof/>
          </w:rPr>
          <w:t>Depresión Intermedia</w:t>
        </w:r>
        <w:r>
          <w:rPr>
            <w:noProof/>
            <w:webHidden/>
          </w:rPr>
          <w:tab/>
        </w:r>
        <w:r>
          <w:rPr>
            <w:noProof/>
            <w:webHidden/>
          </w:rPr>
          <w:fldChar w:fldCharType="begin"/>
        </w:r>
        <w:r>
          <w:rPr>
            <w:noProof/>
            <w:webHidden/>
          </w:rPr>
          <w:instrText xml:space="preserve"> PAGEREF _Toc344391753 \h </w:instrText>
        </w:r>
        <w:r>
          <w:rPr>
            <w:noProof/>
          </w:rPr>
        </w:r>
        <w:r>
          <w:rPr>
            <w:noProof/>
            <w:webHidden/>
          </w:rPr>
          <w:fldChar w:fldCharType="separate"/>
        </w:r>
        <w:r>
          <w:rPr>
            <w:noProof/>
            <w:webHidden/>
          </w:rPr>
          <w:t>37</w:t>
        </w:r>
        <w:r>
          <w:rPr>
            <w:noProof/>
            <w:webHidden/>
          </w:rPr>
          <w:fldChar w:fldCharType="end"/>
        </w:r>
      </w:hyperlink>
    </w:p>
    <w:p w:rsidR="00264070" w:rsidRDefault="00264070">
      <w:pPr>
        <w:pStyle w:val="TDC4"/>
        <w:rPr>
          <w:rFonts w:ascii="Times New Roman" w:hAnsi="Times New Roman"/>
          <w:noProof/>
          <w:sz w:val="24"/>
        </w:rPr>
      </w:pPr>
      <w:hyperlink w:anchor="_Toc344391754" w:history="1">
        <w:r w:rsidRPr="00D55AAB">
          <w:rPr>
            <w:rStyle w:val="Hipervnculo"/>
            <w:noProof/>
          </w:rPr>
          <w:t>3.1.1.4</w:t>
        </w:r>
        <w:r>
          <w:rPr>
            <w:rFonts w:ascii="Times New Roman" w:hAnsi="Times New Roman"/>
            <w:noProof/>
            <w:sz w:val="24"/>
          </w:rPr>
          <w:tab/>
        </w:r>
        <w:r w:rsidRPr="00D55AAB">
          <w:rPr>
            <w:rStyle w:val="Hipervnculo"/>
            <w:noProof/>
          </w:rPr>
          <w:t>Cordillera de los Andes</w:t>
        </w:r>
        <w:r>
          <w:rPr>
            <w:noProof/>
            <w:webHidden/>
          </w:rPr>
          <w:tab/>
        </w:r>
        <w:r>
          <w:rPr>
            <w:noProof/>
            <w:webHidden/>
          </w:rPr>
          <w:fldChar w:fldCharType="begin"/>
        </w:r>
        <w:r>
          <w:rPr>
            <w:noProof/>
            <w:webHidden/>
          </w:rPr>
          <w:instrText xml:space="preserve"> PAGEREF _Toc344391754 \h </w:instrText>
        </w:r>
        <w:r>
          <w:rPr>
            <w:noProof/>
          </w:rPr>
        </w:r>
        <w:r>
          <w:rPr>
            <w:noProof/>
            <w:webHidden/>
          </w:rPr>
          <w:fldChar w:fldCharType="separate"/>
        </w:r>
        <w:r>
          <w:rPr>
            <w:noProof/>
            <w:webHidden/>
          </w:rPr>
          <w:t>37</w:t>
        </w:r>
        <w:r>
          <w:rPr>
            <w:noProof/>
            <w:webHidden/>
          </w:rPr>
          <w:fldChar w:fldCharType="end"/>
        </w:r>
      </w:hyperlink>
    </w:p>
    <w:p w:rsidR="00264070" w:rsidRDefault="00264070">
      <w:pPr>
        <w:pStyle w:val="TDC4"/>
        <w:rPr>
          <w:rFonts w:ascii="Times New Roman" w:hAnsi="Times New Roman"/>
          <w:noProof/>
          <w:sz w:val="24"/>
        </w:rPr>
      </w:pPr>
      <w:hyperlink w:anchor="_Toc344391755" w:history="1">
        <w:r w:rsidRPr="00D55AAB">
          <w:rPr>
            <w:rStyle w:val="Hipervnculo"/>
            <w:noProof/>
          </w:rPr>
          <w:t>3.1.1.5</w:t>
        </w:r>
        <w:r>
          <w:rPr>
            <w:rFonts w:ascii="Times New Roman" w:hAnsi="Times New Roman"/>
            <w:noProof/>
            <w:sz w:val="24"/>
          </w:rPr>
          <w:tab/>
        </w:r>
        <w:r w:rsidRPr="00D55AAB">
          <w:rPr>
            <w:rStyle w:val="Hipervnculo"/>
            <w:noProof/>
          </w:rPr>
          <w:t>La Montaña</w:t>
        </w:r>
        <w:r>
          <w:rPr>
            <w:noProof/>
            <w:webHidden/>
          </w:rPr>
          <w:tab/>
        </w:r>
        <w:r>
          <w:rPr>
            <w:noProof/>
            <w:webHidden/>
          </w:rPr>
          <w:fldChar w:fldCharType="begin"/>
        </w:r>
        <w:r>
          <w:rPr>
            <w:noProof/>
            <w:webHidden/>
          </w:rPr>
          <w:instrText xml:space="preserve"> PAGEREF _Toc344391755 \h </w:instrText>
        </w:r>
        <w:r>
          <w:rPr>
            <w:noProof/>
          </w:rPr>
        </w:r>
        <w:r>
          <w:rPr>
            <w:noProof/>
            <w:webHidden/>
          </w:rPr>
          <w:fldChar w:fldCharType="separate"/>
        </w:r>
        <w:r>
          <w:rPr>
            <w:noProof/>
            <w:webHidden/>
          </w:rPr>
          <w:t>38</w:t>
        </w:r>
        <w:r>
          <w:rPr>
            <w:noProof/>
            <w:webHidden/>
          </w:rPr>
          <w:fldChar w:fldCharType="end"/>
        </w:r>
      </w:hyperlink>
    </w:p>
    <w:p w:rsidR="00264070" w:rsidRDefault="00264070">
      <w:pPr>
        <w:pStyle w:val="TDC3"/>
        <w:rPr>
          <w:rFonts w:ascii="Times New Roman" w:hAnsi="Times New Roman"/>
          <w:sz w:val="24"/>
          <w:szCs w:val="24"/>
        </w:rPr>
      </w:pPr>
      <w:hyperlink w:anchor="_Toc344391756" w:history="1">
        <w:r w:rsidRPr="00D55AAB">
          <w:rPr>
            <w:rStyle w:val="Hipervnculo"/>
          </w:rPr>
          <w:t>3.1.2</w:t>
        </w:r>
        <w:r>
          <w:rPr>
            <w:rFonts w:ascii="Times New Roman" w:hAnsi="Times New Roman"/>
            <w:sz w:val="24"/>
            <w:szCs w:val="24"/>
          </w:rPr>
          <w:tab/>
        </w:r>
        <w:r w:rsidRPr="00D55AAB">
          <w:rPr>
            <w:rStyle w:val="Hipervnculo"/>
          </w:rPr>
          <w:t>Caracterización Geológica Regional</w:t>
        </w:r>
        <w:r>
          <w:rPr>
            <w:webHidden/>
          </w:rPr>
          <w:tab/>
        </w:r>
        <w:r>
          <w:rPr>
            <w:webHidden/>
          </w:rPr>
          <w:fldChar w:fldCharType="begin"/>
        </w:r>
        <w:r>
          <w:rPr>
            <w:webHidden/>
          </w:rPr>
          <w:instrText xml:space="preserve"> PAGEREF _Toc344391756 \h </w:instrText>
        </w:r>
        <w:r>
          <w:rPr>
            <w:webHidden/>
          </w:rPr>
          <w:fldChar w:fldCharType="separate"/>
        </w:r>
        <w:r>
          <w:rPr>
            <w:webHidden/>
          </w:rPr>
          <w:t>38</w:t>
        </w:r>
        <w:r>
          <w:rPr>
            <w:webHidden/>
          </w:rPr>
          <w:fldChar w:fldCharType="end"/>
        </w:r>
      </w:hyperlink>
    </w:p>
    <w:p w:rsidR="00264070" w:rsidRDefault="00264070">
      <w:pPr>
        <w:pStyle w:val="TDC4"/>
        <w:rPr>
          <w:rFonts w:ascii="Times New Roman" w:hAnsi="Times New Roman"/>
          <w:noProof/>
          <w:sz w:val="24"/>
        </w:rPr>
      </w:pPr>
      <w:hyperlink w:anchor="_Toc344391757" w:history="1">
        <w:r w:rsidRPr="00D55AAB">
          <w:rPr>
            <w:rStyle w:val="Hipervnculo"/>
            <w:noProof/>
          </w:rPr>
          <w:t>3.1.2.1</w:t>
        </w:r>
        <w:r>
          <w:rPr>
            <w:rFonts w:ascii="Times New Roman" w:hAnsi="Times New Roman"/>
            <w:noProof/>
            <w:sz w:val="24"/>
          </w:rPr>
          <w:tab/>
        </w:r>
        <w:r w:rsidRPr="00D55AAB">
          <w:rPr>
            <w:rStyle w:val="Hipervnculo"/>
            <w:noProof/>
          </w:rPr>
          <w:t>Unidades de Roca</w:t>
        </w:r>
        <w:r>
          <w:rPr>
            <w:noProof/>
            <w:webHidden/>
          </w:rPr>
          <w:tab/>
        </w:r>
        <w:r>
          <w:rPr>
            <w:noProof/>
            <w:webHidden/>
          </w:rPr>
          <w:fldChar w:fldCharType="begin"/>
        </w:r>
        <w:r>
          <w:rPr>
            <w:noProof/>
            <w:webHidden/>
          </w:rPr>
          <w:instrText xml:space="preserve"> PAGEREF _Toc344391757 \h </w:instrText>
        </w:r>
        <w:r>
          <w:rPr>
            <w:noProof/>
          </w:rPr>
        </w:r>
        <w:r>
          <w:rPr>
            <w:noProof/>
            <w:webHidden/>
          </w:rPr>
          <w:fldChar w:fldCharType="separate"/>
        </w:r>
        <w:r>
          <w:rPr>
            <w:noProof/>
            <w:webHidden/>
          </w:rPr>
          <w:t>38</w:t>
        </w:r>
        <w:r>
          <w:rPr>
            <w:noProof/>
            <w:webHidden/>
          </w:rPr>
          <w:fldChar w:fldCharType="end"/>
        </w:r>
      </w:hyperlink>
    </w:p>
    <w:p w:rsidR="00264070" w:rsidRDefault="00264070">
      <w:pPr>
        <w:pStyle w:val="TDC4"/>
        <w:rPr>
          <w:rFonts w:ascii="Times New Roman" w:hAnsi="Times New Roman"/>
          <w:noProof/>
          <w:sz w:val="24"/>
        </w:rPr>
      </w:pPr>
      <w:hyperlink w:anchor="_Toc344391758" w:history="1">
        <w:r w:rsidRPr="00D55AAB">
          <w:rPr>
            <w:rStyle w:val="Hipervnculo"/>
            <w:noProof/>
          </w:rPr>
          <w:t>3.1.2.2</w:t>
        </w:r>
        <w:r>
          <w:rPr>
            <w:rFonts w:ascii="Times New Roman" w:hAnsi="Times New Roman"/>
            <w:noProof/>
            <w:sz w:val="24"/>
          </w:rPr>
          <w:tab/>
        </w:r>
        <w:r w:rsidRPr="00D55AAB">
          <w:rPr>
            <w:rStyle w:val="Hipervnculo"/>
            <w:noProof/>
          </w:rPr>
          <w:t>Depósitos no Consolidados</w:t>
        </w:r>
        <w:r>
          <w:rPr>
            <w:noProof/>
            <w:webHidden/>
          </w:rPr>
          <w:tab/>
        </w:r>
        <w:r>
          <w:rPr>
            <w:noProof/>
            <w:webHidden/>
          </w:rPr>
          <w:fldChar w:fldCharType="begin"/>
        </w:r>
        <w:r>
          <w:rPr>
            <w:noProof/>
            <w:webHidden/>
          </w:rPr>
          <w:instrText xml:space="preserve"> PAGEREF _Toc344391758 \h </w:instrText>
        </w:r>
        <w:r>
          <w:rPr>
            <w:noProof/>
          </w:rPr>
        </w:r>
        <w:r>
          <w:rPr>
            <w:noProof/>
            <w:webHidden/>
          </w:rPr>
          <w:fldChar w:fldCharType="separate"/>
        </w:r>
        <w:r>
          <w:rPr>
            <w:noProof/>
            <w:webHidden/>
          </w:rPr>
          <w:t>41</w:t>
        </w:r>
        <w:r>
          <w:rPr>
            <w:noProof/>
            <w:webHidden/>
          </w:rPr>
          <w:fldChar w:fldCharType="end"/>
        </w:r>
      </w:hyperlink>
    </w:p>
    <w:p w:rsidR="00264070" w:rsidRDefault="00264070">
      <w:pPr>
        <w:pStyle w:val="TDC3"/>
        <w:rPr>
          <w:rFonts w:ascii="Times New Roman" w:hAnsi="Times New Roman"/>
          <w:sz w:val="24"/>
          <w:szCs w:val="24"/>
        </w:rPr>
      </w:pPr>
      <w:hyperlink w:anchor="_Toc344391759" w:history="1">
        <w:r w:rsidRPr="00D55AAB">
          <w:rPr>
            <w:rStyle w:val="Hipervnculo"/>
          </w:rPr>
          <w:t>3.1.3</w:t>
        </w:r>
        <w:r>
          <w:rPr>
            <w:rFonts w:ascii="Times New Roman" w:hAnsi="Times New Roman"/>
            <w:sz w:val="24"/>
            <w:szCs w:val="24"/>
          </w:rPr>
          <w:tab/>
        </w:r>
        <w:r w:rsidRPr="00D55AAB">
          <w:rPr>
            <w:rStyle w:val="Hipervnculo"/>
          </w:rPr>
          <w:t>Caracterización Geológica Local</w:t>
        </w:r>
        <w:r>
          <w:rPr>
            <w:webHidden/>
          </w:rPr>
          <w:tab/>
        </w:r>
        <w:r>
          <w:rPr>
            <w:webHidden/>
          </w:rPr>
          <w:fldChar w:fldCharType="begin"/>
        </w:r>
        <w:r>
          <w:rPr>
            <w:webHidden/>
          </w:rPr>
          <w:instrText xml:space="preserve"> PAGEREF _Toc344391759 \h </w:instrText>
        </w:r>
        <w:r>
          <w:rPr>
            <w:webHidden/>
          </w:rPr>
          <w:fldChar w:fldCharType="separate"/>
        </w:r>
        <w:r>
          <w:rPr>
            <w:webHidden/>
          </w:rPr>
          <w:t>45</w:t>
        </w:r>
        <w:r>
          <w:rPr>
            <w:webHidden/>
          </w:rPr>
          <w:fldChar w:fldCharType="end"/>
        </w:r>
      </w:hyperlink>
    </w:p>
    <w:p w:rsidR="00264070" w:rsidRDefault="00264070">
      <w:pPr>
        <w:pStyle w:val="TDC4"/>
        <w:rPr>
          <w:rFonts w:ascii="Times New Roman" w:hAnsi="Times New Roman"/>
          <w:noProof/>
          <w:sz w:val="24"/>
        </w:rPr>
      </w:pPr>
      <w:hyperlink w:anchor="_Toc344391760" w:history="1">
        <w:r w:rsidRPr="00D55AAB">
          <w:rPr>
            <w:rStyle w:val="Hipervnculo"/>
            <w:noProof/>
          </w:rPr>
          <w:t>3.1.3.1</w:t>
        </w:r>
        <w:r>
          <w:rPr>
            <w:rFonts w:ascii="Times New Roman" w:hAnsi="Times New Roman"/>
            <w:noProof/>
            <w:sz w:val="24"/>
          </w:rPr>
          <w:tab/>
        </w:r>
        <w:r w:rsidRPr="00D55AAB">
          <w:rPr>
            <w:rStyle w:val="Hipervnculo"/>
            <w:noProof/>
          </w:rPr>
          <w:t>Acuífero Río Angostura</w:t>
        </w:r>
        <w:r>
          <w:rPr>
            <w:noProof/>
            <w:webHidden/>
          </w:rPr>
          <w:tab/>
        </w:r>
        <w:r>
          <w:rPr>
            <w:noProof/>
            <w:webHidden/>
          </w:rPr>
          <w:fldChar w:fldCharType="begin"/>
        </w:r>
        <w:r>
          <w:rPr>
            <w:noProof/>
            <w:webHidden/>
          </w:rPr>
          <w:instrText xml:space="preserve"> PAGEREF _Toc344391760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4"/>
        <w:rPr>
          <w:rFonts w:ascii="Times New Roman" w:hAnsi="Times New Roman"/>
          <w:noProof/>
          <w:sz w:val="24"/>
        </w:rPr>
      </w:pPr>
      <w:hyperlink w:anchor="_Toc344391761" w:history="1">
        <w:r w:rsidRPr="00D55AAB">
          <w:rPr>
            <w:rStyle w:val="Hipervnculo"/>
            <w:noProof/>
          </w:rPr>
          <w:t>3.1.3.2</w:t>
        </w:r>
        <w:r>
          <w:rPr>
            <w:rFonts w:ascii="Times New Roman" w:hAnsi="Times New Roman"/>
            <w:noProof/>
            <w:sz w:val="24"/>
          </w:rPr>
          <w:tab/>
        </w:r>
        <w:r w:rsidRPr="00D55AAB">
          <w:rPr>
            <w:rStyle w:val="Hipervnculo"/>
            <w:noProof/>
          </w:rPr>
          <w:t>Acuífero Río Cachapoal</w:t>
        </w:r>
        <w:r>
          <w:rPr>
            <w:noProof/>
            <w:webHidden/>
          </w:rPr>
          <w:tab/>
        </w:r>
        <w:r>
          <w:rPr>
            <w:noProof/>
            <w:webHidden/>
          </w:rPr>
          <w:fldChar w:fldCharType="begin"/>
        </w:r>
        <w:r>
          <w:rPr>
            <w:noProof/>
            <w:webHidden/>
          </w:rPr>
          <w:instrText xml:space="preserve"> PAGEREF _Toc344391761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4"/>
        <w:rPr>
          <w:rFonts w:ascii="Times New Roman" w:hAnsi="Times New Roman"/>
          <w:noProof/>
          <w:sz w:val="24"/>
        </w:rPr>
      </w:pPr>
      <w:hyperlink w:anchor="_Toc344391762" w:history="1">
        <w:r w:rsidRPr="00D55AAB">
          <w:rPr>
            <w:rStyle w:val="Hipervnculo"/>
            <w:noProof/>
          </w:rPr>
          <w:t>3.1.3.3</w:t>
        </w:r>
        <w:r>
          <w:rPr>
            <w:rFonts w:ascii="Times New Roman" w:hAnsi="Times New Roman"/>
            <w:noProof/>
            <w:sz w:val="24"/>
          </w:rPr>
          <w:tab/>
        </w:r>
        <w:r w:rsidRPr="00D55AAB">
          <w:rPr>
            <w:rStyle w:val="Hipervnculo"/>
            <w:noProof/>
          </w:rPr>
          <w:t>Acuífero Estero Alhué</w:t>
        </w:r>
        <w:r>
          <w:rPr>
            <w:noProof/>
            <w:webHidden/>
          </w:rPr>
          <w:tab/>
        </w:r>
        <w:r>
          <w:rPr>
            <w:noProof/>
            <w:webHidden/>
          </w:rPr>
          <w:fldChar w:fldCharType="begin"/>
        </w:r>
        <w:r>
          <w:rPr>
            <w:noProof/>
            <w:webHidden/>
          </w:rPr>
          <w:instrText xml:space="preserve"> PAGEREF _Toc344391762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4"/>
        <w:rPr>
          <w:rFonts w:ascii="Times New Roman" w:hAnsi="Times New Roman"/>
          <w:noProof/>
          <w:sz w:val="24"/>
        </w:rPr>
      </w:pPr>
      <w:hyperlink w:anchor="_Toc344391763" w:history="1">
        <w:r w:rsidRPr="00D55AAB">
          <w:rPr>
            <w:rStyle w:val="Hipervnculo"/>
            <w:noProof/>
          </w:rPr>
          <w:t>3.1.3.4</w:t>
        </w:r>
        <w:r>
          <w:rPr>
            <w:rFonts w:ascii="Times New Roman" w:hAnsi="Times New Roman"/>
            <w:noProof/>
            <w:sz w:val="24"/>
          </w:rPr>
          <w:tab/>
        </w:r>
        <w:r w:rsidRPr="00D55AAB">
          <w:rPr>
            <w:rStyle w:val="Hipervnculo"/>
            <w:noProof/>
          </w:rPr>
          <w:t>Acuífero Río Tinguiririca</w:t>
        </w:r>
        <w:r>
          <w:rPr>
            <w:noProof/>
            <w:webHidden/>
          </w:rPr>
          <w:tab/>
        </w:r>
        <w:r>
          <w:rPr>
            <w:noProof/>
            <w:webHidden/>
          </w:rPr>
          <w:fldChar w:fldCharType="begin"/>
        </w:r>
        <w:r>
          <w:rPr>
            <w:noProof/>
            <w:webHidden/>
          </w:rPr>
          <w:instrText xml:space="preserve"> PAGEREF _Toc344391763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4"/>
        <w:rPr>
          <w:rFonts w:ascii="Times New Roman" w:hAnsi="Times New Roman"/>
          <w:noProof/>
          <w:sz w:val="24"/>
        </w:rPr>
      </w:pPr>
      <w:hyperlink w:anchor="_Toc344391764" w:history="1">
        <w:r w:rsidRPr="00D55AAB">
          <w:rPr>
            <w:rStyle w:val="Hipervnculo"/>
            <w:noProof/>
          </w:rPr>
          <w:t>3.1.3.5</w:t>
        </w:r>
        <w:r>
          <w:rPr>
            <w:rFonts w:ascii="Times New Roman" w:hAnsi="Times New Roman"/>
            <w:noProof/>
            <w:sz w:val="24"/>
          </w:rPr>
          <w:tab/>
        </w:r>
        <w:r w:rsidRPr="00D55AAB">
          <w:rPr>
            <w:rStyle w:val="Hipervnculo"/>
            <w:noProof/>
          </w:rPr>
          <w:t>Acuífero Río Nilahue</w:t>
        </w:r>
        <w:r>
          <w:rPr>
            <w:noProof/>
            <w:webHidden/>
          </w:rPr>
          <w:tab/>
        </w:r>
        <w:r>
          <w:rPr>
            <w:noProof/>
            <w:webHidden/>
          </w:rPr>
          <w:fldChar w:fldCharType="begin"/>
        </w:r>
        <w:r>
          <w:rPr>
            <w:noProof/>
            <w:webHidden/>
          </w:rPr>
          <w:instrText xml:space="preserve"> PAGEREF _Toc344391764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4"/>
        <w:rPr>
          <w:rFonts w:ascii="Times New Roman" w:hAnsi="Times New Roman"/>
          <w:noProof/>
          <w:sz w:val="24"/>
        </w:rPr>
      </w:pPr>
      <w:hyperlink w:anchor="_Toc344391765" w:history="1">
        <w:r w:rsidRPr="00D55AAB">
          <w:rPr>
            <w:rStyle w:val="Hipervnculo"/>
            <w:noProof/>
          </w:rPr>
          <w:t>3.1.3.6</w:t>
        </w:r>
        <w:r>
          <w:rPr>
            <w:rFonts w:ascii="Times New Roman" w:hAnsi="Times New Roman"/>
            <w:noProof/>
            <w:sz w:val="24"/>
          </w:rPr>
          <w:tab/>
        </w:r>
        <w:r w:rsidRPr="00D55AAB">
          <w:rPr>
            <w:rStyle w:val="Hipervnculo"/>
            <w:noProof/>
          </w:rPr>
          <w:t>Acuíferos Cuencas Costeras</w:t>
        </w:r>
        <w:r>
          <w:rPr>
            <w:noProof/>
            <w:webHidden/>
          </w:rPr>
          <w:tab/>
        </w:r>
        <w:r>
          <w:rPr>
            <w:noProof/>
            <w:webHidden/>
          </w:rPr>
          <w:fldChar w:fldCharType="begin"/>
        </w:r>
        <w:r>
          <w:rPr>
            <w:noProof/>
            <w:webHidden/>
          </w:rPr>
          <w:instrText xml:space="preserve"> PAGEREF _Toc344391765 \h </w:instrText>
        </w:r>
        <w:r>
          <w:rPr>
            <w:noProof/>
          </w:rPr>
        </w:r>
        <w:r>
          <w:rPr>
            <w:noProof/>
            <w:webHidden/>
          </w:rPr>
          <w:fldChar w:fldCharType="separate"/>
        </w:r>
        <w:r>
          <w:rPr>
            <w:noProof/>
            <w:webHidden/>
          </w:rPr>
          <w:t>49</w:t>
        </w:r>
        <w:r>
          <w:rPr>
            <w:noProof/>
            <w:webHidden/>
          </w:rPr>
          <w:fldChar w:fldCharType="end"/>
        </w:r>
      </w:hyperlink>
    </w:p>
    <w:p w:rsidR="00264070" w:rsidRDefault="00264070">
      <w:pPr>
        <w:pStyle w:val="TDC2"/>
        <w:rPr>
          <w:rFonts w:ascii="Times New Roman" w:hAnsi="Times New Roman"/>
          <w:noProof/>
          <w:sz w:val="24"/>
        </w:rPr>
      </w:pPr>
      <w:hyperlink w:anchor="_Toc344391766" w:history="1">
        <w:r w:rsidRPr="00D55AAB">
          <w:rPr>
            <w:rStyle w:val="Hipervnculo"/>
            <w:noProof/>
          </w:rPr>
          <w:t>3.2</w:t>
        </w:r>
        <w:r>
          <w:rPr>
            <w:rFonts w:ascii="Times New Roman" w:hAnsi="Times New Roman"/>
            <w:noProof/>
            <w:sz w:val="24"/>
          </w:rPr>
          <w:tab/>
        </w:r>
        <w:r w:rsidRPr="00D55AAB">
          <w:rPr>
            <w:rStyle w:val="Hipervnculo"/>
            <w:noProof/>
          </w:rPr>
          <w:t>Descripción Hidrogeológica</w:t>
        </w:r>
        <w:r>
          <w:rPr>
            <w:noProof/>
            <w:webHidden/>
          </w:rPr>
          <w:tab/>
        </w:r>
        <w:r>
          <w:rPr>
            <w:noProof/>
            <w:webHidden/>
          </w:rPr>
          <w:fldChar w:fldCharType="begin"/>
        </w:r>
        <w:r>
          <w:rPr>
            <w:noProof/>
            <w:webHidden/>
          </w:rPr>
          <w:instrText xml:space="preserve"> PAGEREF _Toc344391766 \h </w:instrText>
        </w:r>
        <w:r>
          <w:rPr>
            <w:noProof/>
          </w:rPr>
        </w:r>
        <w:r>
          <w:rPr>
            <w:noProof/>
            <w:webHidden/>
          </w:rPr>
          <w:fldChar w:fldCharType="separate"/>
        </w:r>
        <w:r>
          <w:rPr>
            <w:noProof/>
            <w:webHidden/>
          </w:rPr>
          <w:t>52</w:t>
        </w:r>
        <w:r>
          <w:rPr>
            <w:noProof/>
            <w:webHidden/>
          </w:rPr>
          <w:fldChar w:fldCharType="end"/>
        </w:r>
      </w:hyperlink>
    </w:p>
    <w:p w:rsidR="00264070" w:rsidRDefault="00264070">
      <w:pPr>
        <w:pStyle w:val="TDC3"/>
        <w:rPr>
          <w:rFonts w:ascii="Times New Roman" w:hAnsi="Times New Roman"/>
          <w:sz w:val="24"/>
          <w:szCs w:val="24"/>
        </w:rPr>
      </w:pPr>
      <w:hyperlink w:anchor="_Toc344391767" w:history="1">
        <w:r w:rsidRPr="00D55AAB">
          <w:rPr>
            <w:rStyle w:val="Hipervnculo"/>
          </w:rPr>
          <w:t>3.2.1</w:t>
        </w:r>
        <w:r>
          <w:rPr>
            <w:rFonts w:ascii="Times New Roman" w:hAnsi="Times New Roman"/>
            <w:sz w:val="24"/>
            <w:szCs w:val="24"/>
          </w:rPr>
          <w:tab/>
        </w:r>
        <w:r w:rsidRPr="00D55AAB">
          <w:rPr>
            <w:rStyle w:val="Hipervnculo"/>
          </w:rPr>
          <w:t>Acuífero Río Angostura</w:t>
        </w:r>
        <w:r>
          <w:rPr>
            <w:webHidden/>
          </w:rPr>
          <w:tab/>
        </w:r>
        <w:r>
          <w:rPr>
            <w:webHidden/>
          </w:rPr>
          <w:fldChar w:fldCharType="begin"/>
        </w:r>
        <w:r>
          <w:rPr>
            <w:webHidden/>
          </w:rPr>
          <w:instrText xml:space="preserve"> PAGEREF _Toc344391767 \h </w:instrText>
        </w:r>
        <w:r>
          <w:rPr>
            <w:webHidden/>
          </w:rPr>
          <w:fldChar w:fldCharType="separate"/>
        </w:r>
        <w:r>
          <w:rPr>
            <w:webHidden/>
          </w:rPr>
          <w:t>52</w:t>
        </w:r>
        <w:r>
          <w:rPr>
            <w:webHidden/>
          </w:rPr>
          <w:fldChar w:fldCharType="end"/>
        </w:r>
      </w:hyperlink>
    </w:p>
    <w:p w:rsidR="00264070" w:rsidRDefault="00264070">
      <w:pPr>
        <w:pStyle w:val="TDC3"/>
        <w:rPr>
          <w:rFonts w:ascii="Times New Roman" w:hAnsi="Times New Roman"/>
          <w:sz w:val="24"/>
          <w:szCs w:val="24"/>
        </w:rPr>
      </w:pPr>
      <w:hyperlink w:anchor="_Toc344391768" w:history="1">
        <w:r w:rsidRPr="00D55AAB">
          <w:rPr>
            <w:rStyle w:val="Hipervnculo"/>
          </w:rPr>
          <w:t>3.2.2</w:t>
        </w:r>
        <w:r>
          <w:rPr>
            <w:rFonts w:ascii="Times New Roman" w:hAnsi="Times New Roman"/>
            <w:sz w:val="24"/>
            <w:szCs w:val="24"/>
          </w:rPr>
          <w:tab/>
        </w:r>
        <w:r w:rsidRPr="00D55AAB">
          <w:rPr>
            <w:rStyle w:val="Hipervnculo"/>
          </w:rPr>
          <w:t>Acuífero Río Cachapoal</w:t>
        </w:r>
        <w:r>
          <w:rPr>
            <w:webHidden/>
          </w:rPr>
          <w:tab/>
        </w:r>
        <w:r>
          <w:rPr>
            <w:webHidden/>
          </w:rPr>
          <w:fldChar w:fldCharType="begin"/>
        </w:r>
        <w:r>
          <w:rPr>
            <w:webHidden/>
          </w:rPr>
          <w:instrText xml:space="preserve"> PAGEREF _Toc344391768 \h </w:instrText>
        </w:r>
        <w:r>
          <w:rPr>
            <w:webHidden/>
          </w:rPr>
          <w:fldChar w:fldCharType="separate"/>
        </w:r>
        <w:r>
          <w:rPr>
            <w:webHidden/>
          </w:rPr>
          <w:t>52</w:t>
        </w:r>
        <w:r>
          <w:rPr>
            <w:webHidden/>
          </w:rPr>
          <w:fldChar w:fldCharType="end"/>
        </w:r>
      </w:hyperlink>
    </w:p>
    <w:p w:rsidR="00264070" w:rsidRDefault="00264070">
      <w:pPr>
        <w:pStyle w:val="TDC3"/>
        <w:rPr>
          <w:rFonts w:ascii="Times New Roman" w:hAnsi="Times New Roman"/>
          <w:sz w:val="24"/>
          <w:szCs w:val="24"/>
        </w:rPr>
      </w:pPr>
      <w:hyperlink w:anchor="_Toc344391769" w:history="1">
        <w:r w:rsidRPr="00D55AAB">
          <w:rPr>
            <w:rStyle w:val="Hipervnculo"/>
          </w:rPr>
          <w:t>3.2.3</w:t>
        </w:r>
        <w:r>
          <w:rPr>
            <w:rFonts w:ascii="Times New Roman" w:hAnsi="Times New Roman"/>
            <w:sz w:val="24"/>
            <w:szCs w:val="24"/>
          </w:rPr>
          <w:tab/>
        </w:r>
        <w:r w:rsidRPr="00D55AAB">
          <w:rPr>
            <w:rStyle w:val="Hipervnculo"/>
          </w:rPr>
          <w:t>Acuífero Estero Alhué</w:t>
        </w:r>
        <w:r>
          <w:rPr>
            <w:webHidden/>
          </w:rPr>
          <w:tab/>
        </w:r>
        <w:r>
          <w:rPr>
            <w:webHidden/>
          </w:rPr>
          <w:fldChar w:fldCharType="begin"/>
        </w:r>
        <w:r>
          <w:rPr>
            <w:webHidden/>
          </w:rPr>
          <w:instrText xml:space="preserve"> PAGEREF _Toc344391769 \h </w:instrText>
        </w:r>
        <w:r>
          <w:rPr>
            <w:webHidden/>
          </w:rPr>
          <w:fldChar w:fldCharType="separate"/>
        </w:r>
        <w:r>
          <w:rPr>
            <w:webHidden/>
          </w:rPr>
          <w:t>54</w:t>
        </w:r>
        <w:r>
          <w:rPr>
            <w:webHidden/>
          </w:rPr>
          <w:fldChar w:fldCharType="end"/>
        </w:r>
      </w:hyperlink>
    </w:p>
    <w:p w:rsidR="00264070" w:rsidRDefault="00264070">
      <w:pPr>
        <w:pStyle w:val="TDC3"/>
        <w:rPr>
          <w:rFonts w:ascii="Times New Roman" w:hAnsi="Times New Roman"/>
          <w:sz w:val="24"/>
          <w:szCs w:val="24"/>
        </w:rPr>
      </w:pPr>
      <w:hyperlink w:anchor="_Toc344391770" w:history="1">
        <w:r w:rsidRPr="00D55AAB">
          <w:rPr>
            <w:rStyle w:val="Hipervnculo"/>
          </w:rPr>
          <w:t>3.2.4</w:t>
        </w:r>
        <w:r>
          <w:rPr>
            <w:rFonts w:ascii="Times New Roman" w:hAnsi="Times New Roman"/>
            <w:sz w:val="24"/>
            <w:szCs w:val="24"/>
          </w:rPr>
          <w:tab/>
        </w:r>
        <w:r w:rsidRPr="00D55AAB">
          <w:rPr>
            <w:rStyle w:val="Hipervnculo"/>
          </w:rPr>
          <w:t>Acuífero Río Tinguiririca</w:t>
        </w:r>
        <w:r>
          <w:rPr>
            <w:webHidden/>
          </w:rPr>
          <w:tab/>
        </w:r>
        <w:r>
          <w:rPr>
            <w:webHidden/>
          </w:rPr>
          <w:fldChar w:fldCharType="begin"/>
        </w:r>
        <w:r>
          <w:rPr>
            <w:webHidden/>
          </w:rPr>
          <w:instrText xml:space="preserve"> PAGEREF _Toc344391770 \h </w:instrText>
        </w:r>
        <w:r>
          <w:rPr>
            <w:webHidden/>
          </w:rPr>
          <w:fldChar w:fldCharType="separate"/>
        </w:r>
        <w:r>
          <w:rPr>
            <w:webHidden/>
          </w:rPr>
          <w:t>54</w:t>
        </w:r>
        <w:r>
          <w:rPr>
            <w:webHidden/>
          </w:rPr>
          <w:fldChar w:fldCharType="end"/>
        </w:r>
      </w:hyperlink>
    </w:p>
    <w:p w:rsidR="00264070" w:rsidRDefault="00264070">
      <w:pPr>
        <w:pStyle w:val="TDC3"/>
        <w:rPr>
          <w:rFonts w:ascii="Times New Roman" w:hAnsi="Times New Roman"/>
          <w:sz w:val="24"/>
          <w:szCs w:val="24"/>
        </w:rPr>
      </w:pPr>
      <w:hyperlink w:anchor="_Toc344391771" w:history="1">
        <w:r w:rsidRPr="00D55AAB">
          <w:rPr>
            <w:rStyle w:val="Hipervnculo"/>
          </w:rPr>
          <w:t>3.2.5</w:t>
        </w:r>
        <w:r>
          <w:rPr>
            <w:rFonts w:ascii="Times New Roman" w:hAnsi="Times New Roman"/>
            <w:sz w:val="24"/>
            <w:szCs w:val="24"/>
          </w:rPr>
          <w:tab/>
        </w:r>
        <w:r w:rsidRPr="00D55AAB">
          <w:rPr>
            <w:rStyle w:val="Hipervnculo"/>
          </w:rPr>
          <w:t>Acuífero Río Nilahue</w:t>
        </w:r>
        <w:r>
          <w:rPr>
            <w:webHidden/>
          </w:rPr>
          <w:tab/>
        </w:r>
        <w:r>
          <w:rPr>
            <w:webHidden/>
          </w:rPr>
          <w:fldChar w:fldCharType="begin"/>
        </w:r>
        <w:r>
          <w:rPr>
            <w:webHidden/>
          </w:rPr>
          <w:instrText xml:space="preserve"> PAGEREF _Toc344391771 \h </w:instrText>
        </w:r>
        <w:r>
          <w:rPr>
            <w:webHidden/>
          </w:rPr>
          <w:fldChar w:fldCharType="separate"/>
        </w:r>
        <w:r>
          <w:rPr>
            <w:webHidden/>
          </w:rPr>
          <w:t>55</w:t>
        </w:r>
        <w:r>
          <w:rPr>
            <w:webHidden/>
          </w:rPr>
          <w:fldChar w:fldCharType="end"/>
        </w:r>
      </w:hyperlink>
    </w:p>
    <w:p w:rsidR="00264070" w:rsidRDefault="00264070">
      <w:pPr>
        <w:pStyle w:val="TDC3"/>
        <w:rPr>
          <w:rFonts w:ascii="Times New Roman" w:hAnsi="Times New Roman"/>
          <w:sz w:val="24"/>
          <w:szCs w:val="24"/>
        </w:rPr>
      </w:pPr>
      <w:hyperlink w:anchor="_Toc344391772" w:history="1">
        <w:r w:rsidRPr="00D55AAB">
          <w:rPr>
            <w:rStyle w:val="Hipervnculo"/>
          </w:rPr>
          <w:t>3.2.6</w:t>
        </w:r>
        <w:r>
          <w:rPr>
            <w:rFonts w:ascii="Times New Roman" w:hAnsi="Times New Roman"/>
            <w:sz w:val="24"/>
            <w:szCs w:val="24"/>
          </w:rPr>
          <w:tab/>
        </w:r>
        <w:r w:rsidRPr="00D55AAB">
          <w:rPr>
            <w:rStyle w:val="Hipervnculo"/>
          </w:rPr>
          <w:t>Acuíferos Cuencas Costeras</w:t>
        </w:r>
        <w:r>
          <w:rPr>
            <w:webHidden/>
          </w:rPr>
          <w:tab/>
        </w:r>
        <w:r>
          <w:rPr>
            <w:webHidden/>
          </w:rPr>
          <w:fldChar w:fldCharType="begin"/>
        </w:r>
        <w:r>
          <w:rPr>
            <w:webHidden/>
          </w:rPr>
          <w:instrText xml:space="preserve"> PAGEREF _Toc344391772 \h </w:instrText>
        </w:r>
        <w:r>
          <w:rPr>
            <w:webHidden/>
          </w:rPr>
          <w:fldChar w:fldCharType="separate"/>
        </w:r>
        <w:r>
          <w:rPr>
            <w:webHidden/>
          </w:rPr>
          <w:t>55</w:t>
        </w:r>
        <w:r>
          <w:rPr>
            <w:webHidden/>
          </w:rPr>
          <w:fldChar w:fldCharType="end"/>
        </w:r>
      </w:hyperlink>
    </w:p>
    <w:p w:rsidR="00264070" w:rsidRDefault="00264070">
      <w:pPr>
        <w:pStyle w:val="TDC2"/>
        <w:rPr>
          <w:rFonts w:ascii="Times New Roman" w:hAnsi="Times New Roman"/>
          <w:noProof/>
          <w:sz w:val="24"/>
        </w:rPr>
      </w:pPr>
      <w:hyperlink w:anchor="_Toc344391773" w:history="1">
        <w:r w:rsidRPr="00D55AAB">
          <w:rPr>
            <w:rStyle w:val="Hipervnculo"/>
            <w:noProof/>
          </w:rPr>
          <w:t>3.3</w:t>
        </w:r>
        <w:r>
          <w:rPr>
            <w:rFonts w:ascii="Times New Roman" w:hAnsi="Times New Roman"/>
            <w:noProof/>
            <w:sz w:val="24"/>
          </w:rPr>
          <w:tab/>
        </w:r>
        <w:r w:rsidRPr="00D55AAB">
          <w:rPr>
            <w:rStyle w:val="Hipervnculo"/>
            <w:noProof/>
          </w:rPr>
          <w:t>Mecanismo de Recarga y Descarga de Acuíferos</w:t>
        </w:r>
        <w:r>
          <w:rPr>
            <w:noProof/>
            <w:webHidden/>
          </w:rPr>
          <w:tab/>
        </w:r>
        <w:r>
          <w:rPr>
            <w:noProof/>
            <w:webHidden/>
          </w:rPr>
          <w:fldChar w:fldCharType="begin"/>
        </w:r>
        <w:r>
          <w:rPr>
            <w:noProof/>
            <w:webHidden/>
          </w:rPr>
          <w:instrText xml:space="preserve"> PAGEREF _Toc344391773 \h </w:instrText>
        </w:r>
        <w:r>
          <w:rPr>
            <w:noProof/>
          </w:rPr>
        </w:r>
        <w:r>
          <w:rPr>
            <w:noProof/>
            <w:webHidden/>
          </w:rPr>
          <w:fldChar w:fldCharType="separate"/>
        </w:r>
        <w:r>
          <w:rPr>
            <w:noProof/>
            <w:webHidden/>
          </w:rPr>
          <w:t>58</w:t>
        </w:r>
        <w:r>
          <w:rPr>
            <w:noProof/>
            <w:webHidden/>
          </w:rPr>
          <w:fldChar w:fldCharType="end"/>
        </w:r>
      </w:hyperlink>
    </w:p>
    <w:p w:rsidR="00264070" w:rsidRDefault="00264070">
      <w:pPr>
        <w:pStyle w:val="TDC3"/>
        <w:rPr>
          <w:rFonts w:ascii="Times New Roman" w:hAnsi="Times New Roman"/>
          <w:sz w:val="24"/>
          <w:szCs w:val="24"/>
        </w:rPr>
      </w:pPr>
      <w:hyperlink w:anchor="_Toc344391774" w:history="1">
        <w:r w:rsidRPr="00D55AAB">
          <w:rPr>
            <w:rStyle w:val="Hipervnculo"/>
          </w:rPr>
          <w:t>3.3.1</w:t>
        </w:r>
        <w:r>
          <w:rPr>
            <w:rFonts w:ascii="Times New Roman" w:hAnsi="Times New Roman"/>
            <w:sz w:val="24"/>
            <w:szCs w:val="24"/>
          </w:rPr>
          <w:tab/>
        </w:r>
        <w:r w:rsidRPr="00D55AAB">
          <w:rPr>
            <w:rStyle w:val="Hipervnculo"/>
          </w:rPr>
          <w:t>Acuífero Río Angostura</w:t>
        </w:r>
        <w:r>
          <w:rPr>
            <w:webHidden/>
          </w:rPr>
          <w:tab/>
        </w:r>
        <w:r>
          <w:rPr>
            <w:webHidden/>
          </w:rPr>
          <w:fldChar w:fldCharType="begin"/>
        </w:r>
        <w:r>
          <w:rPr>
            <w:webHidden/>
          </w:rPr>
          <w:instrText xml:space="preserve"> PAGEREF _Toc344391774 \h </w:instrText>
        </w:r>
        <w:r>
          <w:rPr>
            <w:webHidden/>
          </w:rPr>
          <w:fldChar w:fldCharType="separate"/>
        </w:r>
        <w:r>
          <w:rPr>
            <w:webHidden/>
          </w:rPr>
          <w:t>58</w:t>
        </w:r>
        <w:r>
          <w:rPr>
            <w:webHidden/>
          </w:rPr>
          <w:fldChar w:fldCharType="end"/>
        </w:r>
      </w:hyperlink>
    </w:p>
    <w:p w:rsidR="00264070" w:rsidRDefault="00264070">
      <w:pPr>
        <w:pStyle w:val="TDC3"/>
        <w:rPr>
          <w:rFonts w:ascii="Times New Roman" w:hAnsi="Times New Roman"/>
          <w:sz w:val="24"/>
          <w:szCs w:val="24"/>
        </w:rPr>
      </w:pPr>
      <w:hyperlink w:anchor="_Toc344391775" w:history="1">
        <w:r w:rsidRPr="00D55AAB">
          <w:rPr>
            <w:rStyle w:val="Hipervnculo"/>
          </w:rPr>
          <w:t>3.3.2</w:t>
        </w:r>
        <w:r>
          <w:rPr>
            <w:rFonts w:ascii="Times New Roman" w:hAnsi="Times New Roman"/>
            <w:sz w:val="24"/>
            <w:szCs w:val="24"/>
          </w:rPr>
          <w:tab/>
        </w:r>
        <w:r w:rsidRPr="00D55AAB">
          <w:rPr>
            <w:rStyle w:val="Hipervnculo"/>
          </w:rPr>
          <w:t>Acuífero Río Cachapoal</w:t>
        </w:r>
        <w:r>
          <w:rPr>
            <w:webHidden/>
          </w:rPr>
          <w:tab/>
        </w:r>
        <w:r>
          <w:rPr>
            <w:webHidden/>
          </w:rPr>
          <w:fldChar w:fldCharType="begin"/>
        </w:r>
        <w:r>
          <w:rPr>
            <w:webHidden/>
          </w:rPr>
          <w:instrText xml:space="preserve"> PAGEREF _Toc344391775 \h </w:instrText>
        </w:r>
        <w:r>
          <w:rPr>
            <w:webHidden/>
          </w:rPr>
          <w:fldChar w:fldCharType="separate"/>
        </w:r>
        <w:r>
          <w:rPr>
            <w:webHidden/>
          </w:rPr>
          <w:t>59</w:t>
        </w:r>
        <w:r>
          <w:rPr>
            <w:webHidden/>
          </w:rPr>
          <w:fldChar w:fldCharType="end"/>
        </w:r>
      </w:hyperlink>
    </w:p>
    <w:p w:rsidR="00264070" w:rsidRDefault="00264070">
      <w:pPr>
        <w:pStyle w:val="TDC3"/>
        <w:rPr>
          <w:rFonts w:ascii="Times New Roman" w:hAnsi="Times New Roman"/>
          <w:sz w:val="24"/>
          <w:szCs w:val="24"/>
        </w:rPr>
      </w:pPr>
      <w:hyperlink w:anchor="_Toc344391776" w:history="1">
        <w:r w:rsidRPr="00D55AAB">
          <w:rPr>
            <w:rStyle w:val="Hipervnculo"/>
          </w:rPr>
          <w:t>3.3.3</w:t>
        </w:r>
        <w:r>
          <w:rPr>
            <w:rFonts w:ascii="Times New Roman" w:hAnsi="Times New Roman"/>
            <w:sz w:val="24"/>
            <w:szCs w:val="24"/>
          </w:rPr>
          <w:tab/>
        </w:r>
        <w:r w:rsidRPr="00D55AAB">
          <w:rPr>
            <w:rStyle w:val="Hipervnculo"/>
          </w:rPr>
          <w:t>Acuífero Estero Alhué</w:t>
        </w:r>
        <w:r>
          <w:rPr>
            <w:webHidden/>
          </w:rPr>
          <w:tab/>
        </w:r>
        <w:r>
          <w:rPr>
            <w:webHidden/>
          </w:rPr>
          <w:fldChar w:fldCharType="begin"/>
        </w:r>
        <w:r>
          <w:rPr>
            <w:webHidden/>
          </w:rPr>
          <w:instrText xml:space="preserve"> PAGEREF _Toc344391776 \h </w:instrText>
        </w:r>
        <w:r>
          <w:rPr>
            <w:webHidden/>
          </w:rPr>
          <w:fldChar w:fldCharType="separate"/>
        </w:r>
        <w:r>
          <w:rPr>
            <w:webHidden/>
          </w:rPr>
          <w:t>59</w:t>
        </w:r>
        <w:r>
          <w:rPr>
            <w:webHidden/>
          </w:rPr>
          <w:fldChar w:fldCharType="end"/>
        </w:r>
      </w:hyperlink>
    </w:p>
    <w:p w:rsidR="00264070" w:rsidRDefault="00264070">
      <w:pPr>
        <w:pStyle w:val="TDC3"/>
        <w:rPr>
          <w:rFonts w:ascii="Times New Roman" w:hAnsi="Times New Roman"/>
          <w:sz w:val="24"/>
          <w:szCs w:val="24"/>
        </w:rPr>
      </w:pPr>
      <w:hyperlink w:anchor="_Toc344391777" w:history="1">
        <w:r w:rsidRPr="00D55AAB">
          <w:rPr>
            <w:rStyle w:val="Hipervnculo"/>
          </w:rPr>
          <w:t>3.3.4</w:t>
        </w:r>
        <w:r>
          <w:rPr>
            <w:rFonts w:ascii="Times New Roman" w:hAnsi="Times New Roman"/>
            <w:sz w:val="24"/>
            <w:szCs w:val="24"/>
          </w:rPr>
          <w:tab/>
        </w:r>
        <w:r w:rsidRPr="00D55AAB">
          <w:rPr>
            <w:rStyle w:val="Hipervnculo"/>
          </w:rPr>
          <w:t>Acuífero Río Tinguiririca</w:t>
        </w:r>
        <w:r>
          <w:rPr>
            <w:webHidden/>
          </w:rPr>
          <w:tab/>
        </w:r>
        <w:r>
          <w:rPr>
            <w:webHidden/>
          </w:rPr>
          <w:fldChar w:fldCharType="begin"/>
        </w:r>
        <w:r>
          <w:rPr>
            <w:webHidden/>
          </w:rPr>
          <w:instrText xml:space="preserve"> PAGEREF _Toc344391777 \h </w:instrText>
        </w:r>
        <w:r>
          <w:rPr>
            <w:webHidden/>
          </w:rPr>
          <w:fldChar w:fldCharType="separate"/>
        </w:r>
        <w:r>
          <w:rPr>
            <w:webHidden/>
          </w:rPr>
          <w:t>59</w:t>
        </w:r>
        <w:r>
          <w:rPr>
            <w:webHidden/>
          </w:rPr>
          <w:fldChar w:fldCharType="end"/>
        </w:r>
      </w:hyperlink>
    </w:p>
    <w:p w:rsidR="00264070" w:rsidRDefault="00264070">
      <w:pPr>
        <w:pStyle w:val="TDC3"/>
        <w:rPr>
          <w:rFonts w:ascii="Times New Roman" w:hAnsi="Times New Roman"/>
          <w:sz w:val="24"/>
          <w:szCs w:val="24"/>
        </w:rPr>
      </w:pPr>
      <w:hyperlink w:anchor="_Toc344391778" w:history="1">
        <w:r w:rsidRPr="00D55AAB">
          <w:rPr>
            <w:rStyle w:val="Hipervnculo"/>
          </w:rPr>
          <w:t>3.3.5</w:t>
        </w:r>
        <w:r>
          <w:rPr>
            <w:rFonts w:ascii="Times New Roman" w:hAnsi="Times New Roman"/>
            <w:sz w:val="24"/>
            <w:szCs w:val="24"/>
          </w:rPr>
          <w:tab/>
        </w:r>
        <w:r w:rsidRPr="00D55AAB">
          <w:rPr>
            <w:rStyle w:val="Hipervnculo"/>
          </w:rPr>
          <w:t>Acuífero Río Nilahue</w:t>
        </w:r>
        <w:r>
          <w:rPr>
            <w:webHidden/>
          </w:rPr>
          <w:tab/>
        </w:r>
        <w:r>
          <w:rPr>
            <w:webHidden/>
          </w:rPr>
          <w:fldChar w:fldCharType="begin"/>
        </w:r>
        <w:r>
          <w:rPr>
            <w:webHidden/>
          </w:rPr>
          <w:instrText xml:space="preserve"> PAGEREF _Toc344391778 \h </w:instrText>
        </w:r>
        <w:r>
          <w:rPr>
            <w:webHidden/>
          </w:rPr>
          <w:fldChar w:fldCharType="separate"/>
        </w:r>
        <w:r>
          <w:rPr>
            <w:webHidden/>
          </w:rPr>
          <w:t>60</w:t>
        </w:r>
        <w:r>
          <w:rPr>
            <w:webHidden/>
          </w:rPr>
          <w:fldChar w:fldCharType="end"/>
        </w:r>
      </w:hyperlink>
    </w:p>
    <w:p w:rsidR="00264070" w:rsidRDefault="00264070">
      <w:pPr>
        <w:pStyle w:val="TDC2"/>
        <w:rPr>
          <w:rFonts w:ascii="Times New Roman" w:hAnsi="Times New Roman"/>
          <w:noProof/>
          <w:sz w:val="24"/>
        </w:rPr>
      </w:pPr>
      <w:hyperlink w:anchor="_Toc344391779" w:history="1">
        <w:r w:rsidRPr="00D55AAB">
          <w:rPr>
            <w:rStyle w:val="Hipervnculo"/>
            <w:noProof/>
          </w:rPr>
          <w:t>3.4</w:t>
        </w:r>
        <w:r>
          <w:rPr>
            <w:rFonts w:ascii="Times New Roman" w:hAnsi="Times New Roman"/>
            <w:noProof/>
            <w:sz w:val="24"/>
          </w:rPr>
          <w:tab/>
        </w:r>
        <w:r w:rsidRPr="00D55AAB">
          <w:rPr>
            <w:rStyle w:val="Hipervnculo"/>
            <w:noProof/>
          </w:rPr>
          <w:t>Determinación de Escorrentía y Disponibilidad</w:t>
        </w:r>
        <w:r>
          <w:rPr>
            <w:noProof/>
            <w:webHidden/>
          </w:rPr>
          <w:tab/>
        </w:r>
        <w:r>
          <w:rPr>
            <w:noProof/>
            <w:webHidden/>
          </w:rPr>
          <w:fldChar w:fldCharType="begin"/>
        </w:r>
        <w:r>
          <w:rPr>
            <w:noProof/>
            <w:webHidden/>
          </w:rPr>
          <w:instrText xml:space="preserve"> PAGEREF _Toc344391779 \h </w:instrText>
        </w:r>
        <w:r>
          <w:rPr>
            <w:noProof/>
          </w:rPr>
        </w:r>
        <w:r>
          <w:rPr>
            <w:noProof/>
            <w:webHidden/>
          </w:rPr>
          <w:fldChar w:fldCharType="separate"/>
        </w:r>
        <w:r>
          <w:rPr>
            <w:noProof/>
            <w:webHidden/>
          </w:rPr>
          <w:t>61</w:t>
        </w:r>
        <w:r>
          <w:rPr>
            <w:noProof/>
            <w:webHidden/>
          </w:rPr>
          <w:fldChar w:fldCharType="end"/>
        </w:r>
      </w:hyperlink>
    </w:p>
    <w:p w:rsidR="00264070" w:rsidRDefault="00264070">
      <w:pPr>
        <w:pStyle w:val="TDC3"/>
        <w:rPr>
          <w:rFonts w:ascii="Times New Roman" w:hAnsi="Times New Roman"/>
          <w:sz w:val="24"/>
          <w:szCs w:val="24"/>
        </w:rPr>
      </w:pPr>
      <w:hyperlink w:anchor="_Toc344391780" w:history="1">
        <w:r w:rsidRPr="00D55AAB">
          <w:rPr>
            <w:rStyle w:val="Hipervnculo"/>
          </w:rPr>
          <w:t>3.4.1</w:t>
        </w:r>
        <w:r>
          <w:rPr>
            <w:rFonts w:ascii="Times New Roman" w:hAnsi="Times New Roman"/>
            <w:sz w:val="24"/>
            <w:szCs w:val="24"/>
          </w:rPr>
          <w:tab/>
        </w:r>
        <w:r w:rsidRPr="00D55AAB">
          <w:rPr>
            <w:rStyle w:val="Hipervnculo"/>
          </w:rPr>
          <w:t>Acuífero Río Angostura</w:t>
        </w:r>
        <w:r>
          <w:rPr>
            <w:webHidden/>
          </w:rPr>
          <w:tab/>
        </w:r>
        <w:r>
          <w:rPr>
            <w:webHidden/>
          </w:rPr>
          <w:fldChar w:fldCharType="begin"/>
        </w:r>
        <w:r>
          <w:rPr>
            <w:webHidden/>
          </w:rPr>
          <w:instrText xml:space="preserve"> PAGEREF _Toc344391780 \h </w:instrText>
        </w:r>
        <w:r>
          <w:rPr>
            <w:webHidden/>
          </w:rPr>
          <w:fldChar w:fldCharType="separate"/>
        </w:r>
        <w:r>
          <w:rPr>
            <w:webHidden/>
          </w:rPr>
          <w:t>62</w:t>
        </w:r>
        <w:r>
          <w:rPr>
            <w:webHidden/>
          </w:rPr>
          <w:fldChar w:fldCharType="end"/>
        </w:r>
      </w:hyperlink>
    </w:p>
    <w:p w:rsidR="00264070" w:rsidRDefault="00264070">
      <w:pPr>
        <w:pStyle w:val="TDC4"/>
        <w:rPr>
          <w:rFonts w:ascii="Times New Roman" w:hAnsi="Times New Roman"/>
          <w:noProof/>
          <w:sz w:val="24"/>
        </w:rPr>
      </w:pPr>
      <w:hyperlink w:anchor="_Toc344391781" w:history="1">
        <w:r w:rsidRPr="00D55AAB">
          <w:rPr>
            <w:rStyle w:val="Hipervnculo"/>
            <w:noProof/>
          </w:rPr>
          <w:t>3.4.1.1</w:t>
        </w:r>
        <w:r>
          <w:rPr>
            <w:rFonts w:ascii="Times New Roman" w:hAnsi="Times New Roman"/>
            <w:noProof/>
            <w:sz w:val="24"/>
          </w:rPr>
          <w:tab/>
        </w:r>
        <w:r w:rsidRPr="00D55AAB">
          <w:rPr>
            <w:rStyle w:val="Hipervnculo"/>
            <w:noProof/>
          </w:rPr>
          <w:t>Sector Codegua</w:t>
        </w:r>
        <w:r>
          <w:rPr>
            <w:noProof/>
            <w:webHidden/>
          </w:rPr>
          <w:tab/>
        </w:r>
        <w:r>
          <w:rPr>
            <w:noProof/>
            <w:webHidden/>
          </w:rPr>
          <w:fldChar w:fldCharType="begin"/>
        </w:r>
        <w:r>
          <w:rPr>
            <w:noProof/>
            <w:webHidden/>
          </w:rPr>
          <w:instrText xml:space="preserve"> PAGEREF _Toc344391781 \h </w:instrText>
        </w:r>
        <w:r>
          <w:rPr>
            <w:noProof/>
          </w:rPr>
        </w:r>
        <w:r>
          <w:rPr>
            <w:noProof/>
            <w:webHidden/>
          </w:rPr>
          <w:fldChar w:fldCharType="separate"/>
        </w:r>
        <w:r>
          <w:rPr>
            <w:noProof/>
            <w:webHidden/>
          </w:rPr>
          <w:t>62</w:t>
        </w:r>
        <w:r>
          <w:rPr>
            <w:noProof/>
            <w:webHidden/>
          </w:rPr>
          <w:fldChar w:fldCharType="end"/>
        </w:r>
      </w:hyperlink>
    </w:p>
    <w:p w:rsidR="00264070" w:rsidRDefault="00264070">
      <w:pPr>
        <w:pStyle w:val="TDC3"/>
        <w:rPr>
          <w:rFonts w:ascii="Times New Roman" w:hAnsi="Times New Roman"/>
          <w:sz w:val="24"/>
          <w:szCs w:val="24"/>
        </w:rPr>
      </w:pPr>
      <w:hyperlink w:anchor="_Toc344391782" w:history="1">
        <w:r w:rsidRPr="00D55AAB">
          <w:rPr>
            <w:rStyle w:val="Hipervnculo"/>
          </w:rPr>
          <w:t>3.4.2</w:t>
        </w:r>
        <w:r>
          <w:rPr>
            <w:rFonts w:ascii="Times New Roman" w:hAnsi="Times New Roman"/>
            <w:sz w:val="24"/>
            <w:szCs w:val="24"/>
          </w:rPr>
          <w:tab/>
        </w:r>
        <w:r w:rsidRPr="00D55AAB">
          <w:rPr>
            <w:rStyle w:val="Hipervnculo"/>
          </w:rPr>
          <w:t>Acuífero Río Cachapoal</w:t>
        </w:r>
        <w:r>
          <w:rPr>
            <w:webHidden/>
          </w:rPr>
          <w:tab/>
        </w:r>
        <w:r>
          <w:rPr>
            <w:webHidden/>
          </w:rPr>
          <w:fldChar w:fldCharType="begin"/>
        </w:r>
        <w:r>
          <w:rPr>
            <w:webHidden/>
          </w:rPr>
          <w:instrText xml:space="preserve"> PAGEREF _Toc344391782 \h </w:instrText>
        </w:r>
        <w:r>
          <w:rPr>
            <w:webHidden/>
          </w:rPr>
          <w:fldChar w:fldCharType="separate"/>
        </w:r>
        <w:r>
          <w:rPr>
            <w:webHidden/>
          </w:rPr>
          <w:t>63</w:t>
        </w:r>
        <w:r>
          <w:rPr>
            <w:webHidden/>
          </w:rPr>
          <w:fldChar w:fldCharType="end"/>
        </w:r>
      </w:hyperlink>
    </w:p>
    <w:p w:rsidR="00264070" w:rsidRDefault="00264070">
      <w:pPr>
        <w:pStyle w:val="TDC4"/>
        <w:rPr>
          <w:rFonts w:ascii="Times New Roman" w:hAnsi="Times New Roman"/>
          <w:noProof/>
          <w:sz w:val="24"/>
        </w:rPr>
      </w:pPr>
      <w:hyperlink w:anchor="_Toc344391783" w:history="1">
        <w:r w:rsidRPr="00D55AAB">
          <w:rPr>
            <w:rStyle w:val="Hipervnculo"/>
            <w:noProof/>
          </w:rPr>
          <w:t>3.4.2.1</w:t>
        </w:r>
        <w:r>
          <w:rPr>
            <w:rFonts w:ascii="Times New Roman" w:hAnsi="Times New Roman"/>
            <w:noProof/>
            <w:sz w:val="24"/>
          </w:rPr>
          <w:tab/>
        </w:r>
        <w:r w:rsidRPr="00D55AAB">
          <w:rPr>
            <w:rStyle w:val="Hipervnculo"/>
            <w:noProof/>
          </w:rPr>
          <w:t>Sector Graneros-Rancagua</w:t>
        </w:r>
        <w:r>
          <w:rPr>
            <w:noProof/>
            <w:webHidden/>
          </w:rPr>
          <w:tab/>
        </w:r>
        <w:r>
          <w:rPr>
            <w:noProof/>
            <w:webHidden/>
          </w:rPr>
          <w:fldChar w:fldCharType="begin"/>
        </w:r>
        <w:r>
          <w:rPr>
            <w:noProof/>
            <w:webHidden/>
          </w:rPr>
          <w:instrText xml:space="preserve"> PAGEREF _Toc344391783 \h </w:instrText>
        </w:r>
        <w:r>
          <w:rPr>
            <w:noProof/>
          </w:rPr>
        </w:r>
        <w:r>
          <w:rPr>
            <w:noProof/>
            <w:webHidden/>
          </w:rPr>
          <w:fldChar w:fldCharType="separate"/>
        </w:r>
        <w:r>
          <w:rPr>
            <w:noProof/>
            <w:webHidden/>
          </w:rPr>
          <w:t>63</w:t>
        </w:r>
        <w:r>
          <w:rPr>
            <w:noProof/>
            <w:webHidden/>
          </w:rPr>
          <w:fldChar w:fldCharType="end"/>
        </w:r>
      </w:hyperlink>
    </w:p>
    <w:p w:rsidR="00264070" w:rsidRDefault="00264070">
      <w:pPr>
        <w:pStyle w:val="TDC4"/>
        <w:rPr>
          <w:rFonts w:ascii="Times New Roman" w:hAnsi="Times New Roman"/>
          <w:noProof/>
          <w:sz w:val="24"/>
        </w:rPr>
      </w:pPr>
      <w:hyperlink w:anchor="_Toc344391784" w:history="1">
        <w:r w:rsidRPr="00D55AAB">
          <w:rPr>
            <w:rStyle w:val="Hipervnculo"/>
            <w:noProof/>
          </w:rPr>
          <w:t>3.4.2.2</w:t>
        </w:r>
        <w:r>
          <w:rPr>
            <w:rFonts w:ascii="Times New Roman" w:hAnsi="Times New Roman"/>
            <w:noProof/>
            <w:sz w:val="24"/>
          </w:rPr>
          <w:tab/>
        </w:r>
        <w:r w:rsidRPr="00D55AAB">
          <w:rPr>
            <w:rStyle w:val="Hipervnculo"/>
            <w:noProof/>
          </w:rPr>
          <w:t>Sector Olivar</w:t>
        </w:r>
        <w:r>
          <w:rPr>
            <w:noProof/>
            <w:webHidden/>
          </w:rPr>
          <w:tab/>
        </w:r>
        <w:r>
          <w:rPr>
            <w:noProof/>
            <w:webHidden/>
          </w:rPr>
          <w:fldChar w:fldCharType="begin"/>
        </w:r>
        <w:r>
          <w:rPr>
            <w:noProof/>
            <w:webHidden/>
          </w:rPr>
          <w:instrText xml:space="preserve"> PAGEREF _Toc344391784 \h </w:instrText>
        </w:r>
        <w:r>
          <w:rPr>
            <w:noProof/>
          </w:rPr>
        </w:r>
        <w:r>
          <w:rPr>
            <w:noProof/>
            <w:webHidden/>
          </w:rPr>
          <w:fldChar w:fldCharType="separate"/>
        </w:r>
        <w:r>
          <w:rPr>
            <w:noProof/>
            <w:webHidden/>
          </w:rPr>
          <w:t>63</w:t>
        </w:r>
        <w:r>
          <w:rPr>
            <w:noProof/>
            <w:webHidden/>
          </w:rPr>
          <w:fldChar w:fldCharType="end"/>
        </w:r>
      </w:hyperlink>
    </w:p>
    <w:p w:rsidR="00264070" w:rsidRDefault="00264070">
      <w:pPr>
        <w:pStyle w:val="TDC4"/>
        <w:rPr>
          <w:rFonts w:ascii="Times New Roman" w:hAnsi="Times New Roman"/>
          <w:noProof/>
          <w:sz w:val="24"/>
        </w:rPr>
      </w:pPr>
      <w:hyperlink w:anchor="_Toc344391785" w:history="1">
        <w:r w:rsidRPr="00D55AAB">
          <w:rPr>
            <w:rStyle w:val="Hipervnculo"/>
            <w:noProof/>
          </w:rPr>
          <w:t>3.4.2.3</w:t>
        </w:r>
        <w:r>
          <w:rPr>
            <w:rFonts w:ascii="Times New Roman" w:hAnsi="Times New Roman"/>
            <w:noProof/>
            <w:sz w:val="24"/>
          </w:rPr>
          <w:tab/>
        </w:r>
        <w:r w:rsidRPr="00D55AAB">
          <w:rPr>
            <w:rStyle w:val="Hipervnculo"/>
            <w:noProof/>
          </w:rPr>
          <w:t>Sector Doñihue – Coinco – Coltauco</w:t>
        </w:r>
        <w:r>
          <w:rPr>
            <w:noProof/>
            <w:webHidden/>
          </w:rPr>
          <w:tab/>
        </w:r>
        <w:r>
          <w:rPr>
            <w:noProof/>
            <w:webHidden/>
          </w:rPr>
          <w:fldChar w:fldCharType="begin"/>
        </w:r>
        <w:r>
          <w:rPr>
            <w:noProof/>
            <w:webHidden/>
          </w:rPr>
          <w:instrText xml:space="preserve"> PAGEREF _Toc344391785 \h </w:instrText>
        </w:r>
        <w:r>
          <w:rPr>
            <w:noProof/>
          </w:rPr>
        </w:r>
        <w:r>
          <w:rPr>
            <w:noProof/>
            <w:webHidden/>
          </w:rPr>
          <w:fldChar w:fldCharType="separate"/>
        </w:r>
        <w:r>
          <w:rPr>
            <w:noProof/>
            <w:webHidden/>
          </w:rPr>
          <w:t>63</w:t>
        </w:r>
        <w:r>
          <w:rPr>
            <w:noProof/>
            <w:webHidden/>
          </w:rPr>
          <w:fldChar w:fldCharType="end"/>
        </w:r>
      </w:hyperlink>
    </w:p>
    <w:p w:rsidR="00264070" w:rsidRDefault="00264070">
      <w:pPr>
        <w:pStyle w:val="TDC4"/>
        <w:rPr>
          <w:rFonts w:ascii="Times New Roman" w:hAnsi="Times New Roman"/>
          <w:noProof/>
          <w:sz w:val="24"/>
        </w:rPr>
      </w:pPr>
      <w:hyperlink w:anchor="_Toc344391786" w:history="1">
        <w:r w:rsidRPr="00D55AAB">
          <w:rPr>
            <w:rStyle w:val="Hipervnculo"/>
            <w:noProof/>
          </w:rPr>
          <w:t>3.4.2.4</w:t>
        </w:r>
        <w:r>
          <w:rPr>
            <w:rFonts w:ascii="Times New Roman" w:hAnsi="Times New Roman"/>
            <w:noProof/>
            <w:sz w:val="24"/>
          </w:rPr>
          <w:tab/>
        </w:r>
        <w:r w:rsidRPr="00D55AAB">
          <w:rPr>
            <w:rStyle w:val="Hipervnculo"/>
            <w:noProof/>
          </w:rPr>
          <w:t>Sector Requínoa – Rosario – Rengo – Quinta de Tilcoco</w:t>
        </w:r>
        <w:r>
          <w:rPr>
            <w:noProof/>
            <w:webHidden/>
          </w:rPr>
          <w:tab/>
        </w:r>
        <w:r>
          <w:rPr>
            <w:noProof/>
            <w:webHidden/>
          </w:rPr>
          <w:fldChar w:fldCharType="begin"/>
        </w:r>
        <w:r>
          <w:rPr>
            <w:noProof/>
            <w:webHidden/>
          </w:rPr>
          <w:instrText xml:space="preserve"> PAGEREF _Toc344391786 \h </w:instrText>
        </w:r>
        <w:r>
          <w:rPr>
            <w:noProof/>
          </w:rPr>
        </w:r>
        <w:r>
          <w:rPr>
            <w:noProof/>
            <w:webHidden/>
          </w:rPr>
          <w:fldChar w:fldCharType="separate"/>
        </w:r>
        <w:r>
          <w:rPr>
            <w:noProof/>
            <w:webHidden/>
          </w:rPr>
          <w:t>64</w:t>
        </w:r>
        <w:r>
          <w:rPr>
            <w:noProof/>
            <w:webHidden/>
          </w:rPr>
          <w:fldChar w:fldCharType="end"/>
        </w:r>
      </w:hyperlink>
    </w:p>
    <w:p w:rsidR="00264070" w:rsidRDefault="00264070">
      <w:pPr>
        <w:pStyle w:val="TDC4"/>
        <w:rPr>
          <w:rFonts w:ascii="Times New Roman" w:hAnsi="Times New Roman"/>
          <w:noProof/>
          <w:sz w:val="24"/>
        </w:rPr>
      </w:pPr>
      <w:hyperlink w:anchor="_Toc344391787" w:history="1">
        <w:r w:rsidRPr="00D55AAB">
          <w:rPr>
            <w:rStyle w:val="Hipervnculo"/>
            <w:noProof/>
          </w:rPr>
          <w:t>3.4.2.5</w:t>
        </w:r>
        <w:r>
          <w:rPr>
            <w:rFonts w:ascii="Times New Roman" w:hAnsi="Times New Roman"/>
            <w:noProof/>
            <w:sz w:val="24"/>
          </w:rPr>
          <w:tab/>
        </w:r>
        <w:r w:rsidRPr="00D55AAB">
          <w:rPr>
            <w:rStyle w:val="Hipervnculo"/>
            <w:noProof/>
          </w:rPr>
          <w:t>Sector Pelequén – Malloa – San Vicente de Tagua Tagua</w:t>
        </w:r>
        <w:r>
          <w:rPr>
            <w:noProof/>
            <w:webHidden/>
          </w:rPr>
          <w:tab/>
        </w:r>
        <w:r>
          <w:rPr>
            <w:noProof/>
            <w:webHidden/>
          </w:rPr>
          <w:fldChar w:fldCharType="begin"/>
        </w:r>
        <w:r>
          <w:rPr>
            <w:noProof/>
            <w:webHidden/>
          </w:rPr>
          <w:instrText xml:space="preserve"> PAGEREF _Toc344391787 \h </w:instrText>
        </w:r>
        <w:r>
          <w:rPr>
            <w:noProof/>
          </w:rPr>
        </w:r>
        <w:r>
          <w:rPr>
            <w:noProof/>
            <w:webHidden/>
          </w:rPr>
          <w:fldChar w:fldCharType="separate"/>
        </w:r>
        <w:r>
          <w:rPr>
            <w:noProof/>
            <w:webHidden/>
          </w:rPr>
          <w:t>64</w:t>
        </w:r>
        <w:r>
          <w:rPr>
            <w:noProof/>
            <w:webHidden/>
          </w:rPr>
          <w:fldChar w:fldCharType="end"/>
        </w:r>
      </w:hyperlink>
    </w:p>
    <w:p w:rsidR="00264070" w:rsidRDefault="00264070">
      <w:pPr>
        <w:pStyle w:val="TDC4"/>
        <w:rPr>
          <w:rFonts w:ascii="Times New Roman" w:hAnsi="Times New Roman"/>
          <w:noProof/>
          <w:sz w:val="24"/>
        </w:rPr>
      </w:pPr>
      <w:hyperlink w:anchor="_Toc344391788" w:history="1">
        <w:r w:rsidRPr="00D55AAB">
          <w:rPr>
            <w:rStyle w:val="Hipervnculo"/>
            <w:noProof/>
          </w:rPr>
          <w:t>3.4.2.6</w:t>
        </w:r>
        <w:r>
          <w:rPr>
            <w:rFonts w:ascii="Times New Roman" w:hAnsi="Times New Roman"/>
            <w:noProof/>
            <w:sz w:val="24"/>
          </w:rPr>
          <w:tab/>
        </w:r>
        <w:r w:rsidRPr="00D55AAB">
          <w:rPr>
            <w:rStyle w:val="Hipervnculo"/>
            <w:noProof/>
          </w:rPr>
          <w:t>Sector Peumo – Pichidegua – Las Cabras</w:t>
        </w:r>
        <w:r>
          <w:rPr>
            <w:noProof/>
            <w:webHidden/>
          </w:rPr>
          <w:tab/>
        </w:r>
        <w:r>
          <w:rPr>
            <w:noProof/>
            <w:webHidden/>
          </w:rPr>
          <w:fldChar w:fldCharType="begin"/>
        </w:r>
        <w:r>
          <w:rPr>
            <w:noProof/>
            <w:webHidden/>
          </w:rPr>
          <w:instrText xml:space="preserve"> PAGEREF _Toc344391788 \h </w:instrText>
        </w:r>
        <w:r>
          <w:rPr>
            <w:noProof/>
          </w:rPr>
        </w:r>
        <w:r>
          <w:rPr>
            <w:noProof/>
            <w:webHidden/>
          </w:rPr>
          <w:fldChar w:fldCharType="separate"/>
        </w:r>
        <w:r>
          <w:rPr>
            <w:noProof/>
            <w:webHidden/>
          </w:rPr>
          <w:t>64</w:t>
        </w:r>
        <w:r>
          <w:rPr>
            <w:noProof/>
            <w:webHidden/>
          </w:rPr>
          <w:fldChar w:fldCharType="end"/>
        </w:r>
      </w:hyperlink>
    </w:p>
    <w:p w:rsidR="00264070" w:rsidRDefault="00264070">
      <w:pPr>
        <w:pStyle w:val="TDC4"/>
        <w:rPr>
          <w:rFonts w:ascii="Times New Roman" w:hAnsi="Times New Roman"/>
          <w:noProof/>
          <w:sz w:val="24"/>
        </w:rPr>
      </w:pPr>
      <w:hyperlink w:anchor="_Toc344391789" w:history="1">
        <w:r w:rsidRPr="00D55AAB">
          <w:rPr>
            <w:rStyle w:val="Hipervnculo"/>
            <w:noProof/>
          </w:rPr>
          <w:t>3.4.2.7</w:t>
        </w:r>
        <w:r>
          <w:rPr>
            <w:rFonts w:ascii="Times New Roman" w:hAnsi="Times New Roman"/>
            <w:noProof/>
            <w:sz w:val="24"/>
          </w:rPr>
          <w:tab/>
        </w:r>
        <w:r w:rsidRPr="00D55AAB">
          <w:rPr>
            <w:rStyle w:val="Hipervnculo"/>
            <w:noProof/>
          </w:rPr>
          <w:t>Sector Laguna San Vicente de Tagua Tagua</w:t>
        </w:r>
        <w:r>
          <w:rPr>
            <w:noProof/>
            <w:webHidden/>
          </w:rPr>
          <w:tab/>
        </w:r>
        <w:r>
          <w:rPr>
            <w:noProof/>
            <w:webHidden/>
          </w:rPr>
          <w:fldChar w:fldCharType="begin"/>
        </w:r>
        <w:r>
          <w:rPr>
            <w:noProof/>
            <w:webHidden/>
          </w:rPr>
          <w:instrText xml:space="preserve"> PAGEREF _Toc344391789 \h </w:instrText>
        </w:r>
        <w:r>
          <w:rPr>
            <w:noProof/>
          </w:rPr>
        </w:r>
        <w:r>
          <w:rPr>
            <w:noProof/>
            <w:webHidden/>
          </w:rPr>
          <w:fldChar w:fldCharType="separate"/>
        </w:r>
        <w:r>
          <w:rPr>
            <w:noProof/>
            <w:webHidden/>
          </w:rPr>
          <w:t>64</w:t>
        </w:r>
        <w:r>
          <w:rPr>
            <w:noProof/>
            <w:webHidden/>
          </w:rPr>
          <w:fldChar w:fldCharType="end"/>
        </w:r>
      </w:hyperlink>
    </w:p>
    <w:p w:rsidR="00264070" w:rsidRDefault="00264070">
      <w:pPr>
        <w:pStyle w:val="TDC3"/>
        <w:rPr>
          <w:rFonts w:ascii="Times New Roman" w:hAnsi="Times New Roman"/>
          <w:sz w:val="24"/>
          <w:szCs w:val="24"/>
        </w:rPr>
      </w:pPr>
      <w:hyperlink w:anchor="_Toc344391790" w:history="1">
        <w:r w:rsidRPr="00D55AAB">
          <w:rPr>
            <w:rStyle w:val="Hipervnculo"/>
          </w:rPr>
          <w:t>3.4.3</w:t>
        </w:r>
        <w:r>
          <w:rPr>
            <w:rFonts w:ascii="Times New Roman" w:hAnsi="Times New Roman"/>
            <w:sz w:val="24"/>
            <w:szCs w:val="24"/>
          </w:rPr>
          <w:tab/>
        </w:r>
        <w:r w:rsidRPr="00D55AAB">
          <w:rPr>
            <w:rStyle w:val="Hipervnculo"/>
          </w:rPr>
          <w:t>Acuífero Estero Alhué</w:t>
        </w:r>
        <w:r>
          <w:rPr>
            <w:webHidden/>
          </w:rPr>
          <w:tab/>
        </w:r>
        <w:r>
          <w:rPr>
            <w:webHidden/>
          </w:rPr>
          <w:fldChar w:fldCharType="begin"/>
        </w:r>
        <w:r>
          <w:rPr>
            <w:webHidden/>
          </w:rPr>
          <w:instrText xml:space="preserve"> PAGEREF _Toc344391790 \h </w:instrText>
        </w:r>
        <w:r>
          <w:rPr>
            <w:webHidden/>
          </w:rPr>
          <w:fldChar w:fldCharType="separate"/>
        </w:r>
        <w:r>
          <w:rPr>
            <w:webHidden/>
          </w:rPr>
          <w:t>65</w:t>
        </w:r>
        <w:r>
          <w:rPr>
            <w:webHidden/>
          </w:rPr>
          <w:fldChar w:fldCharType="end"/>
        </w:r>
      </w:hyperlink>
    </w:p>
    <w:p w:rsidR="00264070" w:rsidRDefault="00264070">
      <w:pPr>
        <w:pStyle w:val="TDC4"/>
        <w:rPr>
          <w:rFonts w:ascii="Times New Roman" w:hAnsi="Times New Roman"/>
          <w:noProof/>
          <w:sz w:val="24"/>
        </w:rPr>
      </w:pPr>
      <w:hyperlink w:anchor="_Toc344391791" w:history="1">
        <w:r w:rsidRPr="00D55AAB">
          <w:rPr>
            <w:rStyle w:val="Hipervnculo"/>
            <w:noProof/>
          </w:rPr>
          <w:t>3.4.3.1</w:t>
        </w:r>
        <w:r>
          <w:rPr>
            <w:rFonts w:ascii="Times New Roman" w:hAnsi="Times New Roman"/>
            <w:noProof/>
            <w:sz w:val="24"/>
          </w:rPr>
          <w:tab/>
        </w:r>
        <w:r w:rsidRPr="00D55AAB">
          <w:rPr>
            <w:rStyle w:val="Hipervnculo"/>
            <w:noProof/>
          </w:rPr>
          <w:t>Sector Embalse Rapel</w:t>
        </w:r>
        <w:r>
          <w:rPr>
            <w:noProof/>
            <w:webHidden/>
          </w:rPr>
          <w:tab/>
        </w:r>
        <w:r>
          <w:rPr>
            <w:noProof/>
            <w:webHidden/>
          </w:rPr>
          <w:fldChar w:fldCharType="begin"/>
        </w:r>
        <w:r>
          <w:rPr>
            <w:noProof/>
            <w:webHidden/>
          </w:rPr>
          <w:instrText xml:space="preserve"> PAGEREF _Toc344391791 \h </w:instrText>
        </w:r>
        <w:r>
          <w:rPr>
            <w:noProof/>
          </w:rPr>
        </w:r>
        <w:r>
          <w:rPr>
            <w:noProof/>
            <w:webHidden/>
          </w:rPr>
          <w:fldChar w:fldCharType="separate"/>
        </w:r>
        <w:r>
          <w:rPr>
            <w:noProof/>
            <w:webHidden/>
          </w:rPr>
          <w:t>65</w:t>
        </w:r>
        <w:r>
          <w:rPr>
            <w:noProof/>
            <w:webHidden/>
          </w:rPr>
          <w:fldChar w:fldCharType="end"/>
        </w:r>
      </w:hyperlink>
    </w:p>
    <w:p w:rsidR="00264070" w:rsidRDefault="00264070">
      <w:pPr>
        <w:pStyle w:val="TDC4"/>
        <w:rPr>
          <w:rFonts w:ascii="Times New Roman" w:hAnsi="Times New Roman"/>
          <w:noProof/>
          <w:sz w:val="24"/>
        </w:rPr>
      </w:pPr>
      <w:hyperlink w:anchor="_Toc344391792" w:history="1">
        <w:r w:rsidRPr="00D55AAB">
          <w:rPr>
            <w:rStyle w:val="Hipervnculo"/>
            <w:noProof/>
          </w:rPr>
          <w:t>3.4.3.2</w:t>
        </w:r>
        <w:r>
          <w:rPr>
            <w:rFonts w:ascii="Times New Roman" w:hAnsi="Times New Roman"/>
            <w:noProof/>
            <w:sz w:val="24"/>
          </w:rPr>
          <w:tab/>
        </w:r>
        <w:r w:rsidRPr="00D55AAB">
          <w:rPr>
            <w:rStyle w:val="Hipervnculo"/>
            <w:noProof/>
          </w:rPr>
          <w:t>Sector Las Palmas</w:t>
        </w:r>
        <w:r>
          <w:rPr>
            <w:noProof/>
            <w:webHidden/>
          </w:rPr>
          <w:tab/>
        </w:r>
        <w:r>
          <w:rPr>
            <w:noProof/>
            <w:webHidden/>
          </w:rPr>
          <w:fldChar w:fldCharType="begin"/>
        </w:r>
        <w:r>
          <w:rPr>
            <w:noProof/>
            <w:webHidden/>
          </w:rPr>
          <w:instrText xml:space="preserve"> PAGEREF _Toc344391792 \h </w:instrText>
        </w:r>
        <w:r>
          <w:rPr>
            <w:noProof/>
          </w:rPr>
        </w:r>
        <w:r>
          <w:rPr>
            <w:noProof/>
            <w:webHidden/>
          </w:rPr>
          <w:fldChar w:fldCharType="separate"/>
        </w:r>
        <w:r>
          <w:rPr>
            <w:noProof/>
            <w:webHidden/>
          </w:rPr>
          <w:t>65</w:t>
        </w:r>
        <w:r>
          <w:rPr>
            <w:noProof/>
            <w:webHidden/>
          </w:rPr>
          <w:fldChar w:fldCharType="end"/>
        </w:r>
      </w:hyperlink>
    </w:p>
    <w:p w:rsidR="00264070" w:rsidRDefault="00264070">
      <w:pPr>
        <w:pStyle w:val="TDC4"/>
        <w:rPr>
          <w:rFonts w:ascii="Times New Roman" w:hAnsi="Times New Roman"/>
          <w:noProof/>
          <w:sz w:val="24"/>
        </w:rPr>
      </w:pPr>
      <w:hyperlink w:anchor="_Toc344391793" w:history="1">
        <w:r w:rsidRPr="00D55AAB">
          <w:rPr>
            <w:rStyle w:val="Hipervnculo"/>
            <w:noProof/>
          </w:rPr>
          <w:t>3.4.3.3</w:t>
        </w:r>
        <w:r>
          <w:rPr>
            <w:rFonts w:ascii="Times New Roman" w:hAnsi="Times New Roman"/>
            <w:noProof/>
            <w:sz w:val="24"/>
          </w:rPr>
          <w:tab/>
        </w:r>
        <w:r w:rsidRPr="00D55AAB">
          <w:rPr>
            <w:rStyle w:val="Hipervnculo"/>
            <w:noProof/>
          </w:rPr>
          <w:t>Sector Alhué</w:t>
        </w:r>
        <w:r>
          <w:rPr>
            <w:noProof/>
            <w:webHidden/>
          </w:rPr>
          <w:tab/>
        </w:r>
        <w:r>
          <w:rPr>
            <w:noProof/>
            <w:webHidden/>
          </w:rPr>
          <w:fldChar w:fldCharType="begin"/>
        </w:r>
        <w:r>
          <w:rPr>
            <w:noProof/>
            <w:webHidden/>
          </w:rPr>
          <w:instrText xml:space="preserve"> PAGEREF _Toc344391793 \h </w:instrText>
        </w:r>
        <w:r>
          <w:rPr>
            <w:noProof/>
          </w:rPr>
        </w:r>
        <w:r>
          <w:rPr>
            <w:noProof/>
            <w:webHidden/>
          </w:rPr>
          <w:fldChar w:fldCharType="separate"/>
        </w:r>
        <w:r>
          <w:rPr>
            <w:noProof/>
            <w:webHidden/>
          </w:rPr>
          <w:t>65</w:t>
        </w:r>
        <w:r>
          <w:rPr>
            <w:noProof/>
            <w:webHidden/>
          </w:rPr>
          <w:fldChar w:fldCharType="end"/>
        </w:r>
      </w:hyperlink>
    </w:p>
    <w:p w:rsidR="00264070" w:rsidRDefault="00264070">
      <w:pPr>
        <w:pStyle w:val="TDC3"/>
        <w:rPr>
          <w:rFonts w:ascii="Times New Roman" w:hAnsi="Times New Roman"/>
          <w:sz w:val="24"/>
          <w:szCs w:val="24"/>
        </w:rPr>
      </w:pPr>
      <w:hyperlink w:anchor="_Toc344391794" w:history="1">
        <w:r w:rsidRPr="00D55AAB">
          <w:rPr>
            <w:rStyle w:val="Hipervnculo"/>
          </w:rPr>
          <w:t>3.4.4</w:t>
        </w:r>
        <w:r>
          <w:rPr>
            <w:rFonts w:ascii="Times New Roman" w:hAnsi="Times New Roman"/>
            <w:sz w:val="24"/>
            <w:szCs w:val="24"/>
          </w:rPr>
          <w:tab/>
        </w:r>
        <w:r w:rsidRPr="00D55AAB">
          <w:rPr>
            <w:rStyle w:val="Hipervnculo"/>
          </w:rPr>
          <w:t>Acuífero Río Tinguiririca</w:t>
        </w:r>
        <w:r>
          <w:rPr>
            <w:webHidden/>
          </w:rPr>
          <w:tab/>
        </w:r>
        <w:r>
          <w:rPr>
            <w:webHidden/>
          </w:rPr>
          <w:fldChar w:fldCharType="begin"/>
        </w:r>
        <w:r>
          <w:rPr>
            <w:webHidden/>
          </w:rPr>
          <w:instrText xml:space="preserve"> PAGEREF _Toc344391794 \h </w:instrText>
        </w:r>
        <w:r>
          <w:rPr>
            <w:webHidden/>
          </w:rPr>
          <w:fldChar w:fldCharType="separate"/>
        </w:r>
        <w:r>
          <w:rPr>
            <w:webHidden/>
          </w:rPr>
          <w:t>65</w:t>
        </w:r>
        <w:r>
          <w:rPr>
            <w:webHidden/>
          </w:rPr>
          <w:fldChar w:fldCharType="end"/>
        </w:r>
      </w:hyperlink>
    </w:p>
    <w:p w:rsidR="00264070" w:rsidRDefault="00264070">
      <w:pPr>
        <w:pStyle w:val="TDC4"/>
        <w:rPr>
          <w:rFonts w:ascii="Times New Roman" w:hAnsi="Times New Roman"/>
          <w:noProof/>
          <w:sz w:val="24"/>
        </w:rPr>
      </w:pPr>
      <w:hyperlink w:anchor="_Toc344391795" w:history="1">
        <w:r w:rsidRPr="00D55AAB">
          <w:rPr>
            <w:rStyle w:val="Hipervnculo"/>
            <w:noProof/>
          </w:rPr>
          <w:t>3.4.4.1</w:t>
        </w:r>
        <w:r>
          <w:rPr>
            <w:rFonts w:ascii="Times New Roman" w:hAnsi="Times New Roman"/>
            <w:noProof/>
            <w:sz w:val="24"/>
          </w:rPr>
          <w:tab/>
        </w:r>
        <w:r w:rsidRPr="00D55AAB">
          <w:rPr>
            <w:rStyle w:val="Hipervnculo"/>
            <w:noProof/>
          </w:rPr>
          <w:t>Sectores Tinguiririca Inferior, Tinguiririca Superior, San Fernando y Chimbarongo</w:t>
        </w:r>
        <w:r>
          <w:rPr>
            <w:noProof/>
            <w:webHidden/>
          </w:rPr>
          <w:tab/>
        </w:r>
        <w:r>
          <w:rPr>
            <w:noProof/>
            <w:webHidden/>
          </w:rPr>
          <w:fldChar w:fldCharType="begin"/>
        </w:r>
        <w:r>
          <w:rPr>
            <w:noProof/>
            <w:webHidden/>
          </w:rPr>
          <w:instrText xml:space="preserve"> PAGEREF _Toc344391795 \h </w:instrText>
        </w:r>
        <w:r>
          <w:rPr>
            <w:noProof/>
          </w:rPr>
        </w:r>
        <w:r>
          <w:rPr>
            <w:noProof/>
            <w:webHidden/>
          </w:rPr>
          <w:fldChar w:fldCharType="separate"/>
        </w:r>
        <w:r>
          <w:rPr>
            <w:noProof/>
            <w:webHidden/>
          </w:rPr>
          <w:t>65</w:t>
        </w:r>
        <w:r>
          <w:rPr>
            <w:noProof/>
            <w:webHidden/>
          </w:rPr>
          <w:fldChar w:fldCharType="end"/>
        </w:r>
      </w:hyperlink>
    </w:p>
    <w:p w:rsidR="00264070" w:rsidRDefault="00264070">
      <w:pPr>
        <w:pStyle w:val="TDC4"/>
        <w:rPr>
          <w:rFonts w:ascii="Times New Roman" w:hAnsi="Times New Roman"/>
          <w:noProof/>
          <w:sz w:val="24"/>
        </w:rPr>
      </w:pPr>
      <w:hyperlink w:anchor="_Toc344391796" w:history="1">
        <w:r w:rsidRPr="00D55AAB">
          <w:rPr>
            <w:rStyle w:val="Hipervnculo"/>
            <w:noProof/>
          </w:rPr>
          <w:t>3.4.4.2</w:t>
        </w:r>
        <w:r>
          <w:rPr>
            <w:rFonts w:ascii="Times New Roman" w:hAnsi="Times New Roman"/>
            <w:noProof/>
            <w:sz w:val="24"/>
          </w:rPr>
          <w:tab/>
        </w:r>
        <w:r w:rsidRPr="00D55AAB">
          <w:rPr>
            <w:rStyle w:val="Hipervnculo"/>
            <w:noProof/>
          </w:rPr>
          <w:t>Sectores El Monte, Las Cadenas - Yerbas Buenas y Las Cadenas - Marchigüe</w:t>
        </w:r>
        <w:r>
          <w:rPr>
            <w:noProof/>
            <w:webHidden/>
          </w:rPr>
          <w:tab/>
        </w:r>
        <w:r>
          <w:rPr>
            <w:noProof/>
            <w:webHidden/>
          </w:rPr>
          <w:fldChar w:fldCharType="begin"/>
        </w:r>
        <w:r>
          <w:rPr>
            <w:noProof/>
            <w:webHidden/>
          </w:rPr>
          <w:instrText xml:space="preserve"> PAGEREF _Toc344391796 \h </w:instrText>
        </w:r>
        <w:r>
          <w:rPr>
            <w:noProof/>
          </w:rPr>
        </w:r>
        <w:r>
          <w:rPr>
            <w:noProof/>
            <w:webHidden/>
          </w:rPr>
          <w:fldChar w:fldCharType="separate"/>
        </w:r>
        <w:r>
          <w:rPr>
            <w:noProof/>
            <w:webHidden/>
          </w:rPr>
          <w:t>66</w:t>
        </w:r>
        <w:r>
          <w:rPr>
            <w:noProof/>
            <w:webHidden/>
          </w:rPr>
          <w:fldChar w:fldCharType="end"/>
        </w:r>
      </w:hyperlink>
    </w:p>
    <w:p w:rsidR="00264070" w:rsidRDefault="00264070">
      <w:pPr>
        <w:pStyle w:val="TDC3"/>
        <w:rPr>
          <w:rFonts w:ascii="Times New Roman" w:hAnsi="Times New Roman"/>
          <w:sz w:val="24"/>
          <w:szCs w:val="24"/>
        </w:rPr>
      </w:pPr>
      <w:hyperlink w:anchor="_Toc344391797" w:history="1">
        <w:r w:rsidRPr="00D55AAB">
          <w:rPr>
            <w:rStyle w:val="Hipervnculo"/>
          </w:rPr>
          <w:t>3.4.5</w:t>
        </w:r>
        <w:r>
          <w:rPr>
            <w:rFonts w:ascii="Times New Roman" w:hAnsi="Times New Roman"/>
            <w:sz w:val="24"/>
            <w:szCs w:val="24"/>
          </w:rPr>
          <w:tab/>
        </w:r>
        <w:r w:rsidRPr="00D55AAB">
          <w:rPr>
            <w:rStyle w:val="Hipervnculo"/>
          </w:rPr>
          <w:t>Acuífero Río Nilahue</w:t>
        </w:r>
        <w:r>
          <w:rPr>
            <w:webHidden/>
          </w:rPr>
          <w:tab/>
        </w:r>
        <w:r>
          <w:rPr>
            <w:webHidden/>
          </w:rPr>
          <w:fldChar w:fldCharType="begin"/>
        </w:r>
        <w:r>
          <w:rPr>
            <w:webHidden/>
          </w:rPr>
          <w:instrText xml:space="preserve"> PAGEREF _Toc344391797 \h </w:instrText>
        </w:r>
        <w:r>
          <w:rPr>
            <w:webHidden/>
          </w:rPr>
          <w:fldChar w:fldCharType="separate"/>
        </w:r>
        <w:r>
          <w:rPr>
            <w:webHidden/>
          </w:rPr>
          <w:t>66</w:t>
        </w:r>
        <w:r>
          <w:rPr>
            <w:webHidden/>
          </w:rPr>
          <w:fldChar w:fldCharType="end"/>
        </w:r>
      </w:hyperlink>
    </w:p>
    <w:p w:rsidR="00264070" w:rsidRDefault="00264070">
      <w:pPr>
        <w:pStyle w:val="TDC3"/>
        <w:rPr>
          <w:rFonts w:ascii="Times New Roman" w:hAnsi="Times New Roman"/>
          <w:sz w:val="24"/>
          <w:szCs w:val="24"/>
        </w:rPr>
      </w:pPr>
      <w:hyperlink w:anchor="_Toc344391798" w:history="1">
        <w:r w:rsidRPr="00D55AAB">
          <w:rPr>
            <w:rStyle w:val="Hipervnculo"/>
          </w:rPr>
          <w:t>3.4.6</w:t>
        </w:r>
        <w:r>
          <w:rPr>
            <w:rFonts w:ascii="Times New Roman" w:hAnsi="Times New Roman"/>
            <w:sz w:val="24"/>
            <w:szCs w:val="24"/>
          </w:rPr>
          <w:tab/>
        </w:r>
        <w:r w:rsidRPr="00D55AAB">
          <w:rPr>
            <w:rStyle w:val="Hipervnculo"/>
          </w:rPr>
          <w:t>Acuíferos Cuencas Costeras</w:t>
        </w:r>
        <w:r>
          <w:rPr>
            <w:webHidden/>
          </w:rPr>
          <w:tab/>
        </w:r>
        <w:r>
          <w:rPr>
            <w:webHidden/>
          </w:rPr>
          <w:fldChar w:fldCharType="begin"/>
        </w:r>
        <w:r>
          <w:rPr>
            <w:webHidden/>
          </w:rPr>
          <w:instrText xml:space="preserve"> PAGEREF _Toc344391798 \h </w:instrText>
        </w:r>
        <w:r>
          <w:rPr>
            <w:webHidden/>
          </w:rPr>
          <w:fldChar w:fldCharType="separate"/>
        </w:r>
        <w:r>
          <w:rPr>
            <w:webHidden/>
          </w:rPr>
          <w:t>67</w:t>
        </w:r>
        <w:r>
          <w:rPr>
            <w:webHidden/>
          </w:rPr>
          <w:fldChar w:fldCharType="end"/>
        </w:r>
      </w:hyperlink>
    </w:p>
    <w:p w:rsidR="00264070" w:rsidRDefault="00264070">
      <w:pPr>
        <w:pStyle w:val="TDC2"/>
        <w:rPr>
          <w:rFonts w:ascii="Times New Roman" w:hAnsi="Times New Roman"/>
          <w:noProof/>
          <w:sz w:val="24"/>
        </w:rPr>
      </w:pPr>
      <w:hyperlink w:anchor="_Toc344391799" w:history="1">
        <w:r w:rsidRPr="00D55AAB">
          <w:rPr>
            <w:rStyle w:val="Hipervnculo"/>
            <w:noProof/>
          </w:rPr>
          <w:t>3.5</w:t>
        </w:r>
        <w:r>
          <w:rPr>
            <w:rFonts w:ascii="Times New Roman" w:hAnsi="Times New Roman"/>
            <w:noProof/>
            <w:sz w:val="24"/>
          </w:rPr>
          <w:tab/>
        </w:r>
        <w:r w:rsidRPr="00D55AAB">
          <w:rPr>
            <w:rStyle w:val="Hipervnculo"/>
            <w:noProof/>
          </w:rPr>
          <w:t>Estudios Referenciales en la Caracterización Hidrogeológica</w:t>
        </w:r>
        <w:r>
          <w:rPr>
            <w:noProof/>
            <w:webHidden/>
          </w:rPr>
          <w:tab/>
        </w:r>
        <w:r>
          <w:rPr>
            <w:noProof/>
            <w:webHidden/>
          </w:rPr>
          <w:fldChar w:fldCharType="begin"/>
        </w:r>
        <w:r>
          <w:rPr>
            <w:noProof/>
            <w:webHidden/>
          </w:rPr>
          <w:instrText xml:space="preserve"> PAGEREF _Toc344391799 \h </w:instrText>
        </w:r>
        <w:r>
          <w:rPr>
            <w:noProof/>
          </w:rPr>
        </w:r>
        <w:r>
          <w:rPr>
            <w:noProof/>
            <w:webHidden/>
          </w:rPr>
          <w:fldChar w:fldCharType="separate"/>
        </w:r>
        <w:r>
          <w:rPr>
            <w:noProof/>
            <w:webHidden/>
          </w:rPr>
          <w:t>73</w:t>
        </w:r>
        <w:r>
          <w:rPr>
            <w:noProof/>
            <w:webHidden/>
          </w:rPr>
          <w:fldChar w:fldCharType="end"/>
        </w:r>
      </w:hyperlink>
    </w:p>
    <w:p w:rsidR="00264070" w:rsidRDefault="00264070">
      <w:pPr>
        <w:pStyle w:val="TDC1"/>
        <w:rPr>
          <w:rFonts w:ascii="Times New Roman" w:hAnsi="Times New Roman"/>
          <w:noProof/>
          <w:sz w:val="24"/>
        </w:rPr>
      </w:pPr>
      <w:hyperlink w:anchor="_Toc344391800" w:history="1">
        <w:r w:rsidRPr="00D55AAB">
          <w:rPr>
            <w:rStyle w:val="Hipervnculo"/>
            <w:noProof/>
          </w:rPr>
          <w:t>4.</w:t>
        </w:r>
        <w:r>
          <w:rPr>
            <w:rFonts w:ascii="Times New Roman" w:hAnsi="Times New Roman"/>
            <w:noProof/>
            <w:sz w:val="24"/>
          </w:rPr>
          <w:tab/>
        </w:r>
        <w:r w:rsidRPr="00D55AAB">
          <w:rPr>
            <w:rStyle w:val="Hipervnculo"/>
            <w:noProof/>
          </w:rPr>
          <w:t>CARACTERIZACIÓN HIDROLÓGICA SUPERFICIAL</w:t>
        </w:r>
        <w:r>
          <w:rPr>
            <w:noProof/>
            <w:webHidden/>
          </w:rPr>
          <w:tab/>
        </w:r>
        <w:r>
          <w:rPr>
            <w:noProof/>
            <w:webHidden/>
          </w:rPr>
          <w:fldChar w:fldCharType="begin"/>
        </w:r>
        <w:r>
          <w:rPr>
            <w:noProof/>
            <w:webHidden/>
          </w:rPr>
          <w:instrText xml:space="preserve"> PAGEREF _Toc344391800 \h </w:instrText>
        </w:r>
        <w:r>
          <w:rPr>
            <w:noProof/>
          </w:rPr>
        </w:r>
        <w:r>
          <w:rPr>
            <w:noProof/>
            <w:webHidden/>
          </w:rPr>
          <w:fldChar w:fldCharType="separate"/>
        </w:r>
        <w:r>
          <w:rPr>
            <w:noProof/>
            <w:webHidden/>
          </w:rPr>
          <w:t>75</w:t>
        </w:r>
        <w:r>
          <w:rPr>
            <w:noProof/>
            <w:webHidden/>
          </w:rPr>
          <w:fldChar w:fldCharType="end"/>
        </w:r>
      </w:hyperlink>
    </w:p>
    <w:p w:rsidR="00264070" w:rsidRDefault="00264070">
      <w:pPr>
        <w:pStyle w:val="TDC2"/>
        <w:rPr>
          <w:rFonts w:ascii="Times New Roman" w:hAnsi="Times New Roman"/>
          <w:noProof/>
          <w:sz w:val="24"/>
        </w:rPr>
      </w:pPr>
      <w:hyperlink w:anchor="_Toc344391801" w:history="1">
        <w:r w:rsidRPr="00D55AAB">
          <w:rPr>
            <w:rStyle w:val="Hipervnculo"/>
            <w:noProof/>
          </w:rPr>
          <w:t>4.1</w:t>
        </w:r>
        <w:r>
          <w:rPr>
            <w:rFonts w:ascii="Times New Roman" w:hAnsi="Times New Roman"/>
            <w:noProof/>
            <w:sz w:val="24"/>
          </w:rPr>
          <w:tab/>
        </w:r>
        <w:r w:rsidRPr="00D55AAB">
          <w:rPr>
            <w:rStyle w:val="Hipervnculo"/>
            <w:noProof/>
          </w:rPr>
          <w:t>Alcances</w:t>
        </w:r>
        <w:r>
          <w:rPr>
            <w:noProof/>
            <w:webHidden/>
          </w:rPr>
          <w:tab/>
        </w:r>
        <w:r>
          <w:rPr>
            <w:noProof/>
            <w:webHidden/>
          </w:rPr>
          <w:fldChar w:fldCharType="begin"/>
        </w:r>
        <w:r>
          <w:rPr>
            <w:noProof/>
            <w:webHidden/>
          </w:rPr>
          <w:instrText xml:space="preserve"> PAGEREF _Toc344391801 \h </w:instrText>
        </w:r>
        <w:r>
          <w:rPr>
            <w:noProof/>
          </w:rPr>
        </w:r>
        <w:r>
          <w:rPr>
            <w:noProof/>
            <w:webHidden/>
          </w:rPr>
          <w:fldChar w:fldCharType="separate"/>
        </w:r>
        <w:r>
          <w:rPr>
            <w:noProof/>
            <w:webHidden/>
          </w:rPr>
          <w:t>75</w:t>
        </w:r>
        <w:r>
          <w:rPr>
            <w:noProof/>
            <w:webHidden/>
          </w:rPr>
          <w:fldChar w:fldCharType="end"/>
        </w:r>
      </w:hyperlink>
    </w:p>
    <w:p w:rsidR="00264070" w:rsidRDefault="00264070">
      <w:pPr>
        <w:pStyle w:val="TDC2"/>
        <w:rPr>
          <w:rFonts w:ascii="Times New Roman" w:hAnsi="Times New Roman"/>
          <w:noProof/>
          <w:sz w:val="24"/>
        </w:rPr>
      </w:pPr>
      <w:hyperlink w:anchor="_Toc344391802" w:history="1">
        <w:r w:rsidRPr="00D55AAB">
          <w:rPr>
            <w:rStyle w:val="Hipervnculo"/>
            <w:noProof/>
          </w:rPr>
          <w:t>4.2</w:t>
        </w:r>
        <w:r>
          <w:rPr>
            <w:rFonts w:ascii="Times New Roman" w:hAnsi="Times New Roman"/>
            <w:noProof/>
            <w:sz w:val="24"/>
          </w:rPr>
          <w:tab/>
        </w:r>
        <w:r w:rsidRPr="00D55AAB">
          <w:rPr>
            <w:rStyle w:val="Hipervnculo"/>
            <w:noProof/>
          </w:rPr>
          <w:t>Pluviometría</w:t>
        </w:r>
        <w:r>
          <w:rPr>
            <w:noProof/>
            <w:webHidden/>
          </w:rPr>
          <w:tab/>
        </w:r>
        <w:r>
          <w:rPr>
            <w:noProof/>
            <w:webHidden/>
          </w:rPr>
          <w:fldChar w:fldCharType="begin"/>
        </w:r>
        <w:r>
          <w:rPr>
            <w:noProof/>
            <w:webHidden/>
          </w:rPr>
          <w:instrText xml:space="preserve"> PAGEREF _Toc344391802 \h </w:instrText>
        </w:r>
        <w:r>
          <w:rPr>
            <w:noProof/>
          </w:rPr>
        </w:r>
        <w:r>
          <w:rPr>
            <w:noProof/>
            <w:webHidden/>
          </w:rPr>
          <w:fldChar w:fldCharType="separate"/>
        </w:r>
        <w:r>
          <w:rPr>
            <w:noProof/>
            <w:webHidden/>
          </w:rPr>
          <w:t>75</w:t>
        </w:r>
        <w:r>
          <w:rPr>
            <w:noProof/>
            <w:webHidden/>
          </w:rPr>
          <w:fldChar w:fldCharType="end"/>
        </w:r>
      </w:hyperlink>
    </w:p>
    <w:p w:rsidR="00264070" w:rsidRDefault="00264070">
      <w:pPr>
        <w:pStyle w:val="TDC3"/>
        <w:rPr>
          <w:rFonts w:ascii="Times New Roman" w:hAnsi="Times New Roman"/>
          <w:sz w:val="24"/>
          <w:szCs w:val="24"/>
        </w:rPr>
      </w:pPr>
      <w:hyperlink w:anchor="_Toc344391803" w:history="1">
        <w:r w:rsidRPr="00D55AAB">
          <w:rPr>
            <w:rStyle w:val="Hipervnculo"/>
          </w:rPr>
          <w:t>4.2.1</w:t>
        </w:r>
        <w:r>
          <w:rPr>
            <w:rFonts w:ascii="Times New Roman" w:hAnsi="Times New Roman"/>
            <w:sz w:val="24"/>
            <w:szCs w:val="24"/>
          </w:rPr>
          <w:tab/>
        </w:r>
        <w:r w:rsidRPr="00D55AAB">
          <w:rPr>
            <w:rStyle w:val="Hipervnculo"/>
          </w:rPr>
          <w:t>Obtención de Series de Precipitaciones</w:t>
        </w:r>
        <w:r>
          <w:rPr>
            <w:webHidden/>
          </w:rPr>
          <w:tab/>
        </w:r>
        <w:r>
          <w:rPr>
            <w:webHidden/>
          </w:rPr>
          <w:fldChar w:fldCharType="begin"/>
        </w:r>
        <w:r>
          <w:rPr>
            <w:webHidden/>
          </w:rPr>
          <w:instrText xml:space="preserve"> PAGEREF _Toc344391803 \h </w:instrText>
        </w:r>
        <w:r>
          <w:rPr>
            <w:webHidden/>
          </w:rPr>
          <w:fldChar w:fldCharType="separate"/>
        </w:r>
        <w:r>
          <w:rPr>
            <w:webHidden/>
          </w:rPr>
          <w:t>78</w:t>
        </w:r>
        <w:r>
          <w:rPr>
            <w:webHidden/>
          </w:rPr>
          <w:fldChar w:fldCharType="end"/>
        </w:r>
      </w:hyperlink>
    </w:p>
    <w:p w:rsidR="00264070" w:rsidRDefault="00264070">
      <w:pPr>
        <w:pStyle w:val="TDC3"/>
        <w:rPr>
          <w:rFonts w:ascii="Times New Roman" w:hAnsi="Times New Roman"/>
          <w:sz w:val="24"/>
          <w:szCs w:val="24"/>
        </w:rPr>
      </w:pPr>
      <w:hyperlink w:anchor="_Toc344391804" w:history="1">
        <w:r w:rsidRPr="00D55AAB">
          <w:rPr>
            <w:rStyle w:val="Hipervnculo"/>
          </w:rPr>
          <w:t>4.2.2</w:t>
        </w:r>
        <w:r>
          <w:rPr>
            <w:rFonts w:ascii="Times New Roman" w:hAnsi="Times New Roman"/>
            <w:sz w:val="24"/>
            <w:szCs w:val="24"/>
          </w:rPr>
          <w:tab/>
        </w:r>
        <w:r w:rsidRPr="00D55AAB">
          <w:rPr>
            <w:rStyle w:val="Hipervnculo"/>
          </w:rPr>
          <w:t>Isoyetas Precipitaciones Medias Anuales</w:t>
        </w:r>
        <w:r>
          <w:rPr>
            <w:webHidden/>
          </w:rPr>
          <w:tab/>
        </w:r>
        <w:r>
          <w:rPr>
            <w:webHidden/>
          </w:rPr>
          <w:fldChar w:fldCharType="begin"/>
        </w:r>
        <w:r>
          <w:rPr>
            <w:webHidden/>
          </w:rPr>
          <w:instrText xml:space="preserve"> PAGEREF _Toc344391804 \h </w:instrText>
        </w:r>
        <w:r>
          <w:rPr>
            <w:webHidden/>
          </w:rPr>
          <w:fldChar w:fldCharType="separate"/>
        </w:r>
        <w:r>
          <w:rPr>
            <w:webHidden/>
          </w:rPr>
          <w:t>78</w:t>
        </w:r>
        <w:r>
          <w:rPr>
            <w:webHidden/>
          </w:rPr>
          <w:fldChar w:fldCharType="end"/>
        </w:r>
      </w:hyperlink>
    </w:p>
    <w:p w:rsidR="00264070" w:rsidRDefault="00264070">
      <w:pPr>
        <w:pStyle w:val="TDC2"/>
        <w:rPr>
          <w:rFonts w:ascii="Times New Roman" w:hAnsi="Times New Roman"/>
          <w:noProof/>
          <w:sz w:val="24"/>
        </w:rPr>
      </w:pPr>
      <w:hyperlink w:anchor="_Toc344391805" w:history="1">
        <w:r w:rsidRPr="00D55AAB">
          <w:rPr>
            <w:rStyle w:val="Hipervnculo"/>
            <w:noProof/>
          </w:rPr>
          <w:t>4.3</w:t>
        </w:r>
        <w:r>
          <w:rPr>
            <w:rFonts w:ascii="Times New Roman" w:hAnsi="Times New Roman"/>
            <w:noProof/>
            <w:sz w:val="24"/>
          </w:rPr>
          <w:tab/>
        </w:r>
        <w:r w:rsidRPr="00D55AAB">
          <w:rPr>
            <w:rStyle w:val="Hipervnculo"/>
            <w:noProof/>
          </w:rPr>
          <w:t>Fluviometría</w:t>
        </w:r>
        <w:r>
          <w:rPr>
            <w:noProof/>
            <w:webHidden/>
          </w:rPr>
          <w:tab/>
        </w:r>
        <w:r>
          <w:rPr>
            <w:noProof/>
            <w:webHidden/>
          </w:rPr>
          <w:fldChar w:fldCharType="begin"/>
        </w:r>
        <w:r>
          <w:rPr>
            <w:noProof/>
            <w:webHidden/>
          </w:rPr>
          <w:instrText xml:space="preserve"> PAGEREF _Toc344391805 \h </w:instrText>
        </w:r>
        <w:r>
          <w:rPr>
            <w:noProof/>
          </w:rPr>
        </w:r>
        <w:r>
          <w:rPr>
            <w:noProof/>
            <w:webHidden/>
          </w:rPr>
          <w:fldChar w:fldCharType="separate"/>
        </w:r>
        <w:r>
          <w:rPr>
            <w:noProof/>
            <w:webHidden/>
          </w:rPr>
          <w:t>79</w:t>
        </w:r>
        <w:r>
          <w:rPr>
            <w:noProof/>
            <w:webHidden/>
          </w:rPr>
          <w:fldChar w:fldCharType="end"/>
        </w:r>
      </w:hyperlink>
    </w:p>
    <w:p w:rsidR="00264070" w:rsidRDefault="00264070">
      <w:pPr>
        <w:pStyle w:val="TDC3"/>
        <w:rPr>
          <w:rFonts w:ascii="Times New Roman" w:hAnsi="Times New Roman"/>
          <w:sz w:val="24"/>
          <w:szCs w:val="24"/>
        </w:rPr>
      </w:pPr>
      <w:hyperlink w:anchor="_Toc344391806" w:history="1">
        <w:r w:rsidRPr="00D55AAB">
          <w:rPr>
            <w:rStyle w:val="Hipervnculo"/>
          </w:rPr>
          <w:t>4.3.1</w:t>
        </w:r>
        <w:r>
          <w:rPr>
            <w:rFonts w:ascii="Times New Roman" w:hAnsi="Times New Roman"/>
            <w:sz w:val="24"/>
            <w:szCs w:val="24"/>
          </w:rPr>
          <w:tab/>
        </w:r>
        <w:r w:rsidRPr="00D55AAB">
          <w:rPr>
            <w:rStyle w:val="Hipervnculo"/>
          </w:rPr>
          <w:t>Relleno de Estadísticas Base</w:t>
        </w:r>
        <w:r>
          <w:rPr>
            <w:webHidden/>
          </w:rPr>
          <w:tab/>
        </w:r>
        <w:r>
          <w:rPr>
            <w:webHidden/>
          </w:rPr>
          <w:fldChar w:fldCharType="begin"/>
        </w:r>
        <w:r>
          <w:rPr>
            <w:webHidden/>
          </w:rPr>
          <w:instrText xml:space="preserve"> PAGEREF _Toc344391806 \h </w:instrText>
        </w:r>
        <w:r>
          <w:rPr>
            <w:webHidden/>
          </w:rPr>
          <w:fldChar w:fldCharType="separate"/>
        </w:r>
        <w:r>
          <w:rPr>
            <w:webHidden/>
          </w:rPr>
          <w:t>81</w:t>
        </w:r>
        <w:r>
          <w:rPr>
            <w:webHidden/>
          </w:rPr>
          <w:fldChar w:fldCharType="end"/>
        </w:r>
      </w:hyperlink>
    </w:p>
    <w:p w:rsidR="00264070" w:rsidRDefault="00264070">
      <w:pPr>
        <w:pStyle w:val="TDC2"/>
        <w:rPr>
          <w:rFonts w:ascii="Times New Roman" w:hAnsi="Times New Roman"/>
          <w:noProof/>
          <w:sz w:val="24"/>
        </w:rPr>
      </w:pPr>
      <w:hyperlink w:anchor="_Toc344391807" w:history="1">
        <w:r w:rsidRPr="00D55AAB">
          <w:rPr>
            <w:rStyle w:val="Hipervnculo"/>
            <w:noProof/>
          </w:rPr>
          <w:t>4.4</w:t>
        </w:r>
        <w:r>
          <w:rPr>
            <w:rFonts w:ascii="Times New Roman" w:hAnsi="Times New Roman"/>
            <w:noProof/>
            <w:sz w:val="24"/>
          </w:rPr>
          <w:tab/>
        </w:r>
        <w:r w:rsidRPr="00D55AAB">
          <w:rPr>
            <w:rStyle w:val="Hipervnculo"/>
            <w:noProof/>
          </w:rPr>
          <w:t>Análisis de Tendencias de Series Hidrometeorológicas</w:t>
        </w:r>
        <w:r>
          <w:rPr>
            <w:noProof/>
            <w:webHidden/>
          </w:rPr>
          <w:tab/>
        </w:r>
        <w:r>
          <w:rPr>
            <w:noProof/>
            <w:webHidden/>
          </w:rPr>
          <w:fldChar w:fldCharType="begin"/>
        </w:r>
        <w:r>
          <w:rPr>
            <w:noProof/>
            <w:webHidden/>
          </w:rPr>
          <w:instrText xml:space="preserve"> PAGEREF _Toc344391807 \h </w:instrText>
        </w:r>
        <w:r>
          <w:rPr>
            <w:noProof/>
          </w:rPr>
        </w:r>
        <w:r>
          <w:rPr>
            <w:noProof/>
            <w:webHidden/>
          </w:rPr>
          <w:fldChar w:fldCharType="separate"/>
        </w:r>
        <w:r>
          <w:rPr>
            <w:noProof/>
            <w:webHidden/>
          </w:rPr>
          <w:t>81</w:t>
        </w:r>
        <w:r>
          <w:rPr>
            <w:noProof/>
            <w:webHidden/>
          </w:rPr>
          <w:fldChar w:fldCharType="end"/>
        </w:r>
      </w:hyperlink>
    </w:p>
    <w:p w:rsidR="00264070" w:rsidRDefault="00264070">
      <w:pPr>
        <w:pStyle w:val="TDC3"/>
        <w:rPr>
          <w:rFonts w:ascii="Times New Roman" w:hAnsi="Times New Roman"/>
          <w:sz w:val="24"/>
          <w:szCs w:val="24"/>
        </w:rPr>
      </w:pPr>
      <w:hyperlink w:anchor="_Toc344391808" w:history="1">
        <w:r w:rsidRPr="00D55AAB">
          <w:rPr>
            <w:rStyle w:val="Hipervnculo"/>
          </w:rPr>
          <w:t>4.4.1</w:t>
        </w:r>
        <w:r>
          <w:rPr>
            <w:rFonts w:ascii="Times New Roman" w:hAnsi="Times New Roman"/>
            <w:sz w:val="24"/>
            <w:szCs w:val="24"/>
          </w:rPr>
          <w:tab/>
        </w:r>
        <w:r w:rsidRPr="00D55AAB">
          <w:rPr>
            <w:rStyle w:val="Hipervnculo"/>
          </w:rPr>
          <w:t>Precipitaciones</w:t>
        </w:r>
        <w:r>
          <w:rPr>
            <w:webHidden/>
          </w:rPr>
          <w:tab/>
        </w:r>
        <w:r>
          <w:rPr>
            <w:webHidden/>
          </w:rPr>
          <w:fldChar w:fldCharType="begin"/>
        </w:r>
        <w:r>
          <w:rPr>
            <w:webHidden/>
          </w:rPr>
          <w:instrText xml:space="preserve"> PAGEREF _Toc344391808 \h </w:instrText>
        </w:r>
        <w:r>
          <w:rPr>
            <w:webHidden/>
          </w:rPr>
          <w:fldChar w:fldCharType="separate"/>
        </w:r>
        <w:r>
          <w:rPr>
            <w:webHidden/>
          </w:rPr>
          <w:t>82</w:t>
        </w:r>
        <w:r>
          <w:rPr>
            <w:webHidden/>
          </w:rPr>
          <w:fldChar w:fldCharType="end"/>
        </w:r>
      </w:hyperlink>
    </w:p>
    <w:p w:rsidR="00264070" w:rsidRDefault="00264070">
      <w:pPr>
        <w:pStyle w:val="TDC3"/>
        <w:rPr>
          <w:rFonts w:ascii="Times New Roman" w:hAnsi="Times New Roman"/>
          <w:sz w:val="24"/>
          <w:szCs w:val="24"/>
        </w:rPr>
      </w:pPr>
      <w:hyperlink w:anchor="_Toc344391809" w:history="1">
        <w:r w:rsidRPr="00D55AAB">
          <w:rPr>
            <w:rStyle w:val="Hipervnculo"/>
          </w:rPr>
          <w:t>4.4.2</w:t>
        </w:r>
        <w:r>
          <w:rPr>
            <w:rFonts w:ascii="Times New Roman" w:hAnsi="Times New Roman"/>
            <w:sz w:val="24"/>
            <w:szCs w:val="24"/>
          </w:rPr>
          <w:tab/>
        </w:r>
        <w:r w:rsidRPr="00D55AAB">
          <w:rPr>
            <w:rStyle w:val="Hipervnculo"/>
          </w:rPr>
          <w:t>Caudales</w:t>
        </w:r>
        <w:r>
          <w:rPr>
            <w:webHidden/>
          </w:rPr>
          <w:tab/>
        </w:r>
        <w:r>
          <w:rPr>
            <w:webHidden/>
          </w:rPr>
          <w:fldChar w:fldCharType="begin"/>
        </w:r>
        <w:r>
          <w:rPr>
            <w:webHidden/>
          </w:rPr>
          <w:instrText xml:space="preserve"> PAGEREF _Toc344391809 \h </w:instrText>
        </w:r>
        <w:r>
          <w:rPr>
            <w:webHidden/>
          </w:rPr>
          <w:fldChar w:fldCharType="separate"/>
        </w:r>
        <w:r>
          <w:rPr>
            <w:webHidden/>
          </w:rPr>
          <w:t>83</w:t>
        </w:r>
        <w:r>
          <w:rPr>
            <w:webHidden/>
          </w:rPr>
          <w:fldChar w:fldCharType="end"/>
        </w:r>
      </w:hyperlink>
    </w:p>
    <w:p w:rsidR="00264070" w:rsidRDefault="00264070">
      <w:pPr>
        <w:pStyle w:val="TDC2"/>
        <w:rPr>
          <w:rFonts w:ascii="Times New Roman" w:hAnsi="Times New Roman"/>
          <w:noProof/>
          <w:sz w:val="24"/>
        </w:rPr>
      </w:pPr>
      <w:hyperlink w:anchor="_Toc344391810" w:history="1">
        <w:r w:rsidRPr="00D55AAB">
          <w:rPr>
            <w:rStyle w:val="Hipervnculo"/>
            <w:noProof/>
          </w:rPr>
          <w:t>4.5</w:t>
        </w:r>
        <w:r>
          <w:rPr>
            <w:rFonts w:ascii="Times New Roman" w:hAnsi="Times New Roman"/>
            <w:noProof/>
            <w:sz w:val="24"/>
          </w:rPr>
          <w:tab/>
        </w:r>
        <w:r w:rsidRPr="00D55AAB">
          <w:rPr>
            <w:rStyle w:val="Hipervnculo"/>
            <w:noProof/>
          </w:rPr>
          <w:t>Generación de Caudales en Cuencas con Control Fluviométrico</w:t>
        </w:r>
        <w:r>
          <w:rPr>
            <w:noProof/>
            <w:webHidden/>
          </w:rPr>
          <w:tab/>
        </w:r>
        <w:r>
          <w:rPr>
            <w:noProof/>
            <w:webHidden/>
          </w:rPr>
          <w:fldChar w:fldCharType="begin"/>
        </w:r>
        <w:r>
          <w:rPr>
            <w:noProof/>
            <w:webHidden/>
          </w:rPr>
          <w:instrText xml:space="preserve"> PAGEREF _Toc344391810 \h </w:instrText>
        </w:r>
        <w:r>
          <w:rPr>
            <w:noProof/>
          </w:rPr>
        </w:r>
        <w:r>
          <w:rPr>
            <w:noProof/>
            <w:webHidden/>
          </w:rPr>
          <w:fldChar w:fldCharType="separate"/>
        </w:r>
        <w:r>
          <w:rPr>
            <w:noProof/>
            <w:webHidden/>
          </w:rPr>
          <w:t>84</w:t>
        </w:r>
        <w:r>
          <w:rPr>
            <w:noProof/>
            <w:webHidden/>
          </w:rPr>
          <w:fldChar w:fldCharType="end"/>
        </w:r>
      </w:hyperlink>
    </w:p>
    <w:p w:rsidR="00264070" w:rsidRDefault="00264070">
      <w:pPr>
        <w:pStyle w:val="TDC2"/>
        <w:rPr>
          <w:rFonts w:ascii="Times New Roman" w:hAnsi="Times New Roman"/>
          <w:noProof/>
          <w:sz w:val="24"/>
        </w:rPr>
      </w:pPr>
      <w:hyperlink w:anchor="_Toc344391811" w:history="1">
        <w:r w:rsidRPr="00D55AAB">
          <w:rPr>
            <w:rStyle w:val="Hipervnculo"/>
            <w:noProof/>
          </w:rPr>
          <w:t>4.6</w:t>
        </w:r>
        <w:r>
          <w:rPr>
            <w:rFonts w:ascii="Times New Roman" w:hAnsi="Times New Roman"/>
            <w:noProof/>
            <w:sz w:val="24"/>
          </w:rPr>
          <w:tab/>
        </w:r>
        <w:r w:rsidRPr="00D55AAB">
          <w:rPr>
            <w:rStyle w:val="Hipervnculo"/>
            <w:noProof/>
          </w:rPr>
          <w:t>Generación de Información en Cuencas Pluviales sin Control Fluviométrico</w:t>
        </w:r>
        <w:r>
          <w:rPr>
            <w:noProof/>
            <w:webHidden/>
          </w:rPr>
          <w:tab/>
        </w:r>
        <w:r>
          <w:rPr>
            <w:noProof/>
            <w:webHidden/>
          </w:rPr>
          <w:fldChar w:fldCharType="begin"/>
        </w:r>
        <w:r>
          <w:rPr>
            <w:noProof/>
            <w:webHidden/>
          </w:rPr>
          <w:instrText xml:space="preserve"> PAGEREF _Toc344391811 \h </w:instrText>
        </w:r>
        <w:r>
          <w:rPr>
            <w:noProof/>
          </w:rPr>
        </w:r>
        <w:r>
          <w:rPr>
            <w:noProof/>
            <w:webHidden/>
          </w:rPr>
          <w:fldChar w:fldCharType="separate"/>
        </w:r>
        <w:r>
          <w:rPr>
            <w:noProof/>
            <w:webHidden/>
          </w:rPr>
          <w:t>85</w:t>
        </w:r>
        <w:r>
          <w:rPr>
            <w:noProof/>
            <w:webHidden/>
          </w:rPr>
          <w:fldChar w:fldCharType="end"/>
        </w:r>
      </w:hyperlink>
    </w:p>
    <w:p w:rsidR="00264070" w:rsidRDefault="00264070">
      <w:pPr>
        <w:pStyle w:val="TDC2"/>
        <w:rPr>
          <w:rFonts w:ascii="Times New Roman" w:hAnsi="Times New Roman"/>
          <w:noProof/>
          <w:sz w:val="24"/>
        </w:rPr>
      </w:pPr>
      <w:hyperlink w:anchor="_Toc344391812" w:history="1">
        <w:r w:rsidRPr="00D55AAB">
          <w:rPr>
            <w:rStyle w:val="Hipervnculo"/>
            <w:noProof/>
          </w:rPr>
          <w:t>4.7</w:t>
        </w:r>
        <w:r>
          <w:rPr>
            <w:rFonts w:ascii="Times New Roman" w:hAnsi="Times New Roman"/>
            <w:noProof/>
            <w:sz w:val="24"/>
          </w:rPr>
          <w:tab/>
        </w:r>
        <w:r w:rsidRPr="00D55AAB">
          <w:rPr>
            <w:rStyle w:val="Hipervnculo"/>
            <w:noProof/>
          </w:rPr>
          <w:t>Curvas de Variación Estacional y de Duración</w:t>
        </w:r>
        <w:r>
          <w:rPr>
            <w:noProof/>
            <w:webHidden/>
          </w:rPr>
          <w:tab/>
        </w:r>
        <w:r>
          <w:rPr>
            <w:noProof/>
            <w:webHidden/>
          </w:rPr>
          <w:fldChar w:fldCharType="begin"/>
        </w:r>
        <w:r>
          <w:rPr>
            <w:noProof/>
            <w:webHidden/>
          </w:rPr>
          <w:instrText xml:space="preserve"> PAGEREF _Toc344391812 \h </w:instrText>
        </w:r>
        <w:r>
          <w:rPr>
            <w:noProof/>
          </w:rPr>
        </w:r>
        <w:r>
          <w:rPr>
            <w:noProof/>
            <w:webHidden/>
          </w:rPr>
          <w:fldChar w:fldCharType="separate"/>
        </w:r>
        <w:r>
          <w:rPr>
            <w:noProof/>
            <w:webHidden/>
          </w:rPr>
          <w:t>88</w:t>
        </w:r>
        <w:r>
          <w:rPr>
            <w:noProof/>
            <w:webHidden/>
          </w:rPr>
          <w:fldChar w:fldCharType="end"/>
        </w:r>
      </w:hyperlink>
    </w:p>
    <w:p w:rsidR="00264070" w:rsidRDefault="00264070">
      <w:pPr>
        <w:pStyle w:val="TDC2"/>
        <w:rPr>
          <w:rFonts w:ascii="Times New Roman" w:hAnsi="Times New Roman"/>
          <w:noProof/>
          <w:sz w:val="24"/>
        </w:rPr>
      </w:pPr>
      <w:hyperlink w:anchor="_Toc344391813" w:history="1">
        <w:r w:rsidRPr="00D55AAB">
          <w:rPr>
            <w:rStyle w:val="Hipervnculo"/>
            <w:noProof/>
          </w:rPr>
          <w:t>4.8</w:t>
        </w:r>
        <w:r>
          <w:rPr>
            <w:rFonts w:ascii="Times New Roman" w:hAnsi="Times New Roman"/>
            <w:noProof/>
            <w:sz w:val="24"/>
          </w:rPr>
          <w:tab/>
        </w:r>
        <w:r w:rsidRPr="00D55AAB">
          <w:rPr>
            <w:rStyle w:val="Hipervnculo"/>
            <w:noProof/>
          </w:rPr>
          <w:t>Caudal Ecológico</w:t>
        </w:r>
        <w:r>
          <w:rPr>
            <w:noProof/>
            <w:webHidden/>
          </w:rPr>
          <w:tab/>
        </w:r>
        <w:r>
          <w:rPr>
            <w:noProof/>
            <w:webHidden/>
          </w:rPr>
          <w:fldChar w:fldCharType="begin"/>
        </w:r>
        <w:r>
          <w:rPr>
            <w:noProof/>
            <w:webHidden/>
          </w:rPr>
          <w:instrText xml:space="preserve"> PAGEREF _Toc344391813 \h </w:instrText>
        </w:r>
        <w:r>
          <w:rPr>
            <w:noProof/>
          </w:rPr>
        </w:r>
        <w:r>
          <w:rPr>
            <w:noProof/>
            <w:webHidden/>
          </w:rPr>
          <w:fldChar w:fldCharType="separate"/>
        </w:r>
        <w:r>
          <w:rPr>
            <w:noProof/>
            <w:webHidden/>
          </w:rPr>
          <w:t>101</w:t>
        </w:r>
        <w:r>
          <w:rPr>
            <w:noProof/>
            <w:webHidden/>
          </w:rPr>
          <w:fldChar w:fldCharType="end"/>
        </w:r>
      </w:hyperlink>
    </w:p>
    <w:p w:rsidR="00264070" w:rsidRDefault="00264070">
      <w:pPr>
        <w:pStyle w:val="TDC1"/>
        <w:rPr>
          <w:rFonts w:ascii="Times New Roman" w:hAnsi="Times New Roman"/>
          <w:noProof/>
          <w:sz w:val="24"/>
        </w:rPr>
      </w:pPr>
      <w:hyperlink w:anchor="_Toc344391814" w:history="1">
        <w:r w:rsidRPr="00D55AAB">
          <w:rPr>
            <w:rStyle w:val="Hipervnculo"/>
            <w:noProof/>
          </w:rPr>
          <w:t>5.</w:t>
        </w:r>
        <w:r>
          <w:rPr>
            <w:rFonts w:ascii="Times New Roman" w:hAnsi="Times New Roman"/>
            <w:noProof/>
            <w:sz w:val="24"/>
          </w:rPr>
          <w:tab/>
        </w:r>
        <w:r w:rsidRPr="00D55AAB">
          <w:rPr>
            <w:rStyle w:val="Hipervnculo"/>
            <w:noProof/>
          </w:rPr>
          <w:t>CARACTERIZACIÓN DE LAS DEMANDAS</w:t>
        </w:r>
        <w:r>
          <w:rPr>
            <w:noProof/>
            <w:webHidden/>
          </w:rPr>
          <w:tab/>
        </w:r>
        <w:r>
          <w:rPr>
            <w:noProof/>
            <w:webHidden/>
          </w:rPr>
          <w:fldChar w:fldCharType="begin"/>
        </w:r>
        <w:r>
          <w:rPr>
            <w:noProof/>
            <w:webHidden/>
          </w:rPr>
          <w:instrText xml:space="preserve"> PAGEREF _Toc344391814 \h </w:instrText>
        </w:r>
        <w:r>
          <w:rPr>
            <w:noProof/>
          </w:rPr>
        </w:r>
        <w:r>
          <w:rPr>
            <w:noProof/>
            <w:webHidden/>
          </w:rPr>
          <w:fldChar w:fldCharType="separate"/>
        </w:r>
        <w:r>
          <w:rPr>
            <w:noProof/>
            <w:webHidden/>
          </w:rPr>
          <w:t>102</w:t>
        </w:r>
        <w:r>
          <w:rPr>
            <w:noProof/>
            <w:webHidden/>
          </w:rPr>
          <w:fldChar w:fldCharType="end"/>
        </w:r>
      </w:hyperlink>
    </w:p>
    <w:p w:rsidR="00264070" w:rsidRDefault="00264070">
      <w:pPr>
        <w:pStyle w:val="TDC2"/>
        <w:rPr>
          <w:rFonts w:ascii="Times New Roman" w:hAnsi="Times New Roman"/>
          <w:noProof/>
          <w:sz w:val="24"/>
        </w:rPr>
      </w:pPr>
      <w:hyperlink w:anchor="_Toc344391815" w:history="1">
        <w:r w:rsidRPr="00D55AAB">
          <w:rPr>
            <w:rStyle w:val="Hipervnculo"/>
            <w:noProof/>
          </w:rPr>
          <w:t>5.1</w:t>
        </w:r>
        <w:r>
          <w:rPr>
            <w:rFonts w:ascii="Times New Roman" w:hAnsi="Times New Roman"/>
            <w:noProof/>
            <w:sz w:val="24"/>
          </w:rPr>
          <w:tab/>
        </w:r>
        <w:r w:rsidRPr="00D55AAB">
          <w:rPr>
            <w:rStyle w:val="Hipervnculo"/>
            <w:noProof/>
          </w:rPr>
          <w:t>Alcances</w:t>
        </w:r>
        <w:r>
          <w:rPr>
            <w:noProof/>
            <w:webHidden/>
          </w:rPr>
          <w:tab/>
        </w:r>
        <w:r>
          <w:rPr>
            <w:noProof/>
            <w:webHidden/>
          </w:rPr>
          <w:fldChar w:fldCharType="begin"/>
        </w:r>
        <w:r>
          <w:rPr>
            <w:noProof/>
            <w:webHidden/>
          </w:rPr>
          <w:instrText xml:space="preserve"> PAGEREF _Toc344391815 \h </w:instrText>
        </w:r>
        <w:r>
          <w:rPr>
            <w:noProof/>
          </w:rPr>
        </w:r>
        <w:r>
          <w:rPr>
            <w:noProof/>
            <w:webHidden/>
          </w:rPr>
          <w:fldChar w:fldCharType="separate"/>
        </w:r>
        <w:r>
          <w:rPr>
            <w:noProof/>
            <w:webHidden/>
          </w:rPr>
          <w:t>102</w:t>
        </w:r>
        <w:r>
          <w:rPr>
            <w:noProof/>
            <w:webHidden/>
          </w:rPr>
          <w:fldChar w:fldCharType="end"/>
        </w:r>
      </w:hyperlink>
    </w:p>
    <w:p w:rsidR="00264070" w:rsidRDefault="00264070">
      <w:pPr>
        <w:pStyle w:val="TDC2"/>
        <w:rPr>
          <w:rFonts w:ascii="Times New Roman" w:hAnsi="Times New Roman"/>
          <w:noProof/>
          <w:sz w:val="24"/>
        </w:rPr>
      </w:pPr>
      <w:hyperlink w:anchor="_Toc344391816" w:history="1">
        <w:r w:rsidRPr="00D55AAB">
          <w:rPr>
            <w:rStyle w:val="Hipervnculo"/>
            <w:noProof/>
          </w:rPr>
          <w:t>5.2</w:t>
        </w:r>
        <w:r>
          <w:rPr>
            <w:rFonts w:ascii="Times New Roman" w:hAnsi="Times New Roman"/>
            <w:noProof/>
            <w:sz w:val="24"/>
          </w:rPr>
          <w:tab/>
        </w:r>
        <w:r w:rsidRPr="00D55AAB">
          <w:rPr>
            <w:rStyle w:val="Hipervnculo"/>
            <w:noProof/>
          </w:rPr>
          <w:t>Sistematización de Información de Derechos de Aprovechamiento</w:t>
        </w:r>
        <w:r>
          <w:rPr>
            <w:noProof/>
            <w:webHidden/>
          </w:rPr>
          <w:tab/>
        </w:r>
        <w:r>
          <w:rPr>
            <w:noProof/>
            <w:webHidden/>
          </w:rPr>
          <w:fldChar w:fldCharType="begin"/>
        </w:r>
        <w:r>
          <w:rPr>
            <w:noProof/>
            <w:webHidden/>
          </w:rPr>
          <w:instrText xml:space="preserve"> PAGEREF _Toc344391816 \h </w:instrText>
        </w:r>
        <w:r>
          <w:rPr>
            <w:noProof/>
          </w:rPr>
        </w:r>
        <w:r>
          <w:rPr>
            <w:noProof/>
            <w:webHidden/>
          </w:rPr>
          <w:fldChar w:fldCharType="separate"/>
        </w:r>
        <w:r>
          <w:rPr>
            <w:noProof/>
            <w:webHidden/>
          </w:rPr>
          <w:t>102</w:t>
        </w:r>
        <w:r>
          <w:rPr>
            <w:noProof/>
            <w:webHidden/>
          </w:rPr>
          <w:fldChar w:fldCharType="end"/>
        </w:r>
      </w:hyperlink>
    </w:p>
    <w:p w:rsidR="00264070" w:rsidRDefault="00264070">
      <w:pPr>
        <w:pStyle w:val="TDC2"/>
        <w:rPr>
          <w:rFonts w:ascii="Times New Roman" w:hAnsi="Times New Roman"/>
          <w:noProof/>
          <w:sz w:val="24"/>
        </w:rPr>
      </w:pPr>
      <w:hyperlink w:anchor="_Toc344391817" w:history="1">
        <w:r w:rsidRPr="00D55AAB">
          <w:rPr>
            <w:rStyle w:val="Hipervnculo"/>
            <w:noProof/>
          </w:rPr>
          <w:t>5.3</w:t>
        </w:r>
        <w:r>
          <w:rPr>
            <w:rFonts w:ascii="Times New Roman" w:hAnsi="Times New Roman"/>
            <w:noProof/>
            <w:sz w:val="24"/>
          </w:rPr>
          <w:tab/>
        </w:r>
        <w:r w:rsidRPr="00D55AAB">
          <w:rPr>
            <w:rStyle w:val="Hipervnculo"/>
            <w:noProof/>
          </w:rPr>
          <w:t>Levantamiento de Información de Demandas</w:t>
        </w:r>
        <w:r>
          <w:rPr>
            <w:noProof/>
            <w:webHidden/>
          </w:rPr>
          <w:tab/>
        </w:r>
        <w:r>
          <w:rPr>
            <w:noProof/>
            <w:webHidden/>
          </w:rPr>
          <w:fldChar w:fldCharType="begin"/>
        </w:r>
        <w:r>
          <w:rPr>
            <w:noProof/>
            <w:webHidden/>
          </w:rPr>
          <w:instrText xml:space="preserve"> PAGEREF _Toc344391817 \h </w:instrText>
        </w:r>
        <w:r>
          <w:rPr>
            <w:noProof/>
          </w:rPr>
        </w:r>
        <w:r>
          <w:rPr>
            <w:noProof/>
            <w:webHidden/>
          </w:rPr>
          <w:fldChar w:fldCharType="separate"/>
        </w:r>
        <w:r>
          <w:rPr>
            <w:noProof/>
            <w:webHidden/>
          </w:rPr>
          <w:t>103</w:t>
        </w:r>
        <w:r>
          <w:rPr>
            <w:noProof/>
            <w:webHidden/>
          </w:rPr>
          <w:fldChar w:fldCharType="end"/>
        </w:r>
      </w:hyperlink>
    </w:p>
    <w:p w:rsidR="00264070" w:rsidRDefault="00264070">
      <w:pPr>
        <w:pStyle w:val="TDC3"/>
        <w:rPr>
          <w:rFonts w:ascii="Times New Roman" w:hAnsi="Times New Roman"/>
          <w:sz w:val="24"/>
          <w:szCs w:val="24"/>
        </w:rPr>
      </w:pPr>
      <w:hyperlink w:anchor="_Toc344391818" w:history="1">
        <w:r w:rsidRPr="00D55AAB">
          <w:rPr>
            <w:rStyle w:val="Hipervnculo"/>
          </w:rPr>
          <w:t>5.3.1</w:t>
        </w:r>
        <w:r>
          <w:rPr>
            <w:rFonts w:ascii="Times New Roman" w:hAnsi="Times New Roman"/>
            <w:sz w:val="24"/>
            <w:szCs w:val="24"/>
          </w:rPr>
          <w:tab/>
        </w:r>
        <w:r w:rsidRPr="00D55AAB">
          <w:rPr>
            <w:rStyle w:val="Hipervnculo"/>
          </w:rPr>
          <w:t>Demandas según Derechos de Aprovechamiento</w:t>
        </w:r>
        <w:r>
          <w:rPr>
            <w:webHidden/>
          </w:rPr>
          <w:tab/>
        </w:r>
        <w:r>
          <w:rPr>
            <w:webHidden/>
          </w:rPr>
          <w:fldChar w:fldCharType="begin"/>
        </w:r>
        <w:r>
          <w:rPr>
            <w:webHidden/>
          </w:rPr>
          <w:instrText xml:space="preserve"> PAGEREF _Toc344391818 \h </w:instrText>
        </w:r>
        <w:r>
          <w:rPr>
            <w:webHidden/>
          </w:rPr>
          <w:fldChar w:fldCharType="separate"/>
        </w:r>
        <w:r>
          <w:rPr>
            <w:webHidden/>
          </w:rPr>
          <w:t>103</w:t>
        </w:r>
        <w:r>
          <w:rPr>
            <w:webHidden/>
          </w:rPr>
          <w:fldChar w:fldCharType="end"/>
        </w:r>
      </w:hyperlink>
    </w:p>
    <w:p w:rsidR="00264070" w:rsidRDefault="00264070">
      <w:pPr>
        <w:pStyle w:val="TDC4"/>
        <w:rPr>
          <w:rFonts w:ascii="Times New Roman" w:hAnsi="Times New Roman"/>
          <w:noProof/>
          <w:sz w:val="24"/>
        </w:rPr>
      </w:pPr>
      <w:hyperlink w:anchor="_Toc344391819" w:history="1">
        <w:r w:rsidRPr="00D55AAB">
          <w:rPr>
            <w:rStyle w:val="Hipervnculo"/>
            <w:noProof/>
          </w:rPr>
          <w:t>5.3.1.1</w:t>
        </w:r>
        <w:r>
          <w:rPr>
            <w:rFonts w:ascii="Times New Roman" w:hAnsi="Times New Roman"/>
            <w:noProof/>
            <w:sz w:val="24"/>
          </w:rPr>
          <w:tab/>
        </w:r>
        <w:r w:rsidRPr="00D55AAB">
          <w:rPr>
            <w:rStyle w:val="Hipervnculo"/>
            <w:noProof/>
          </w:rPr>
          <w:t>Aguas Superficiales</w:t>
        </w:r>
        <w:r>
          <w:rPr>
            <w:noProof/>
            <w:webHidden/>
          </w:rPr>
          <w:tab/>
        </w:r>
        <w:r>
          <w:rPr>
            <w:noProof/>
            <w:webHidden/>
          </w:rPr>
          <w:fldChar w:fldCharType="begin"/>
        </w:r>
        <w:r>
          <w:rPr>
            <w:noProof/>
            <w:webHidden/>
          </w:rPr>
          <w:instrText xml:space="preserve"> PAGEREF _Toc344391819 \h </w:instrText>
        </w:r>
        <w:r>
          <w:rPr>
            <w:noProof/>
          </w:rPr>
        </w:r>
        <w:r>
          <w:rPr>
            <w:noProof/>
            <w:webHidden/>
          </w:rPr>
          <w:fldChar w:fldCharType="separate"/>
        </w:r>
        <w:r>
          <w:rPr>
            <w:noProof/>
            <w:webHidden/>
          </w:rPr>
          <w:t>103</w:t>
        </w:r>
        <w:r>
          <w:rPr>
            <w:noProof/>
            <w:webHidden/>
          </w:rPr>
          <w:fldChar w:fldCharType="end"/>
        </w:r>
      </w:hyperlink>
    </w:p>
    <w:p w:rsidR="00264070" w:rsidRDefault="00264070">
      <w:pPr>
        <w:pStyle w:val="TDC4"/>
        <w:rPr>
          <w:rFonts w:ascii="Times New Roman" w:hAnsi="Times New Roman"/>
          <w:noProof/>
          <w:sz w:val="24"/>
        </w:rPr>
      </w:pPr>
      <w:hyperlink w:anchor="_Toc344391820" w:history="1">
        <w:r w:rsidRPr="00D55AAB">
          <w:rPr>
            <w:rStyle w:val="Hipervnculo"/>
            <w:noProof/>
          </w:rPr>
          <w:t>5.3.1.2</w:t>
        </w:r>
        <w:r>
          <w:rPr>
            <w:rFonts w:ascii="Times New Roman" w:hAnsi="Times New Roman"/>
            <w:noProof/>
            <w:sz w:val="24"/>
          </w:rPr>
          <w:tab/>
        </w:r>
        <w:r w:rsidRPr="00D55AAB">
          <w:rPr>
            <w:rStyle w:val="Hipervnculo"/>
            <w:noProof/>
          </w:rPr>
          <w:t>Aguas Subterráneas</w:t>
        </w:r>
        <w:r>
          <w:rPr>
            <w:noProof/>
            <w:webHidden/>
          </w:rPr>
          <w:tab/>
        </w:r>
        <w:r>
          <w:rPr>
            <w:noProof/>
            <w:webHidden/>
          </w:rPr>
          <w:fldChar w:fldCharType="begin"/>
        </w:r>
        <w:r>
          <w:rPr>
            <w:noProof/>
            <w:webHidden/>
          </w:rPr>
          <w:instrText xml:space="preserve"> PAGEREF _Toc344391820 \h </w:instrText>
        </w:r>
        <w:r>
          <w:rPr>
            <w:noProof/>
          </w:rPr>
        </w:r>
        <w:r>
          <w:rPr>
            <w:noProof/>
            <w:webHidden/>
          </w:rPr>
          <w:fldChar w:fldCharType="separate"/>
        </w:r>
        <w:r>
          <w:rPr>
            <w:noProof/>
            <w:webHidden/>
          </w:rPr>
          <w:t>105</w:t>
        </w:r>
        <w:r>
          <w:rPr>
            <w:noProof/>
            <w:webHidden/>
          </w:rPr>
          <w:fldChar w:fldCharType="end"/>
        </w:r>
      </w:hyperlink>
    </w:p>
    <w:p w:rsidR="00264070" w:rsidRDefault="00264070">
      <w:pPr>
        <w:pStyle w:val="TDC2"/>
        <w:rPr>
          <w:rFonts w:ascii="Times New Roman" w:hAnsi="Times New Roman"/>
          <w:noProof/>
          <w:sz w:val="24"/>
        </w:rPr>
      </w:pPr>
      <w:hyperlink w:anchor="_Toc344391821" w:history="1">
        <w:r w:rsidRPr="00D55AAB">
          <w:rPr>
            <w:rStyle w:val="Hipervnculo"/>
            <w:noProof/>
          </w:rPr>
          <w:t>5.4</w:t>
        </w:r>
        <w:r>
          <w:rPr>
            <w:rFonts w:ascii="Times New Roman" w:hAnsi="Times New Roman"/>
            <w:noProof/>
            <w:sz w:val="24"/>
          </w:rPr>
          <w:tab/>
        </w:r>
        <w:r w:rsidRPr="00D55AAB">
          <w:rPr>
            <w:rStyle w:val="Hipervnculo"/>
            <w:noProof/>
          </w:rPr>
          <w:t>Demandas Históricas según Estudios Efectuados</w:t>
        </w:r>
        <w:r>
          <w:rPr>
            <w:noProof/>
            <w:webHidden/>
          </w:rPr>
          <w:tab/>
        </w:r>
        <w:r>
          <w:rPr>
            <w:noProof/>
            <w:webHidden/>
          </w:rPr>
          <w:fldChar w:fldCharType="begin"/>
        </w:r>
        <w:r>
          <w:rPr>
            <w:noProof/>
            <w:webHidden/>
          </w:rPr>
          <w:instrText xml:space="preserve"> PAGEREF _Toc344391821 \h </w:instrText>
        </w:r>
        <w:r>
          <w:rPr>
            <w:noProof/>
          </w:rPr>
        </w:r>
        <w:r>
          <w:rPr>
            <w:noProof/>
            <w:webHidden/>
          </w:rPr>
          <w:fldChar w:fldCharType="separate"/>
        </w:r>
        <w:r>
          <w:rPr>
            <w:noProof/>
            <w:webHidden/>
          </w:rPr>
          <w:t>115</w:t>
        </w:r>
        <w:r>
          <w:rPr>
            <w:noProof/>
            <w:webHidden/>
          </w:rPr>
          <w:fldChar w:fldCharType="end"/>
        </w:r>
      </w:hyperlink>
    </w:p>
    <w:p w:rsidR="00264070" w:rsidRDefault="00264070">
      <w:pPr>
        <w:pStyle w:val="TDC3"/>
        <w:rPr>
          <w:rFonts w:ascii="Times New Roman" w:hAnsi="Times New Roman"/>
          <w:sz w:val="24"/>
          <w:szCs w:val="24"/>
        </w:rPr>
      </w:pPr>
      <w:hyperlink w:anchor="_Toc344391822" w:history="1">
        <w:r w:rsidRPr="00D55AAB">
          <w:rPr>
            <w:rStyle w:val="Hipervnculo"/>
          </w:rPr>
          <w:t>5.4.1</w:t>
        </w:r>
        <w:r>
          <w:rPr>
            <w:rFonts w:ascii="Times New Roman" w:hAnsi="Times New Roman"/>
            <w:sz w:val="24"/>
            <w:szCs w:val="24"/>
          </w:rPr>
          <w:tab/>
        </w:r>
        <w:r w:rsidRPr="00D55AAB">
          <w:rPr>
            <w:rStyle w:val="Hipervnculo"/>
          </w:rPr>
          <w:t>Riego</w:t>
        </w:r>
        <w:r>
          <w:rPr>
            <w:webHidden/>
          </w:rPr>
          <w:tab/>
        </w:r>
        <w:r>
          <w:rPr>
            <w:webHidden/>
          </w:rPr>
          <w:fldChar w:fldCharType="begin"/>
        </w:r>
        <w:r>
          <w:rPr>
            <w:webHidden/>
          </w:rPr>
          <w:instrText xml:space="preserve"> PAGEREF _Toc344391822 \h </w:instrText>
        </w:r>
        <w:r>
          <w:rPr>
            <w:webHidden/>
          </w:rPr>
          <w:fldChar w:fldCharType="separate"/>
        </w:r>
        <w:r>
          <w:rPr>
            <w:webHidden/>
          </w:rPr>
          <w:t>115</w:t>
        </w:r>
        <w:r>
          <w:rPr>
            <w:webHidden/>
          </w:rPr>
          <w:fldChar w:fldCharType="end"/>
        </w:r>
      </w:hyperlink>
    </w:p>
    <w:p w:rsidR="00264070" w:rsidRDefault="00264070">
      <w:pPr>
        <w:pStyle w:val="TDC3"/>
        <w:rPr>
          <w:rFonts w:ascii="Times New Roman" w:hAnsi="Times New Roman"/>
          <w:sz w:val="24"/>
          <w:szCs w:val="24"/>
        </w:rPr>
      </w:pPr>
      <w:hyperlink w:anchor="_Toc344391823" w:history="1">
        <w:r w:rsidRPr="00D55AAB">
          <w:rPr>
            <w:rStyle w:val="Hipervnculo"/>
          </w:rPr>
          <w:t>5.4.2</w:t>
        </w:r>
        <w:r>
          <w:rPr>
            <w:rFonts w:ascii="Times New Roman" w:hAnsi="Times New Roman"/>
            <w:sz w:val="24"/>
            <w:szCs w:val="24"/>
          </w:rPr>
          <w:tab/>
        </w:r>
        <w:r w:rsidRPr="00D55AAB">
          <w:rPr>
            <w:rStyle w:val="Hipervnculo"/>
          </w:rPr>
          <w:t>Agua Potable</w:t>
        </w:r>
        <w:r>
          <w:rPr>
            <w:webHidden/>
          </w:rPr>
          <w:tab/>
        </w:r>
        <w:r>
          <w:rPr>
            <w:webHidden/>
          </w:rPr>
          <w:fldChar w:fldCharType="begin"/>
        </w:r>
        <w:r>
          <w:rPr>
            <w:webHidden/>
          </w:rPr>
          <w:instrText xml:space="preserve"> PAGEREF _Toc344391823 \h </w:instrText>
        </w:r>
        <w:r>
          <w:rPr>
            <w:webHidden/>
          </w:rPr>
          <w:fldChar w:fldCharType="separate"/>
        </w:r>
        <w:r>
          <w:rPr>
            <w:webHidden/>
          </w:rPr>
          <w:t>115</w:t>
        </w:r>
        <w:r>
          <w:rPr>
            <w:webHidden/>
          </w:rPr>
          <w:fldChar w:fldCharType="end"/>
        </w:r>
      </w:hyperlink>
    </w:p>
    <w:p w:rsidR="00264070" w:rsidRDefault="00264070">
      <w:pPr>
        <w:pStyle w:val="TDC3"/>
        <w:rPr>
          <w:rFonts w:ascii="Times New Roman" w:hAnsi="Times New Roman"/>
          <w:sz w:val="24"/>
          <w:szCs w:val="24"/>
        </w:rPr>
      </w:pPr>
      <w:hyperlink w:anchor="_Toc344391824" w:history="1">
        <w:r w:rsidRPr="00D55AAB">
          <w:rPr>
            <w:rStyle w:val="Hipervnculo"/>
          </w:rPr>
          <w:t>5.4.3</w:t>
        </w:r>
        <w:r>
          <w:rPr>
            <w:rFonts w:ascii="Times New Roman" w:hAnsi="Times New Roman"/>
            <w:sz w:val="24"/>
            <w:szCs w:val="24"/>
          </w:rPr>
          <w:tab/>
        </w:r>
        <w:r w:rsidRPr="00D55AAB">
          <w:rPr>
            <w:rStyle w:val="Hipervnculo"/>
          </w:rPr>
          <w:t>Minería</w:t>
        </w:r>
        <w:r>
          <w:rPr>
            <w:webHidden/>
          </w:rPr>
          <w:tab/>
        </w:r>
        <w:r>
          <w:rPr>
            <w:webHidden/>
          </w:rPr>
          <w:fldChar w:fldCharType="begin"/>
        </w:r>
        <w:r>
          <w:rPr>
            <w:webHidden/>
          </w:rPr>
          <w:instrText xml:space="preserve"> PAGEREF _Toc344391824 \h </w:instrText>
        </w:r>
        <w:r>
          <w:rPr>
            <w:webHidden/>
          </w:rPr>
          <w:fldChar w:fldCharType="separate"/>
        </w:r>
        <w:r>
          <w:rPr>
            <w:webHidden/>
          </w:rPr>
          <w:t>116</w:t>
        </w:r>
        <w:r>
          <w:rPr>
            <w:webHidden/>
          </w:rPr>
          <w:fldChar w:fldCharType="end"/>
        </w:r>
      </w:hyperlink>
    </w:p>
    <w:p w:rsidR="00264070" w:rsidRDefault="00264070">
      <w:pPr>
        <w:pStyle w:val="TDC3"/>
        <w:rPr>
          <w:rFonts w:ascii="Times New Roman" w:hAnsi="Times New Roman"/>
          <w:sz w:val="24"/>
          <w:szCs w:val="24"/>
        </w:rPr>
      </w:pPr>
      <w:hyperlink w:anchor="_Toc344391825" w:history="1">
        <w:r w:rsidRPr="00D55AAB">
          <w:rPr>
            <w:rStyle w:val="Hipervnculo"/>
          </w:rPr>
          <w:t>5.4.4</w:t>
        </w:r>
        <w:r>
          <w:rPr>
            <w:rFonts w:ascii="Times New Roman" w:hAnsi="Times New Roman"/>
            <w:sz w:val="24"/>
            <w:szCs w:val="24"/>
          </w:rPr>
          <w:tab/>
        </w:r>
        <w:r w:rsidRPr="00D55AAB">
          <w:rPr>
            <w:rStyle w:val="Hipervnculo"/>
          </w:rPr>
          <w:t>Industrial</w:t>
        </w:r>
        <w:r>
          <w:rPr>
            <w:webHidden/>
          </w:rPr>
          <w:tab/>
        </w:r>
        <w:r>
          <w:rPr>
            <w:webHidden/>
          </w:rPr>
          <w:fldChar w:fldCharType="begin"/>
        </w:r>
        <w:r>
          <w:rPr>
            <w:webHidden/>
          </w:rPr>
          <w:instrText xml:space="preserve"> PAGEREF _Toc344391825 \h </w:instrText>
        </w:r>
        <w:r>
          <w:rPr>
            <w:webHidden/>
          </w:rPr>
          <w:fldChar w:fldCharType="separate"/>
        </w:r>
        <w:r>
          <w:rPr>
            <w:webHidden/>
          </w:rPr>
          <w:t>117</w:t>
        </w:r>
        <w:r>
          <w:rPr>
            <w:webHidden/>
          </w:rPr>
          <w:fldChar w:fldCharType="end"/>
        </w:r>
      </w:hyperlink>
    </w:p>
    <w:p w:rsidR="00264070" w:rsidRDefault="00264070">
      <w:pPr>
        <w:pStyle w:val="TDC3"/>
        <w:rPr>
          <w:rFonts w:ascii="Times New Roman" w:hAnsi="Times New Roman"/>
          <w:sz w:val="24"/>
          <w:szCs w:val="24"/>
        </w:rPr>
      </w:pPr>
      <w:hyperlink w:anchor="_Toc344391826" w:history="1">
        <w:r w:rsidRPr="00D55AAB">
          <w:rPr>
            <w:rStyle w:val="Hipervnculo"/>
          </w:rPr>
          <w:t>5.4.5</w:t>
        </w:r>
        <w:r>
          <w:rPr>
            <w:rFonts w:ascii="Times New Roman" w:hAnsi="Times New Roman"/>
            <w:sz w:val="24"/>
            <w:szCs w:val="24"/>
          </w:rPr>
          <w:tab/>
        </w:r>
        <w:r w:rsidRPr="00D55AAB">
          <w:rPr>
            <w:rStyle w:val="Hipervnculo"/>
          </w:rPr>
          <w:t>Generación Eléctrica</w:t>
        </w:r>
        <w:r>
          <w:rPr>
            <w:webHidden/>
          </w:rPr>
          <w:tab/>
        </w:r>
        <w:r>
          <w:rPr>
            <w:webHidden/>
          </w:rPr>
          <w:fldChar w:fldCharType="begin"/>
        </w:r>
        <w:r>
          <w:rPr>
            <w:webHidden/>
          </w:rPr>
          <w:instrText xml:space="preserve"> PAGEREF _Toc344391826 \h </w:instrText>
        </w:r>
        <w:r>
          <w:rPr>
            <w:webHidden/>
          </w:rPr>
          <w:fldChar w:fldCharType="separate"/>
        </w:r>
        <w:r>
          <w:rPr>
            <w:webHidden/>
          </w:rPr>
          <w:t>118</w:t>
        </w:r>
        <w:r>
          <w:rPr>
            <w:webHidden/>
          </w:rPr>
          <w:fldChar w:fldCharType="end"/>
        </w:r>
      </w:hyperlink>
    </w:p>
    <w:p w:rsidR="00264070" w:rsidRDefault="00264070">
      <w:pPr>
        <w:pStyle w:val="TDC2"/>
        <w:rPr>
          <w:rFonts w:ascii="Times New Roman" w:hAnsi="Times New Roman"/>
          <w:noProof/>
          <w:sz w:val="24"/>
        </w:rPr>
      </w:pPr>
      <w:hyperlink w:anchor="_Toc344391827" w:history="1">
        <w:r w:rsidRPr="00D55AAB">
          <w:rPr>
            <w:rStyle w:val="Hipervnculo"/>
            <w:noProof/>
          </w:rPr>
          <w:t>5.5</w:t>
        </w:r>
        <w:r>
          <w:rPr>
            <w:rFonts w:ascii="Times New Roman" w:hAnsi="Times New Roman"/>
            <w:noProof/>
            <w:sz w:val="24"/>
          </w:rPr>
          <w:tab/>
        </w:r>
        <w:r w:rsidRPr="00D55AAB">
          <w:rPr>
            <w:rStyle w:val="Hipervnculo"/>
            <w:noProof/>
          </w:rPr>
          <w:t>Demandas Actuales y Futuras</w:t>
        </w:r>
        <w:r>
          <w:rPr>
            <w:noProof/>
            <w:webHidden/>
          </w:rPr>
          <w:tab/>
        </w:r>
        <w:r>
          <w:rPr>
            <w:noProof/>
            <w:webHidden/>
          </w:rPr>
          <w:fldChar w:fldCharType="begin"/>
        </w:r>
        <w:r>
          <w:rPr>
            <w:noProof/>
            <w:webHidden/>
          </w:rPr>
          <w:instrText xml:space="preserve"> PAGEREF _Toc344391827 \h </w:instrText>
        </w:r>
        <w:r>
          <w:rPr>
            <w:noProof/>
          </w:rPr>
        </w:r>
        <w:r>
          <w:rPr>
            <w:noProof/>
            <w:webHidden/>
          </w:rPr>
          <w:fldChar w:fldCharType="separate"/>
        </w:r>
        <w:r>
          <w:rPr>
            <w:noProof/>
            <w:webHidden/>
          </w:rPr>
          <w:t>118</w:t>
        </w:r>
        <w:r>
          <w:rPr>
            <w:noProof/>
            <w:webHidden/>
          </w:rPr>
          <w:fldChar w:fldCharType="end"/>
        </w:r>
      </w:hyperlink>
    </w:p>
    <w:p w:rsidR="00264070" w:rsidRDefault="00264070">
      <w:pPr>
        <w:pStyle w:val="TDC3"/>
        <w:rPr>
          <w:rFonts w:ascii="Times New Roman" w:hAnsi="Times New Roman"/>
          <w:sz w:val="24"/>
          <w:szCs w:val="24"/>
        </w:rPr>
      </w:pPr>
      <w:hyperlink w:anchor="_Toc344391828" w:history="1">
        <w:r w:rsidRPr="00D55AAB">
          <w:rPr>
            <w:rStyle w:val="Hipervnculo"/>
          </w:rPr>
          <w:t>5.5.1</w:t>
        </w:r>
        <w:r>
          <w:rPr>
            <w:rFonts w:ascii="Times New Roman" w:hAnsi="Times New Roman"/>
            <w:sz w:val="24"/>
            <w:szCs w:val="24"/>
          </w:rPr>
          <w:tab/>
        </w:r>
        <w:r w:rsidRPr="00D55AAB">
          <w:rPr>
            <w:rStyle w:val="Hipervnculo"/>
          </w:rPr>
          <w:t>Riego</w:t>
        </w:r>
        <w:r>
          <w:rPr>
            <w:webHidden/>
          </w:rPr>
          <w:tab/>
        </w:r>
        <w:r>
          <w:rPr>
            <w:webHidden/>
          </w:rPr>
          <w:fldChar w:fldCharType="begin"/>
        </w:r>
        <w:r>
          <w:rPr>
            <w:webHidden/>
          </w:rPr>
          <w:instrText xml:space="preserve"> PAGEREF _Toc344391828 \h </w:instrText>
        </w:r>
        <w:r>
          <w:rPr>
            <w:webHidden/>
          </w:rPr>
          <w:fldChar w:fldCharType="separate"/>
        </w:r>
        <w:r>
          <w:rPr>
            <w:webHidden/>
          </w:rPr>
          <w:t>118</w:t>
        </w:r>
        <w:r>
          <w:rPr>
            <w:webHidden/>
          </w:rPr>
          <w:fldChar w:fldCharType="end"/>
        </w:r>
      </w:hyperlink>
    </w:p>
    <w:p w:rsidR="00264070" w:rsidRDefault="00264070">
      <w:pPr>
        <w:pStyle w:val="TDC4"/>
        <w:rPr>
          <w:rFonts w:ascii="Times New Roman" w:hAnsi="Times New Roman"/>
          <w:noProof/>
          <w:sz w:val="24"/>
        </w:rPr>
      </w:pPr>
      <w:hyperlink w:anchor="_Toc344391829" w:history="1">
        <w:r w:rsidRPr="00D55AAB">
          <w:rPr>
            <w:rStyle w:val="Hipervnculo"/>
            <w:noProof/>
          </w:rPr>
          <w:t>5.5.1.1</w:t>
        </w:r>
        <w:r>
          <w:rPr>
            <w:rFonts w:ascii="Times New Roman" w:hAnsi="Times New Roman"/>
            <w:noProof/>
            <w:sz w:val="24"/>
          </w:rPr>
          <w:tab/>
        </w:r>
        <w:r w:rsidRPr="00D55AAB">
          <w:rPr>
            <w:rStyle w:val="Hipervnculo"/>
            <w:noProof/>
          </w:rPr>
          <w:t>Uso Actual del Suelo</w:t>
        </w:r>
        <w:r>
          <w:rPr>
            <w:noProof/>
            <w:webHidden/>
          </w:rPr>
          <w:tab/>
        </w:r>
        <w:r>
          <w:rPr>
            <w:noProof/>
            <w:webHidden/>
          </w:rPr>
          <w:fldChar w:fldCharType="begin"/>
        </w:r>
        <w:r>
          <w:rPr>
            <w:noProof/>
            <w:webHidden/>
          </w:rPr>
          <w:instrText xml:space="preserve"> PAGEREF _Toc344391829 \h </w:instrText>
        </w:r>
        <w:r>
          <w:rPr>
            <w:noProof/>
          </w:rPr>
        </w:r>
        <w:r>
          <w:rPr>
            <w:noProof/>
            <w:webHidden/>
          </w:rPr>
          <w:fldChar w:fldCharType="separate"/>
        </w:r>
        <w:r>
          <w:rPr>
            <w:noProof/>
            <w:webHidden/>
          </w:rPr>
          <w:t>120</w:t>
        </w:r>
        <w:r>
          <w:rPr>
            <w:noProof/>
            <w:webHidden/>
          </w:rPr>
          <w:fldChar w:fldCharType="end"/>
        </w:r>
      </w:hyperlink>
    </w:p>
    <w:p w:rsidR="00264070" w:rsidRDefault="00264070">
      <w:pPr>
        <w:pStyle w:val="TDC4"/>
        <w:rPr>
          <w:rFonts w:ascii="Times New Roman" w:hAnsi="Times New Roman"/>
          <w:noProof/>
          <w:sz w:val="24"/>
        </w:rPr>
      </w:pPr>
      <w:hyperlink w:anchor="_Toc344391830" w:history="1">
        <w:r w:rsidRPr="00D55AAB">
          <w:rPr>
            <w:rStyle w:val="Hipervnculo"/>
            <w:noProof/>
          </w:rPr>
          <w:t>5.5.1.2</w:t>
        </w:r>
        <w:r>
          <w:rPr>
            <w:rFonts w:ascii="Times New Roman" w:hAnsi="Times New Roman"/>
            <w:noProof/>
            <w:sz w:val="24"/>
          </w:rPr>
          <w:tab/>
        </w:r>
        <w:r w:rsidRPr="00D55AAB">
          <w:rPr>
            <w:rStyle w:val="Hipervnculo"/>
            <w:noProof/>
          </w:rPr>
          <w:t>Demandas de Agua de Riego Actuales</w:t>
        </w:r>
        <w:r>
          <w:rPr>
            <w:noProof/>
            <w:webHidden/>
          </w:rPr>
          <w:tab/>
        </w:r>
        <w:r>
          <w:rPr>
            <w:noProof/>
            <w:webHidden/>
          </w:rPr>
          <w:fldChar w:fldCharType="begin"/>
        </w:r>
        <w:r>
          <w:rPr>
            <w:noProof/>
            <w:webHidden/>
          </w:rPr>
          <w:instrText xml:space="preserve"> PAGEREF _Toc344391830 \h </w:instrText>
        </w:r>
        <w:r>
          <w:rPr>
            <w:noProof/>
          </w:rPr>
        </w:r>
        <w:r>
          <w:rPr>
            <w:noProof/>
            <w:webHidden/>
          </w:rPr>
          <w:fldChar w:fldCharType="separate"/>
        </w:r>
        <w:r>
          <w:rPr>
            <w:noProof/>
            <w:webHidden/>
          </w:rPr>
          <w:t>125</w:t>
        </w:r>
        <w:r>
          <w:rPr>
            <w:noProof/>
            <w:webHidden/>
          </w:rPr>
          <w:fldChar w:fldCharType="end"/>
        </w:r>
      </w:hyperlink>
    </w:p>
    <w:p w:rsidR="00264070" w:rsidRDefault="00264070">
      <w:pPr>
        <w:pStyle w:val="TDC4"/>
        <w:rPr>
          <w:rFonts w:ascii="Times New Roman" w:hAnsi="Times New Roman"/>
          <w:noProof/>
          <w:sz w:val="24"/>
        </w:rPr>
      </w:pPr>
      <w:hyperlink w:anchor="_Toc344391831" w:history="1">
        <w:r w:rsidRPr="00D55AAB">
          <w:rPr>
            <w:rStyle w:val="Hipervnculo"/>
            <w:noProof/>
          </w:rPr>
          <w:t>5.5.1.3</w:t>
        </w:r>
        <w:r>
          <w:rPr>
            <w:rFonts w:ascii="Times New Roman" w:hAnsi="Times New Roman"/>
            <w:noProof/>
            <w:sz w:val="24"/>
          </w:rPr>
          <w:tab/>
        </w:r>
        <w:r w:rsidRPr="00D55AAB">
          <w:rPr>
            <w:rStyle w:val="Hipervnculo"/>
            <w:noProof/>
          </w:rPr>
          <w:t>Demandas Proyectadas de Riego</w:t>
        </w:r>
        <w:r>
          <w:rPr>
            <w:noProof/>
            <w:webHidden/>
          </w:rPr>
          <w:tab/>
        </w:r>
        <w:r>
          <w:rPr>
            <w:noProof/>
            <w:webHidden/>
          </w:rPr>
          <w:fldChar w:fldCharType="begin"/>
        </w:r>
        <w:r>
          <w:rPr>
            <w:noProof/>
            <w:webHidden/>
          </w:rPr>
          <w:instrText xml:space="preserve"> PAGEREF _Toc344391831 \h </w:instrText>
        </w:r>
        <w:r>
          <w:rPr>
            <w:noProof/>
          </w:rPr>
        </w:r>
        <w:r>
          <w:rPr>
            <w:noProof/>
            <w:webHidden/>
          </w:rPr>
          <w:fldChar w:fldCharType="separate"/>
        </w:r>
        <w:r>
          <w:rPr>
            <w:noProof/>
            <w:webHidden/>
          </w:rPr>
          <w:t>156</w:t>
        </w:r>
        <w:r>
          <w:rPr>
            <w:noProof/>
            <w:webHidden/>
          </w:rPr>
          <w:fldChar w:fldCharType="end"/>
        </w:r>
      </w:hyperlink>
    </w:p>
    <w:p w:rsidR="00264070" w:rsidRDefault="00264070">
      <w:pPr>
        <w:pStyle w:val="TDC3"/>
        <w:rPr>
          <w:rFonts w:ascii="Times New Roman" w:hAnsi="Times New Roman"/>
          <w:sz w:val="24"/>
          <w:szCs w:val="24"/>
        </w:rPr>
      </w:pPr>
      <w:hyperlink w:anchor="_Toc344391832" w:history="1">
        <w:r w:rsidRPr="00D55AAB">
          <w:rPr>
            <w:rStyle w:val="Hipervnculo"/>
          </w:rPr>
          <w:t>5.5.2</w:t>
        </w:r>
        <w:r>
          <w:rPr>
            <w:rFonts w:ascii="Times New Roman" w:hAnsi="Times New Roman"/>
            <w:sz w:val="24"/>
            <w:szCs w:val="24"/>
          </w:rPr>
          <w:tab/>
        </w:r>
        <w:r w:rsidRPr="00D55AAB">
          <w:rPr>
            <w:rStyle w:val="Hipervnculo"/>
          </w:rPr>
          <w:t>Agua Potable</w:t>
        </w:r>
        <w:r>
          <w:rPr>
            <w:webHidden/>
          </w:rPr>
          <w:tab/>
        </w:r>
        <w:r>
          <w:rPr>
            <w:webHidden/>
          </w:rPr>
          <w:fldChar w:fldCharType="begin"/>
        </w:r>
        <w:r>
          <w:rPr>
            <w:webHidden/>
          </w:rPr>
          <w:instrText xml:space="preserve"> PAGEREF _Toc344391832 \h </w:instrText>
        </w:r>
        <w:r>
          <w:rPr>
            <w:webHidden/>
          </w:rPr>
          <w:fldChar w:fldCharType="separate"/>
        </w:r>
        <w:r>
          <w:rPr>
            <w:webHidden/>
          </w:rPr>
          <w:t>269</w:t>
        </w:r>
        <w:r>
          <w:rPr>
            <w:webHidden/>
          </w:rPr>
          <w:fldChar w:fldCharType="end"/>
        </w:r>
      </w:hyperlink>
    </w:p>
    <w:p w:rsidR="00264070" w:rsidRDefault="00264070">
      <w:pPr>
        <w:pStyle w:val="TDC4"/>
        <w:rPr>
          <w:rFonts w:ascii="Times New Roman" w:hAnsi="Times New Roman"/>
          <w:noProof/>
          <w:sz w:val="24"/>
        </w:rPr>
      </w:pPr>
      <w:hyperlink w:anchor="_Toc344391833" w:history="1">
        <w:r w:rsidRPr="00D55AAB">
          <w:rPr>
            <w:rStyle w:val="Hipervnculo"/>
            <w:noProof/>
          </w:rPr>
          <w:t>5.5.2.1</w:t>
        </w:r>
        <w:r>
          <w:rPr>
            <w:rFonts w:ascii="Times New Roman" w:hAnsi="Times New Roman"/>
            <w:noProof/>
            <w:sz w:val="24"/>
          </w:rPr>
          <w:tab/>
        </w:r>
        <w:r w:rsidRPr="00D55AAB">
          <w:rPr>
            <w:rStyle w:val="Hipervnculo"/>
            <w:noProof/>
          </w:rPr>
          <w:t>Situación Actual</w:t>
        </w:r>
        <w:r>
          <w:rPr>
            <w:noProof/>
            <w:webHidden/>
          </w:rPr>
          <w:tab/>
        </w:r>
        <w:r>
          <w:rPr>
            <w:noProof/>
            <w:webHidden/>
          </w:rPr>
          <w:fldChar w:fldCharType="begin"/>
        </w:r>
        <w:r>
          <w:rPr>
            <w:noProof/>
            <w:webHidden/>
          </w:rPr>
          <w:instrText xml:space="preserve"> PAGEREF _Toc344391833 \h </w:instrText>
        </w:r>
        <w:r>
          <w:rPr>
            <w:noProof/>
          </w:rPr>
        </w:r>
        <w:r>
          <w:rPr>
            <w:noProof/>
            <w:webHidden/>
          </w:rPr>
          <w:fldChar w:fldCharType="separate"/>
        </w:r>
        <w:r>
          <w:rPr>
            <w:noProof/>
            <w:webHidden/>
          </w:rPr>
          <w:t>269</w:t>
        </w:r>
        <w:r>
          <w:rPr>
            <w:noProof/>
            <w:webHidden/>
          </w:rPr>
          <w:fldChar w:fldCharType="end"/>
        </w:r>
      </w:hyperlink>
    </w:p>
    <w:p w:rsidR="00264070" w:rsidRDefault="00264070">
      <w:pPr>
        <w:pStyle w:val="TDC4"/>
        <w:rPr>
          <w:rFonts w:ascii="Times New Roman" w:hAnsi="Times New Roman"/>
          <w:noProof/>
          <w:sz w:val="24"/>
        </w:rPr>
      </w:pPr>
      <w:hyperlink w:anchor="_Toc344391834" w:history="1">
        <w:r w:rsidRPr="00D55AAB">
          <w:rPr>
            <w:rStyle w:val="Hipervnculo"/>
            <w:noProof/>
          </w:rPr>
          <w:t>5.5.2.2</w:t>
        </w:r>
        <w:r>
          <w:rPr>
            <w:rFonts w:ascii="Times New Roman" w:hAnsi="Times New Roman"/>
            <w:noProof/>
            <w:sz w:val="24"/>
          </w:rPr>
          <w:tab/>
        </w:r>
        <w:r w:rsidRPr="00D55AAB">
          <w:rPr>
            <w:rStyle w:val="Hipervnculo"/>
            <w:noProof/>
          </w:rPr>
          <w:t>Situación Futura</w:t>
        </w:r>
        <w:r>
          <w:rPr>
            <w:noProof/>
            <w:webHidden/>
          </w:rPr>
          <w:tab/>
        </w:r>
        <w:r>
          <w:rPr>
            <w:noProof/>
            <w:webHidden/>
          </w:rPr>
          <w:fldChar w:fldCharType="begin"/>
        </w:r>
        <w:r>
          <w:rPr>
            <w:noProof/>
            <w:webHidden/>
          </w:rPr>
          <w:instrText xml:space="preserve"> PAGEREF _Toc344391834 \h </w:instrText>
        </w:r>
        <w:r>
          <w:rPr>
            <w:noProof/>
          </w:rPr>
        </w:r>
        <w:r>
          <w:rPr>
            <w:noProof/>
            <w:webHidden/>
          </w:rPr>
          <w:fldChar w:fldCharType="separate"/>
        </w:r>
        <w:r>
          <w:rPr>
            <w:noProof/>
            <w:webHidden/>
          </w:rPr>
          <w:t>272</w:t>
        </w:r>
        <w:r>
          <w:rPr>
            <w:noProof/>
            <w:webHidden/>
          </w:rPr>
          <w:fldChar w:fldCharType="end"/>
        </w:r>
      </w:hyperlink>
    </w:p>
    <w:p w:rsidR="00264070" w:rsidRDefault="00264070">
      <w:pPr>
        <w:pStyle w:val="TDC3"/>
        <w:rPr>
          <w:rFonts w:ascii="Times New Roman" w:hAnsi="Times New Roman"/>
          <w:sz w:val="24"/>
          <w:szCs w:val="24"/>
        </w:rPr>
      </w:pPr>
      <w:hyperlink w:anchor="_Toc344391835" w:history="1">
        <w:r w:rsidRPr="00D55AAB">
          <w:rPr>
            <w:rStyle w:val="Hipervnculo"/>
          </w:rPr>
          <w:t>5.5.3</w:t>
        </w:r>
        <w:r>
          <w:rPr>
            <w:rFonts w:ascii="Times New Roman" w:hAnsi="Times New Roman"/>
            <w:sz w:val="24"/>
            <w:szCs w:val="24"/>
          </w:rPr>
          <w:tab/>
        </w:r>
        <w:r w:rsidRPr="00D55AAB">
          <w:rPr>
            <w:rStyle w:val="Hipervnculo"/>
          </w:rPr>
          <w:t>Industria</w:t>
        </w:r>
        <w:r>
          <w:rPr>
            <w:webHidden/>
          </w:rPr>
          <w:tab/>
        </w:r>
        <w:r>
          <w:rPr>
            <w:webHidden/>
          </w:rPr>
          <w:fldChar w:fldCharType="begin"/>
        </w:r>
        <w:r>
          <w:rPr>
            <w:webHidden/>
          </w:rPr>
          <w:instrText xml:space="preserve"> PAGEREF _Toc344391835 \h </w:instrText>
        </w:r>
        <w:r>
          <w:rPr>
            <w:webHidden/>
          </w:rPr>
          <w:fldChar w:fldCharType="separate"/>
        </w:r>
        <w:r>
          <w:rPr>
            <w:webHidden/>
          </w:rPr>
          <w:t>273</w:t>
        </w:r>
        <w:r>
          <w:rPr>
            <w:webHidden/>
          </w:rPr>
          <w:fldChar w:fldCharType="end"/>
        </w:r>
      </w:hyperlink>
    </w:p>
    <w:p w:rsidR="00264070" w:rsidRDefault="00264070">
      <w:pPr>
        <w:pStyle w:val="TDC4"/>
        <w:rPr>
          <w:rFonts w:ascii="Times New Roman" w:hAnsi="Times New Roman"/>
          <w:noProof/>
          <w:sz w:val="24"/>
        </w:rPr>
      </w:pPr>
      <w:hyperlink w:anchor="_Toc344391836" w:history="1">
        <w:r w:rsidRPr="00D55AAB">
          <w:rPr>
            <w:rStyle w:val="Hipervnculo"/>
            <w:noProof/>
          </w:rPr>
          <w:t>5.5.3.1</w:t>
        </w:r>
        <w:r>
          <w:rPr>
            <w:rFonts w:ascii="Times New Roman" w:hAnsi="Times New Roman"/>
            <w:noProof/>
            <w:sz w:val="24"/>
          </w:rPr>
          <w:tab/>
        </w:r>
        <w:r w:rsidRPr="00D55AAB">
          <w:rPr>
            <w:rStyle w:val="Hipervnculo"/>
            <w:noProof/>
          </w:rPr>
          <w:t>Situación Actual</w:t>
        </w:r>
        <w:r>
          <w:rPr>
            <w:noProof/>
            <w:webHidden/>
          </w:rPr>
          <w:tab/>
        </w:r>
        <w:r>
          <w:rPr>
            <w:noProof/>
            <w:webHidden/>
          </w:rPr>
          <w:fldChar w:fldCharType="begin"/>
        </w:r>
        <w:r>
          <w:rPr>
            <w:noProof/>
            <w:webHidden/>
          </w:rPr>
          <w:instrText xml:space="preserve"> PAGEREF _Toc344391836 \h </w:instrText>
        </w:r>
        <w:r>
          <w:rPr>
            <w:noProof/>
          </w:rPr>
        </w:r>
        <w:r>
          <w:rPr>
            <w:noProof/>
            <w:webHidden/>
          </w:rPr>
          <w:fldChar w:fldCharType="separate"/>
        </w:r>
        <w:r>
          <w:rPr>
            <w:noProof/>
            <w:webHidden/>
          </w:rPr>
          <w:t>273</w:t>
        </w:r>
        <w:r>
          <w:rPr>
            <w:noProof/>
            <w:webHidden/>
          </w:rPr>
          <w:fldChar w:fldCharType="end"/>
        </w:r>
      </w:hyperlink>
    </w:p>
    <w:p w:rsidR="00264070" w:rsidRDefault="00264070">
      <w:pPr>
        <w:pStyle w:val="TDC4"/>
        <w:rPr>
          <w:rFonts w:ascii="Times New Roman" w:hAnsi="Times New Roman"/>
          <w:noProof/>
          <w:sz w:val="24"/>
        </w:rPr>
      </w:pPr>
      <w:hyperlink w:anchor="_Toc344391837" w:history="1">
        <w:r w:rsidRPr="00D55AAB">
          <w:rPr>
            <w:rStyle w:val="Hipervnculo"/>
            <w:noProof/>
          </w:rPr>
          <w:t>5.5.3.2</w:t>
        </w:r>
        <w:r>
          <w:rPr>
            <w:rFonts w:ascii="Times New Roman" w:hAnsi="Times New Roman"/>
            <w:noProof/>
            <w:sz w:val="24"/>
          </w:rPr>
          <w:tab/>
        </w:r>
        <w:r w:rsidRPr="00D55AAB">
          <w:rPr>
            <w:rStyle w:val="Hipervnculo"/>
            <w:noProof/>
          </w:rPr>
          <w:t>Situación Futura</w:t>
        </w:r>
        <w:r>
          <w:rPr>
            <w:noProof/>
            <w:webHidden/>
          </w:rPr>
          <w:tab/>
        </w:r>
        <w:r>
          <w:rPr>
            <w:noProof/>
            <w:webHidden/>
          </w:rPr>
          <w:fldChar w:fldCharType="begin"/>
        </w:r>
        <w:r>
          <w:rPr>
            <w:noProof/>
            <w:webHidden/>
          </w:rPr>
          <w:instrText xml:space="preserve"> PAGEREF _Toc344391837 \h </w:instrText>
        </w:r>
        <w:r>
          <w:rPr>
            <w:noProof/>
          </w:rPr>
        </w:r>
        <w:r>
          <w:rPr>
            <w:noProof/>
            <w:webHidden/>
          </w:rPr>
          <w:fldChar w:fldCharType="separate"/>
        </w:r>
        <w:r>
          <w:rPr>
            <w:noProof/>
            <w:webHidden/>
          </w:rPr>
          <w:t>275</w:t>
        </w:r>
        <w:r>
          <w:rPr>
            <w:noProof/>
            <w:webHidden/>
          </w:rPr>
          <w:fldChar w:fldCharType="end"/>
        </w:r>
      </w:hyperlink>
    </w:p>
    <w:p w:rsidR="00264070" w:rsidRDefault="00264070">
      <w:pPr>
        <w:pStyle w:val="TDC3"/>
        <w:rPr>
          <w:rFonts w:ascii="Times New Roman" w:hAnsi="Times New Roman"/>
          <w:sz w:val="24"/>
          <w:szCs w:val="24"/>
        </w:rPr>
      </w:pPr>
      <w:hyperlink w:anchor="_Toc344391838" w:history="1">
        <w:r w:rsidRPr="00D55AAB">
          <w:rPr>
            <w:rStyle w:val="Hipervnculo"/>
          </w:rPr>
          <w:t>5.5.4</w:t>
        </w:r>
        <w:r>
          <w:rPr>
            <w:rFonts w:ascii="Times New Roman" w:hAnsi="Times New Roman"/>
            <w:sz w:val="24"/>
            <w:szCs w:val="24"/>
          </w:rPr>
          <w:tab/>
        </w:r>
        <w:r w:rsidRPr="00D55AAB">
          <w:rPr>
            <w:rStyle w:val="Hipervnculo"/>
          </w:rPr>
          <w:t>Minería</w:t>
        </w:r>
        <w:r>
          <w:rPr>
            <w:webHidden/>
          </w:rPr>
          <w:tab/>
        </w:r>
        <w:r>
          <w:rPr>
            <w:webHidden/>
          </w:rPr>
          <w:fldChar w:fldCharType="begin"/>
        </w:r>
        <w:r>
          <w:rPr>
            <w:webHidden/>
          </w:rPr>
          <w:instrText xml:space="preserve"> PAGEREF _Toc344391838 \h </w:instrText>
        </w:r>
        <w:r>
          <w:rPr>
            <w:webHidden/>
          </w:rPr>
          <w:fldChar w:fldCharType="separate"/>
        </w:r>
        <w:r>
          <w:rPr>
            <w:webHidden/>
          </w:rPr>
          <w:t>275</w:t>
        </w:r>
        <w:r>
          <w:rPr>
            <w:webHidden/>
          </w:rPr>
          <w:fldChar w:fldCharType="end"/>
        </w:r>
      </w:hyperlink>
    </w:p>
    <w:p w:rsidR="00264070" w:rsidRDefault="00264070">
      <w:pPr>
        <w:pStyle w:val="TDC4"/>
        <w:rPr>
          <w:rFonts w:ascii="Times New Roman" w:hAnsi="Times New Roman"/>
          <w:noProof/>
          <w:sz w:val="24"/>
        </w:rPr>
      </w:pPr>
      <w:hyperlink w:anchor="_Toc344391839" w:history="1">
        <w:r w:rsidRPr="00D55AAB">
          <w:rPr>
            <w:rStyle w:val="Hipervnculo"/>
            <w:noProof/>
          </w:rPr>
          <w:t>5.5.4.1</w:t>
        </w:r>
        <w:r>
          <w:rPr>
            <w:rFonts w:ascii="Times New Roman" w:hAnsi="Times New Roman"/>
            <w:noProof/>
            <w:sz w:val="24"/>
          </w:rPr>
          <w:tab/>
        </w:r>
        <w:r w:rsidRPr="00D55AAB">
          <w:rPr>
            <w:rStyle w:val="Hipervnculo"/>
            <w:noProof/>
          </w:rPr>
          <w:t>Situación Actual</w:t>
        </w:r>
        <w:r>
          <w:rPr>
            <w:noProof/>
            <w:webHidden/>
          </w:rPr>
          <w:tab/>
        </w:r>
        <w:r>
          <w:rPr>
            <w:noProof/>
            <w:webHidden/>
          </w:rPr>
          <w:fldChar w:fldCharType="begin"/>
        </w:r>
        <w:r>
          <w:rPr>
            <w:noProof/>
            <w:webHidden/>
          </w:rPr>
          <w:instrText xml:space="preserve"> PAGEREF _Toc344391839 \h </w:instrText>
        </w:r>
        <w:r>
          <w:rPr>
            <w:noProof/>
          </w:rPr>
        </w:r>
        <w:r>
          <w:rPr>
            <w:noProof/>
            <w:webHidden/>
          </w:rPr>
          <w:fldChar w:fldCharType="separate"/>
        </w:r>
        <w:r>
          <w:rPr>
            <w:noProof/>
            <w:webHidden/>
          </w:rPr>
          <w:t>275</w:t>
        </w:r>
        <w:r>
          <w:rPr>
            <w:noProof/>
            <w:webHidden/>
          </w:rPr>
          <w:fldChar w:fldCharType="end"/>
        </w:r>
      </w:hyperlink>
    </w:p>
    <w:p w:rsidR="00264070" w:rsidRDefault="00264070">
      <w:pPr>
        <w:pStyle w:val="TDC4"/>
        <w:rPr>
          <w:rFonts w:ascii="Times New Roman" w:hAnsi="Times New Roman"/>
          <w:noProof/>
          <w:sz w:val="24"/>
        </w:rPr>
      </w:pPr>
      <w:hyperlink w:anchor="_Toc344391840" w:history="1">
        <w:r w:rsidRPr="00D55AAB">
          <w:rPr>
            <w:rStyle w:val="Hipervnculo"/>
            <w:noProof/>
          </w:rPr>
          <w:t>5.5.4.2</w:t>
        </w:r>
        <w:r>
          <w:rPr>
            <w:rFonts w:ascii="Times New Roman" w:hAnsi="Times New Roman"/>
            <w:noProof/>
            <w:sz w:val="24"/>
          </w:rPr>
          <w:tab/>
        </w:r>
        <w:r w:rsidRPr="00D55AAB">
          <w:rPr>
            <w:rStyle w:val="Hipervnculo"/>
            <w:noProof/>
          </w:rPr>
          <w:t>Situación Proyectada</w:t>
        </w:r>
        <w:r>
          <w:rPr>
            <w:noProof/>
            <w:webHidden/>
          </w:rPr>
          <w:tab/>
        </w:r>
        <w:r>
          <w:rPr>
            <w:noProof/>
            <w:webHidden/>
          </w:rPr>
          <w:fldChar w:fldCharType="begin"/>
        </w:r>
        <w:r>
          <w:rPr>
            <w:noProof/>
            <w:webHidden/>
          </w:rPr>
          <w:instrText xml:space="preserve"> PAGEREF _Toc344391840 \h </w:instrText>
        </w:r>
        <w:r>
          <w:rPr>
            <w:noProof/>
          </w:rPr>
        </w:r>
        <w:r>
          <w:rPr>
            <w:noProof/>
            <w:webHidden/>
          </w:rPr>
          <w:fldChar w:fldCharType="separate"/>
        </w:r>
        <w:r>
          <w:rPr>
            <w:noProof/>
            <w:webHidden/>
          </w:rPr>
          <w:t>278</w:t>
        </w:r>
        <w:r>
          <w:rPr>
            <w:noProof/>
            <w:webHidden/>
          </w:rPr>
          <w:fldChar w:fldCharType="end"/>
        </w:r>
      </w:hyperlink>
    </w:p>
    <w:p w:rsidR="00264070" w:rsidRDefault="00264070">
      <w:pPr>
        <w:pStyle w:val="TDC3"/>
        <w:rPr>
          <w:rFonts w:ascii="Times New Roman" w:hAnsi="Times New Roman"/>
          <w:sz w:val="24"/>
          <w:szCs w:val="24"/>
        </w:rPr>
      </w:pPr>
      <w:hyperlink w:anchor="_Toc344391841" w:history="1">
        <w:r w:rsidRPr="00D55AAB">
          <w:rPr>
            <w:rStyle w:val="Hipervnculo"/>
          </w:rPr>
          <w:t>5.5.5</w:t>
        </w:r>
        <w:r>
          <w:rPr>
            <w:rFonts w:ascii="Times New Roman" w:hAnsi="Times New Roman"/>
            <w:sz w:val="24"/>
            <w:szCs w:val="24"/>
          </w:rPr>
          <w:tab/>
        </w:r>
        <w:r w:rsidRPr="00D55AAB">
          <w:rPr>
            <w:rStyle w:val="Hipervnculo"/>
          </w:rPr>
          <w:t>Generación Eléctrica</w:t>
        </w:r>
        <w:r>
          <w:rPr>
            <w:webHidden/>
          </w:rPr>
          <w:tab/>
        </w:r>
        <w:r>
          <w:rPr>
            <w:webHidden/>
          </w:rPr>
          <w:fldChar w:fldCharType="begin"/>
        </w:r>
        <w:r>
          <w:rPr>
            <w:webHidden/>
          </w:rPr>
          <w:instrText xml:space="preserve"> PAGEREF _Toc344391841 \h </w:instrText>
        </w:r>
        <w:r>
          <w:rPr>
            <w:webHidden/>
          </w:rPr>
          <w:fldChar w:fldCharType="separate"/>
        </w:r>
        <w:r>
          <w:rPr>
            <w:webHidden/>
          </w:rPr>
          <w:t>279</w:t>
        </w:r>
        <w:r>
          <w:rPr>
            <w:webHidden/>
          </w:rPr>
          <w:fldChar w:fldCharType="end"/>
        </w:r>
      </w:hyperlink>
    </w:p>
    <w:p w:rsidR="00264070" w:rsidRDefault="00264070">
      <w:pPr>
        <w:pStyle w:val="TDC1"/>
        <w:rPr>
          <w:rFonts w:ascii="Times New Roman" w:hAnsi="Times New Roman"/>
          <w:noProof/>
          <w:sz w:val="24"/>
        </w:rPr>
      </w:pPr>
      <w:hyperlink w:anchor="_Toc344391842" w:history="1">
        <w:r w:rsidRPr="00D55AAB">
          <w:rPr>
            <w:rStyle w:val="Hipervnculo"/>
            <w:noProof/>
          </w:rPr>
          <w:t>6.</w:t>
        </w:r>
        <w:r>
          <w:rPr>
            <w:rFonts w:ascii="Times New Roman" w:hAnsi="Times New Roman"/>
            <w:noProof/>
            <w:sz w:val="24"/>
          </w:rPr>
          <w:tab/>
        </w:r>
        <w:r w:rsidRPr="00D55AAB">
          <w:rPr>
            <w:rStyle w:val="Hipervnculo"/>
            <w:noProof/>
          </w:rPr>
          <w:t>BALANCE OFERTA DEMANDA</w:t>
        </w:r>
        <w:r>
          <w:rPr>
            <w:noProof/>
            <w:webHidden/>
          </w:rPr>
          <w:tab/>
        </w:r>
        <w:r>
          <w:rPr>
            <w:noProof/>
            <w:webHidden/>
          </w:rPr>
          <w:fldChar w:fldCharType="begin"/>
        </w:r>
        <w:r>
          <w:rPr>
            <w:noProof/>
            <w:webHidden/>
          </w:rPr>
          <w:instrText xml:space="preserve"> PAGEREF _Toc344391842 \h </w:instrText>
        </w:r>
        <w:r>
          <w:rPr>
            <w:noProof/>
          </w:rPr>
        </w:r>
        <w:r>
          <w:rPr>
            <w:noProof/>
            <w:webHidden/>
          </w:rPr>
          <w:fldChar w:fldCharType="separate"/>
        </w:r>
        <w:r>
          <w:rPr>
            <w:noProof/>
            <w:webHidden/>
          </w:rPr>
          <w:t>281</w:t>
        </w:r>
        <w:r>
          <w:rPr>
            <w:noProof/>
            <w:webHidden/>
          </w:rPr>
          <w:fldChar w:fldCharType="end"/>
        </w:r>
      </w:hyperlink>
    </w:p>
    <w:p w:rsidR="00264070" w:rsidRDefault="00264070">
      <w:pPr>
        <w:pStyle w:val="TDC2"/>
        <w:rPr>
          <w:rFonts w:ascii="Times New Roman" w:hAnsi="Times New Roman"/>
          <w:noProof/>
          <w:sz w:val="24"/>
        </w:rPr>
      </w:pPr>
      <w:hyperlink w:anchor="_Toc344391843" w:history="1">
        <w:r w:rsidRPr="00D55AAB">
          <w:rPr>
            <w:rStyle w:val="Hipervnculo"/>
            <w:noProof/>
          </w:rPr>
          <w:t>6.1</w:t>
        </w:r>
        <w:r>
          <w:rPr>
            <w:rFonts w:ascii="Times New Roman" w:hAnsi="Times New Roman"/>
            <w:noProof/>
            <w:sz w:val="24"/>
          </w:rPr>
          <w:tab/>
        </w:r>
        <w:r w:rsidRPr="00D55AAB">
          <w:rPr>
            <w:rStyle w:val="Hipervnculo"/>
            <w:noProof/>
          </w:rPr>
          <w:t>Metodología</w:t>
        </w:r>
        <w:r>
          <w:rPr>
            <w:noProof/>
            <w:webHidden/>
          </w:rPr>
          <w:tab/>
        </w:r>
        <w:r>
          <w:rPr>
            <w:noProof/>
            <w:webHidden/>
          </w:rPr>
          <w:fldChar w:fldCharType="begin"/>
        </w:r>
        <w:r>
          <w:rPr>
            <w:noProof/>
            <w:webHidden/>
          </w:rPr>
          <w:instrText xml:space="preserve"> PAGEREF _Toc344391843 \h </w:instrText>
        </w:r>
        <w:r>
          <w:rPr>
            <w:noProof/>
          </w:rPr>
        </w:r>
        <w:r>
          <w:rPr>
            <w:noProof/>
            <w:webHidden/>
          </w:rPr>
          <w:fldChar w:fldCharType="separate"/>
        </w:r>
        <w:r>
          <w:rPr>
            <w:noProof/>
            <w:webHidden/>
          </w:rPr>
          <w:t>281</w:t>
        </w:r>
        <w:r>
          <w:rPr>
            <w:noProof/>
            <w:webHidden/>
          </w:rPr>
          <w:fldChar w:fldCharType="end"/>
        </w:r>
      </w:hyperlink>
    </w:p>
    <w:p w:rsidR="00264070" w:rsidRDefault="00264070">
      <w:pPr>
        <w:pStyle w:val="TDC3"/>
        <w:rPr>
          <w:rFonts w:ascii="Times New Roman" w:hAnsi="Times New Roman"/>
          <w:sz w:val="24"/>
          <w:szCs w:val="24"/>
        </w:rPr>
      </w:pPr>
      <w:hyperlink w:anchor="_Toc344391844" w:history="1">
        <w:r w:rsidRPr="00D55AAB">
          <w:rPr>
            <w:rStyle w:val="Hipervnculo"/>
          </w:rPr>
          <w:t>6.1.1</w:t>
        </w:r>
        <w:r>
          <w:rPr>
            <w:rFonts w:ascii="Times New Roman" w:hAnsi="Times New Roman"/>
            <w:sz w:val="24"/>
            <w:szCs w:val="24"/>
          </w:rPr>
          <w:tab/>
        </w:r>
        <w:r w:rsidRPr="00D55AAB">
          <w:rPr>
            <w:rStyle w:val="Hipervnculo"/>
          </w:rPr>
          <w:t>Descripción del Modelo Conceptual</w:t>
        </w:r>
        <w:r>
          <w:rPr>
            <w:webHidden/>
          </w:rPr>
          <w:tab/>
        </w:r>
        <w:r>
          <w:rPr>
            <w:webHidden/>
          </w:rPr>
          <w:fldChar w:fldCharType="begin"/>
        </w:r>
        <w:r>
          <w:rPr>
            <w:webHidden/>
          </w:rPr>
          <w:instrText xml:space="preserve"> PAGEREF _Toc344391844 \h </w:instrText>
        </w:r>
        <w:r>
          <w:rPr>
            <w:webHidden/>
          </w:rPr>
          <w:fldChar w:fldCharType="separate"/>
        </w:r>
        <w:r>
          <w:rPr>
            <w:webHidden/>
          </w:rPr>
          <w:t>281</w:t>
        </w:r>
        <w:r>
          <w:rPr>
            <w:webHidden/>
          </w:rPr>
          <w:fldChar w:fldCharType="end"/>
        </w:r>
      </w:hyperlink>
    </w:p>
    <w:p w:rsidR="00264070" w:rsidRDefault="00264070">
      <w:pPr>
        <w:pStyle w:val="TDC3"/>
        <w:rPr>
          <w:rFonts w:ascii="Times New Roman" w:hAnsi="Times New Roman"/>
          <w:sz w:val="24"/>
          <w:szCs w:val="24"/>
        </w:rPr>
      </w:pPr>
      <w:hyperlink w:anchor="_Toc344391845" w:history="1">
        <w:r w:rsidRPr="00D55AAB">
          <w:rPr>
            <w:rStyle w:val="Hipervnculo"/>
          </w:rPr>
          <w:t>6.1.2</w:t>
        </w:r>
        <w:r>
          <w:rPr>
            <w:rFonts w:ascii="Times New Roman" w:hAnsi="Times New Roman"/>
            <w:sz w:val="24"/>
            <w:szCs w:val="24"/>
          </w:rPr>
          <w:tab/>
        </w:r>
        <w:r w:rsidRPr="00D55AAB">
          <w:rPr>
            <w:rStyle w:val="Hipervnculo"/>
          </w:rPr>
          <w:t>Consideraciones Hidrológicas</w:t>
        </w:r>
        <w:r>
          <w:rPr>
            <w:webHidden/>
          </w:rPr>
          <w:tab/>
        </w:r>
        <w:r>
          <w:rPr>
            <w:webHidden/>
          </w:rPr>
          <w:fldChar w:fldCharType="begin"/>
        </w:r>
        <w:r>
          <w:rPr>
            <w:webHidden/>
          </w:rPr>
          <w:instrText xml:space="preserve"> PAGEREF _Toc344391845 \h </w:instrText>
        </w:r>
        <w:r>
          <w:rPr>
            <w:webHidden/>
          </w:rPr>
          <w:fldChar w:fldCharType="separate"/>
        </w:r>
        <w:r>
          <w:rPr>
            <w:webHidden/>
          </w:rPr>
          <w:t>282</w:t>
        </w:r>
        <w:r>
          <w:rPr>
            <w:webHidden/>
          </w:rPr>
          <w:fldChar w:fldCharType="end"/>
        </w:r>
      </w:hyperlink>
    </w:p>
    <w:p w:rsidR="00264070" w:rsidRDefault="00264070">
      <w:pPr>
        <w:pStyle w:val="TDC3"/>
        <w:rPr>
          <w:rFonts w:ascii="Times New Roman" w:hAnsi="Times New Roman"/>
          <w:sz w:val="24"/>
          <w:szCs w:val="24"/>
        </w:rPr>
      </w:pPr>
      <w:hyperlink w:anchor="_Toc344391846" w:history="1">
        <w:r w:rsidRPr="00D55AAB">
          <w:rPr>
            <w:rStyle w:val="Hipervnculo"/>
          </w:rPr>
          <w:t>6.1.3</w:t>
        </w:r>
        <w:r>
          <w:rPr>
            <w:rFonts w:ascii="Times New Roman" w:hAnsi="Times New Roman"/>
            <w:sz w:val="24"/>
            <w:szCs w:val="24"/>
          </w:rPr>
          <w:tab/>
        </w:r>
        <w:r w:rsidRPr="00D55AAB">
          <w:rPr>
            <w:rStyle w:val="Hipervnculo"/>
          </w:rPr>
          <w:t>Consideraciones Hidrogeológicas</w:t>
        </w:r>
        <w:r>
          <w:rPr>
            <w:webHidden/>
          </w:rPr>
          <w:tab/>
        </w:r>
        <w:r>
          <w:rPr>
            <w:webHidden/>
          </w:rPr>
          <w:fldChar w:fldCharType="begin"/>
        </w:r>
        <w:r>
          <w:rPr>
            <w:webHidden/>
          </w:rPr>
          <w:instrText xml:space="preserve"> PAGEREF _Toc344391846 \h </w:instrText>
        </w:r>
        <w:r>
          <w:rPr>
            <w:webHidden/>
          </w:rPr>
          <w:fldChar w:fldCharType="separate"/>
        </w:r>
        <w:r>
          <w:rPr>
            <w:webHidden/>
          </w:rPr>
          <w:t>284</w:t>
        </w:r>
        <w:r>
          <w:rPr>
            <w:webHidden/>
          </w:rPr>
          <w:fldChar w:fldCharType="end"/>
        </w:r>
      </w:hyperlink>
    </w:p>
    <w:p w:rsidR="00264070" w:rsidRDefault="00264070">
      <w:pPr>
        <w:pStyle w:val="TDC4"/>
        <w:rPr>
          <w:rFonts w:ascii="Times New Roman" w:hAnsi="Times New Roman"/>
          <w:noProof/>
          <w:sz w:val="24"/>
        </w:rPr>
      </w:pPr>
      <w:hyperlink w:anchor="_Toc344391847" w:history="1">
        <w:r w:rsidRPr="00D55AAB">
          <w:rPr>
            <w:rStyle w:val="Hipervnculo"/>
            <w:noProof/>
          </w:rPr>
          <w:t>6.1.3.1</w:t>
        </w:r>
        <w:r>
          <w:rPr>
            <w:rFonts w:ascii="Times New Roman" w:hAnsi="Times New Roman"/>
            <w:noProof/>
            <w:sz w:val="24"/>
          </w:rPr>
          <w:tab/>
        </w:r>
        <w:r w:rsidRPr="00D55AAB">
          <w:rPr>
            <w:rStyle w:val="Hipervnculo"/>
            <w:noProof/>
          </w:rPr>
          <w:t>Volúmenes de Acuíferos</w:t>
        </w:r>
        <w:r>
          <w:rPr>
            <w:noProof/>
            <w:webHidden/>
          </w:rPr>
          <w:tab/>
        </w:r>
        <w:r>
          <w:rPr>
            <w:noProof/>
            <w:webHidden/>
          </w:rPr>
          <w:fldChar w:fldCharType="begin"/>
        </w:r>
        <w:r>
          <w:rPr>
            <w:noProof/>
            <w:webHidden/>
          </w:rPr>
          <w:instrText xml:space="preserve"> PAGEREF _Toc344391847 \h </w:instrText>
        </w:r>
        <w:r>
          <w:rPr>
            <w:noProof/>
          </w:rPr>
        </w:r>
        <w:r>
          <w:rPr>
            <w:noProof/>
            <w:webHidden/>
          </w:rPr>
          <w:fldChar w:fldCharType="separate"/>
        </w:r>
        <w:r>
          <w:rPr>
            <w:noProof/>
            <w:webHidden/>
          </w:rPr>
          <w:t>284</w:t>
        </w:r>
        <w:r>
          <w:rPr>
            <w:noProof/>
            <w:webHidden/>
          </w:rPr>
          <w:fldChar w:fldCharType="end"/>
        </w:r>
      </w:hyperlink>
    </w:p>
    <w:p w:rsidR="00264070" w:rsidRDefault="00264070">
      <w:pPr>
        <w:pStyle w:val="TDC4"/>
        <w:rPr>
          <w:rFonts w:ascii="Times New Roman" w:hAnsi="Times New Roman"/>
          <w:noProof/>
          <w:sz w:val="24"/>
        </w:rPr>
      </w:pPr>
      <w:hyperlink w:anchor="_Toc344391848" w:history="1">
        <w:r w:rsidRPr="00D55AAB">
          <w:rPr>
            <w:rStyle w:val="Hipervnculo"/>
            <w:noProof/>
          </w:rPr>
          <w:t>6.1.3.2</w:t>
        </w:r>
        <w:r>
          <w:rPr>
            <w:rFonts w:ascii="Times New Roman" w:hAnsi="Times New Roman"/>
            <w:noProof/>
            <w:sz w:val="24"/>
          </w:rPr>
          <w:tab/>
        </w:r>
        <w:r w:rsidRPr="00D55AAB">
          <w:rPr>
            <w:rStyle w:val="Hipervnculo"/>
            <w:noProof/>
          </w:rPr>
          <w:t>Cálculo de Caudales de Agua Subterránea Asociados a Volumen de Almacenamiento del Acuífero</w:t>
        </w:r>
        <w:r>
          <w:rPr>
            <w:noProof/>
            <w:webHidden/>
          </w:rPr>
          <w:tab/>
        </w:r>
        <w:r>
          <w:rPr>
            <w:noProof/>
            <w:webHidden/>
          </w:rPr>
          <w:fldChar w:fldCharType="begin"/>
        </w:r>
        <w:r>
          <w:rPr>
            <w:noProof/>
            <w:webHidden/>
          </w:rPr>
          <w:instrText xml:space="preserve"> PAGEREF _Toc344391848 \h </w:instrText>
        </w:r>
        <w:r>
          <w:rPr>
            <w:noProof/>
          </w:rPr>
        </w:r>
        <w:r>
          <w:rPr>
            <w:noProof/>
            <w:webHidden/>
          </w:rPr>
          <w:fldChar w:fldCharType="separate"/>
        </w:r>
        <w:r>
          <w:rPr>
            <w:noProof/>
            <w:webHidden/>
          </w:rPr>
          <w:t>290</w:t>
        </w:r>
        <w:r>
          <w:rPr>
            <w:noProof/>
            <w:webHidden/>
          </w:rPr>
          <w:fldChar w:fldCharType="end"/>
        </w:r>
      </w:hyperlink>
    </w:p>
    <w:p w:rsidR="00264070" w:rsidRDefault="00264070">
      <w:pPr>
        <w:pStyle w:val="TDC3"/>
        <w:rPr>
          <w:rFonts w:ascii="Times New Roman" w:hAnsi="Times New Roman"/>
          <w:sz w:val="24"/>
          <w:szCs w:val="24"/>
        </w:rPr>
      </w:pPr>
      <w:hyperlink w:anchor="_Toc344391849" w:history="1">
        <w:r w:rsidRPr="00D55AAB">
          <w:rPr>
            <w:rStyle w:val="Hipervnculo"/>
          </w:rPr>
          <w:t>6.1.4</w:t>
        </w:r>
        <w:r>
          <w:rPr>
            <w:rFonts w:ascii="Times New Roman" w:hAnsi="Times New Roman"/>
            <w:sz w:val="24"/>
            <w:szCs w:val="24"/>
          </w:rPr>
          <w:tab/>
        </w:r>
        <w:r w:rsidRPr="00D55AAB">
          <w:rPr>
            <w:rStyle w:val="Hipervnculo"/>
          </w:rPr>
          <w:t>Consideraciones Respecto a Demandas</w:t>
        </w:r>
        <w:r>
          <w:rPr>
            <w:webHidden/>
          </w:rPr>
          <w:tab/>
        </w:r>
        <w:r>
          <w:rPr>
            <w:webHidden/>
          </w:rPr>
          <w:fldChar w:fldCharType="begin"/>
        </w:r>
        <w:r>
          <w:rPr>
            <w:webHidden/>
          </w:rPr>
          <w:instrText xml:space="preserve"> PAGEREF _Toc344391849 \h </w:instrText>
        </w:r>
        <w:r>
          <w:rPr>
            <w:webHidden/>
          </w:rPr>
          <w:fldChar w:fldCharType="separate"/>
        </w:r>
        <w:r>
          <w:rPr>
            <w:webHidden/>
          </w:rPr>
          <w:t>305</w:t>
        </w:r>
        <w:r>
          <w:rPr>
            <w:webHidden/>
          </w:rPr>
          <w:fldChar w:fldCharType="end"/>
        </w:r>
      </w:hyperlink>
    </w:p>
    <w:p w:rsidR="00264070" w:rsidRDefault="00264070">
      <w:pPr>
        <w:pStyle w:val="TDC3"/>
        <w:rPr>
          <w:rFonts w:ascii="Times New Roman" w:hAnsi="Times New Roman"/>
          <w:sz w:val="24"/>
          <w:szCs w:val="24"/>
        </w:rPr>
      </w:pPr>
      <w:hyperlink w:anchor="_Toc344391850" w:history="1">
        <w:r w:rsidRPr="00D55AAB">
          <w:rPr>
            <w:rStyle w:val="Hipervnculo"/>
          </w:rPr>
          <w:t>6.1.5</w:t>
        </w:r>
        <w:r>
          <w:rPr>
            <w:rFonts w:ascii="Times New Roman" w:hAnsi="Times New Roman"/>
            <w:sz w:val="24"/>
            <w:szCs w:val="24"/>
          </w:rPr>
          <w:tab/>
        </w:r>
        <w:r w:rsidRPr="00D55AAB">
          <w:rPr>
            <w:rStyle w:val="Hipervnculo"/>
          </w:rPr>
          <w:t>Determinación del Déficit o Superávit</w:t>
        </w:r>
        <w:r>
          <w:rPr>
            <w:webHidden/>
          </w:rPr>
          <w:tab/>
        </w:r>
        <w:r>
          <w:rPr>
            <w:webHidden/>
          </w:rPr>
          <w:fldChar w:fldCharType="begin"/>
        </w:r>
        <w:r>
          <w:rPr>
            <w:webHidden/>
          </w:rPr>
          <w:instrText xml:space="preserve"> PAGEREF _Toc344391850 \h </w:instrText>
        </w:r>
        <w:r>
          <w:rPr>
            <w:webHidden/>
          </w:rPr>
          <w:fldChar w:fldCharType="separate"/>
        </w:r>
        <w:r>
          <w:rPr>
            <w:webHidden/>
          </w:rPr>
          <w:t>306</w:t>
        </w:r>
        <w:r>
          <w:rPr>
            <w:webHidden/>
          </w:rPr>
          <w:fldChar w:fldCharType="end"/>
        </w:r>
      </w:hyperlink>
    </w:p>
    <w:p w:rsidR="00264070" w:rsidRDefault="00264070">
      <w:pPr>
        <w:pStyle w:val="TDC2"/>
        <w:rPr>
          <w:rFonts w:ascii="Times New Roman" w:hAnsi="Times New Roman"/>
          <w:noProof/>
          <w:sz w:val="24"/>
        </w:rPr>
      </w:pPr>
      <w:hyperlink w:anchor="_Toc344391851" w:history="1">
        <w:r w:rsidRPr="00D55AAB">
          <w:rPr>
            <w:rStyle w:val="Hipervnculo"/>
            <w:noProof/>
          </w:rPr>
          <w:t>6.2</w:t>
        </w:r>
        <w:r>
          <w:rPr>
            <w:rFonts w:ascii="Times New Roman" w:hAnsi="Times New Roman"/>
            <w:noProof/>
            <w:sz w:val="24"/>
          </w:rPr>
          <w:tab/>
        </w:r>
        <w:r w:rsidRPr="00D55AAB">
          <w:rPr>
            <w:rStyle w:val="Hipervnculo"/>
            <w:noProof/>
          </w:rPr>
          <w:t>Resultados del Balance</w:t>
        </w:r>
        <w:r>
          <w:rPr>
            <w:noProof/>
            <w:webHidden/>
          </w:rPr>
          <w:tab/>
        </w:r>
        <w:r>
          <w:rPr>
            <w:noProof/>
            <w:webHidden/>
          </w:rPr>
          <w:fldChar w:fldCharType="begin"/>
        </w:r>
        <w:r>
          <w:rPr>
            <w:noProof/>
            <w:webHidden/>
          </w:rPr>
          <w:instrText xml:space="preserve"> PAGEREF _Toc344391851 \h </w:instrText>
        </w:r>
        <w:r>
          <w:rPr>
            <w:noProof/>
          </w:rPr>
        </w:r>
        <w:r>
          <w:rPr>
            <w:noProof/>
            <w:webHidden/>
          </w:rPr>
          <w:fldChar w:fldCharType="separate"/>
        </w:r>
        <w:r>
          <w:rPr>
            <w:noProof/>
            <w:webHidden/>
          </w:rPr>
          <w:t>306</w:t>
        </w:r>
        <w:r>
          <w:rPr>
            <w:noProof/>
            <w:webHidden/>
          </w:rPr>
          <w:fldChar w:fldCharType="end"/>
        </w:r>
      </w:hyperlink>
    </w:p>
    <w:p w:rsidR="00264070" w:rsidRDefault="00264070">
      <w:pPr>
        <w:pStyle w:val="TDC3"/>
        <w:rPr>
          <w:rFonts w:ascii="Times New Roman" w:hAnsi="Times New Roman"/>
          <w:sz w:val="24"/>
          <w:szCs w:val="24"/>
        </w:rPr>
      </w:pPr>
      <w:hyperlink w:anchor="_Toc344391852" w:history="1">
        <w:r w:rsidRPr="00D55AAB">
          <w:rPr>
            <w:rStyle w:val="Hipervnculo"/>
            <w:lang w:val="es-ES_tradnl"/>
          </w:rPr>
          <w:t>6.2.1</w:t>
        </w:r>
        <w:r>
          <w:rPr>
            <w:rFonts w:ascii="Times New Roman" w:hAnsi="Times New Roman"/>
            <w:sz w:val="24"/>
            <w:szCs w:val="24"/>
          </w:rPr>
          <w:tab/>
        </w:r>
        <w:r w:rsidRPr="00D55AAB">
          <w:rPr>
            <w:rStyle w:val="Hipervnculo"/>
            <w:lang w:val="es-ES_tradnl"/>
          </w:rPr>
          <w:t>Escenario Actual</w:t>
        </w:r>
        <w:r>
          <w:rPr>
            <w:webHidden/>
          </w:rPr>
          <w:tab/>
        </w:r>
        <w:r>
          <w:rPr>
            <w:webHidden/>
          </w:rPr>
          <w:fldChar w:fldCharType="begin"/>
        </w:r>
        <w:r>
          <w:rPr>
            <w:webHidden/>
          </w:rPr>
          <w:instrText xml:space="preserve"> PAGEREF _Toc344391852 \h </w:instrText>
        </w:r>
        <w:r>
          <w:rPr>
            <w:webHidden/>
          </w:rPr>
          <w:fldChar w:fldCharType="separate"/>
        </w:r>
        <w:r>
          <w:rPr>
            <w:webHidden/>
          </w:rPr>
          <w:t>307</w:t>
        </w:r>
        <w:r>
          <w:rPr>
            <w:webHidden/>
          </w:rPr>
          <w:fldChar w:fldCharType="end"/>
        </w:r>
      </w:hyperlink>
    </w:p>
    <w:p w:rsidR="00264070" w:rsidRDefault="00264070">
      <w:pPr>
        <w:pStyle w:val="TDC3"/>
        <w:rPr>
          <w:rFonts w:ascii="Times New Roman" w:hAnsi="Times New Roman"/>
          <w:sz w:val="24"/>
          <w:szCs w:val="24"/>
        </w:rPr>
      </w:pPr>
      <w:hyperlink w:anchor="_Toc344391853" w:history="1">
        <w:r w:rsidRPr="00D55AAB">
          <w:rPr>
            <w:rStyle w:val="Hipervnculo"/>
            <w:lang w:val="es-ES_tradnl"/>
          </w:rPr>
          <w:t>6.2.2</w:t>
        </w:r>
        <w:r>
          <w:rPr>
            <w:rFonts w:ascii="Times New Roman" w:hAnsi="Times New Roman"/>
            <w:sz w:val="24"/>
            <w:szCs w:val="24"/>
          </w:rPr>
          <w:tab/>
        </w:r>
        <w:r w:rsidRPr="00D55AAB">
          <w:rPr>
            <w:rStyle w:val="Hipervnculo"/>
            <w:lang w:val="es-ES_tradnl"/>
          </w:rPr>
          <w:t>Escenario Futuro</w:t>
        </w:r>
        <w:r>
          <w:rPr>
            <w:webHidden/>
          </w:rPr>
          <w:tab/>
        </w:r>
        <w:r>
          <w:rPr>
            <w:webHidden/>
          </w:rPr>
          <w:fldChar w:fldCharType="begin"/>
        </w:r>
        <w:r>
          <w:rPr>
            <w:webHidden/>
          </w:rPr>
          <w:instrText xml:space="preserve"> PAGEREF _Toc344391853 \h </w:instrText>
        </w:r>
        <w:r>
          <w:rPr>
            <w:webHidden/>
          </w:rPr>
          <w:fldChar w:fldCharType="separate"/>
        </w:r>
        <w:r>
          <w:rPr>
            <w:webHidden/>
          </w:rPr>
          <w:t>309</w:t>
        </w:r>
        <w:r>
          <w:rPr>
            <w:webHidden/>
          </w:rPr>
          <w:fldChar w:fldCharType="end"/>
        </w:r>
      </w:hyperlink>
    </w:p>
    <w:p w:rsidR="00264070" w:rsidRDefault="00264070">
      <w:pPr>
        <w:pStyle w:val="TDC1"/>
        <w:rPr>
          <w:rFonts w:ascii="Times New Roman" w:hAnsi="Times New Roman"/>
          <w:noProof/>
          <w:sz w:val="24"/>
        </w:rPr>
      </w:pPr>
      <w:hyperlink w:anchor="_Toc344391854" w:history="1">
        <w:r w:rsidRPr="00D55AAB">
          <w:rPr>
            <w:rStyle w:val="Hipervnculo"/>
            <w:noProof/>
          </w:rPr>
          <w:t>7.</w:t>
        </w:r>
        <w:r>
          <w:rPr>
            <w:rFonts w:ascii="Times New Roman" w:hAnsi="Times New Roman"/>
            <w:noProof/>
            <w:sz w:val="24"/>
          </w:rPr>
          <w:tab/>
        </w:r>
        <w:r w:rsidRPr="00D55AAB">
          <w:rPr>
            <w:rStyle w:val="Hipervnculo"/>
            <w:noProof/>
          </w:rPr>
          <w:t>SOLUCIONES PROPUESTAS</w:t>
        </w:r>
        <w:r>
          <w:rPr>
            <w:noProof/>
            <w:webHidden/>
          </w:rPr>
          <w:tab/>
        </w:r>
        <w:r>
          <w:rPr>
            <w:noProof/>
            <w:webHidden/>
          </w:rPr>
          <w:fldChar w:fldCharType="begin"/>
        </w:r>
        <w:r>
          <w:rPr>
            <w:noProof/>
            <w:webHidden/>
          </w:rPr>
          <w:instrText xml:space="preserve"> PAGEREF _Toc344391854 \h </w:instrText>
        </w:r>
        <w:r>
          <w:rPr>
            <w:noProof/>
          </w:rPr>
        </w:r>
        <w:r>
          <w:rPr>
            <w:noProof/>
            <w:webHidden/>
          </w:rPr>
          <w:fldChar w:fldCharType="separate"/>
        </w:r>
        <w:r>
          <w:rPr>
            <w:noProof/>
            <w:webHidden/>
          </w:rPr>
          <w:t>311</w:t>
        </w:r>
        <w:r>
          <w:rPr>
            <w:noProof/>
            <w:webHidden/>
          </w:rPr>
          <w:fldChar w:fldCharType="end"/>
        </w:r>
      </w:hyperlink>
    </w:p>
    <w:p w:rsidR="00264070" w:rsidRDefault="00264070">
      <w:pPr>
        <w:pStyle w:val="TDC2"/>
        <w:rPr>
          <w:rFonts w:ascii="Times New Roman" w:hAnsi="Times New Roman"/>
          <w:noProof/>
          <w:sz w:val="24"/>
        </w:rPr>
      </w:pPr>
      <w:hyperlink w:anchor="_Toc344391855" w:history="1">
        <w:r w:rsidRPr="00D55AAB">
          <w:rPr>
            <w:rStyle w:val="Hipervnculo"/>
            <w:noProof/>
          </w:rPr>
          <w:t>7.1</w:t>
        </w:r>
        <w:r>
          <w:rPr>
            <w:rFonts w:ascii="Times New Roman" w:hAnsi="Times New Roman"/>
            <w:noProof/>
            <w:sz w:val="24"/>
          </w:rPr>
          <w:tab/>
        </w:r>
        <w:r w:rsidRPr="00D55AAB">
          <w:rPr>
            <w:rStyle w:val="Hipervnculo"/>
            <w:noProof/>
          </w:rPr>
          <w:t>Mejora de la Eficiencia en Riego</w:t>
        </w:r>
        <w:r>
          <w:rPr>
            <w:noProof/>
            <w:webHidden/>
          </w:rPr>
          <w:tab/>
        </w:r>
        <w:r>
          <w:rPr>
            <w:noProof/>
            <w:webHidden/>
          </w:rPr>
          <w:fldChar w:fldCharType="begin"/>
        </w:r>
        <w:r>
          <w:rPr>
            <w:noProof/>
            <w:webHidden/>
          </w:rPr>
          <w:instrText xml:space="preserve"> PAGEREF _Toc344391855 \h </w:instrText>
        </w:r>
        <w:r>
          <w:rPr>
            <w:noProof/>
          </w:rPr>
        </w:r>
        <w:r>
          <w:rPr>
            <w:noProof/>
            <w:webHidden/>
          </w:rPr>
          <w:fldChar w:fldCharType="separate"/>
        </w:r>
        <w:r>
          <w:rPr>
            <w:noProof/>
            <w:webHidden/>
          </w:rPr>
          <w:t>311</w:t>
        </w:r>
        <w:r>
          <w:rPr>
            <w:noProof/>
            <w:webHidden/>
          </w:rPr>
          <w:fldChar w:fldCharType="end"/>
        </w:r>
      </w:hyperlink>
    </w:p>
    <w:p w:rsidR="00264070" w:rsidRDefault="00264070">
      <w:pPr>
        <w:pStyle w:val="TDC2"/>
        <w:rPr>
          <w:rFonts w:ascii="Times New Roman" w:hAnsi="Times New Roman"/>
          <w:noProof/>
          <w:sz w:val="24"/>
        </w:rPr>
      </w:pPr>
      <w:hyperlink w:anchor="_Toc344391856" w:history="1">
        <w:r w:rsidRPr="00D55AAB">
          <w:rPr>
            <w:rStyle w:val="Hipervnculo"/>
            <w:noProof/>
            <w:lang w:val="es-CL"/>
          </w:rPr>
          <w:t>7.2</w:t>
        </w:r>
        <w:r>
          <w:rPr>
            <w:rFonts w:ascii="Times New Roman" w:hAnsi="Times New Roman"/>
            <w:noProof/>
            <w:sz w:val="24"/>
          </w:rPr>
          <w:tab/>
        </w:r>
        <w:r w:rsidRPr="00D55AAB">
          <w:rPr>
            <w:rStyle w:val="Hipervnculo"/>
            <w:noProof/>
          </w:rPr>
          <w:t>Recarga de Acuíferos</w:t>
        </w:r>
        <w:r>
          <w:rPr>
            <w:noProof/>
            <w:webHidden/>
          </w:rPr>
          <w:tab/>
        </w:r>
        <w:r>
          <w:rPr>
            <w:noProof/>
            <w:webHidden/>
          </w:rPr>
          <w:fldChar w:fldCharType="begin"/>
        </w:r>
        <w:r>
          <w:rPr>
            <w:noProof/>
            <w:webHidden/>
          </w:rPr>
          <w:instrText xml:space="preserve"> PAGEREF _Toc344391856 \h </w:instrText>
        </w:r>
        <w:r>
          <w:rPr>
            <w:noProof/>
          </w:rPr>
        </w:r>
        <w:r>
          <w:rPr>
            <w:noProof/>
            <w:webHidden/>
          </w:rPr>
          <w:fldChar w:fldCharType="separate"/>
        </w:r>
        <w:r>
          <w:rPr>
            <w:noProof/>
            <w:webHidden/>
          </w:rPr>
          <w:t>313</w:t>
        </w:r>
        <w:r>
          <w:rPr>
            <w:noProof/>
            <w:webHidden/>
          </w:rPr>
          <w:fldChar w:fldCharType="end"/>
        </w:r>
      </w:hyperlink>
    </w:p>
    <w:p w:rsidR="00264070" w:rsidRDefault="00264070">
      <w:pPr>
        <w:pStyle w:val="TDC2"/>
        <w:rPr>
          <w:rFonts w:ascii="Times New Roman" w:hAnsi="Times New Roman"/>
          <w:noProof/>
          <w:sz w:val="24"/>
        </w:rPr>
      </w:pPr>
      <w:hyperlink w:anchor="_Toc344391857" w:history="1">
        <w:r w:rsidRPr="00D55AAB">
          <w:rPr>
            <w:rStyle w:val="Hipervnculo"/>
            <w:noProof/>
            <w:lang w:val="es-CL"/>
          </w:rPr>
          <w:t>7.3</w:t>
        </w:r>
        <w:r>
          <w:rPr>
            <w:rFonts w:ascii="Times New Roman" w:hAnsi="Times New Roman"/>
            <w:noProof/>
            <w:sz w:val="24"/>
          </w:rPr>
          <w:tab/>
        </w:r>
        <w:r w:rsidRPr="00D55AAB">
          <w:rPr>
            <w:rStyle w:val="Hipervnculo"/>
            <w:noProof/>
          </w:rPr>
          <w:t>Compra de Derechos de Aguas</w:t>
        </w:r>
        <w:r>
          <w:rPr>
            <w:noProof/>
            <w:webHidden/>
          </w:rPr>
          <w:tab/>
        </w:r>
        <w:r>
          <w:rPr>
            <w:noProof/>
            <w:webHidden/>
          </w:rPr>
          <w:fldChar w:fldCharType="begin"/>
        </w:r>
        <w:r>
          <w:rPr>
            <w:noProof/>
            <w:webHidden/>
          </w:rPr>
          <w:instrText xml:space="preserve"> PAGEREF _Toc344391857 \h </w:instrText>
        </w:r>
        <w:r>
          <w:rPr>
            <w:noProof/>
          </w:rPr>
        </w:r>
        <w:r>
          <w:rPr>
            <w:noProof/>
            <w:webHidden/>
          </w:rPr>
          <w:fldChar w:fldCharType="separate"/>
        </w:r>
        <w:r>
          <w:rPr>
            <w:noProof/>
            <w:webHidden/>
          </w:rPr>
          <w:t>315</w:t>
        </w:r>
        <w:r>
          <w:rPr>
            <w:noProof/>
            <w:webHidden/>
          </w:rPr>
          <w:fldChar w:fldCharType="end"/>
        </w:r>
      </w:hyperlink>
    </w:p>
    <w:p w:rsidR="00264070" w:rsidRDefault="00264070">
      <w:pPr>
        <w:pStyle w:val="TDC2"/>
        <w:rPr>
          <w:rFonts w:ascii="Times New Roman" w:hAnsi="Times New Roman"/>
          <w:noProof/>
          <w:sz w:val="24"/>
        </w:rPr>
      </w:pPr>
      <w:hyperlink w:anchor="_Toc344391858" w:history="1">
        <w:r w:rsidRPr="00D55AAB">
          <w:rPr>
            <w:rStyle w:val="Hipervnculo"/>
            <w:noProof/>
            <w:lang w:val="es-CL"/>
          </w:rPr>
          <w:t>7.4</w:t>
        </w:r>
        <w:r>
          <w:rPr>
            <w:rFonts w:ascii="Times New Roman" w:hAnsi="Times New Roman"/>
            <w:noProof/>
            <w:sz w:val="24"/>
          </w:rPr>
          <w:tab/>
        </w:r>
        <w:r w:rsidRPr="00D55AAB">
          <w:rPr>
            <w:rStyle w:val="Hipervnculo"/>
            <w:noProof/>
          </w:rPr>
          <w:t>Mejoramiento de la Red Fluviométrica y Pluviométrica</w:t>
        </w:r>
        <w:r>
          <w:rPr>
            <w:noProof/>
            <w:webHidden/>
          </w:rPr>
          <w:tab/>
        </w:r>
        <w:r>
          <w:rPr>
            <w:noProof/>
            <w:webHidden/>
          </w:rPr>
          <w:fldChar w:fldCharType="begin"/>
        </w:r>
        <w:r>
          <w:rPr>
            <w:noProof/>
            <w:webHidden/>
          </w:rPr>
          <w:instrText xml:space="preserve"> PAGEREF _Toc344391858 \h </w:instrText>
        </w:r>
        <w:r>
          <w:rPr>
            <w:noProof/>
          </w:rPr>
        </w:r>
        <w:r>
          <w:rPr>
            <w:noProof/>
            <w:webHidden/>
          </w:rPr>
          <w:fldChar w:fldCharType="separate"/>
        </w:r>
        <w:r>
          <w:rPr>
            <w:noProof/>
            <w:webHidden/>
          </w:rPr>
          <w:t>315</w:t>
        </w:r>
        <w:r>
          <w:rPr>
            <w:noProof/>
            <w:webHidden/>
          </w:rPr>
          <w:fldChar w:fldCharType="end"/>
        </w:r>
      </w:hyperlink>
    </w:p>
    <w:p w:rsidR="00264070" w:rsidRDefault="00264070">
      <w:pPr>
        <w:pStyle w:val="TDC2"/>
        <w:rPr>
          <w:rFonts w:ascii="Times New Roman" w:hAnsi="Times New Roman"/>
          <w:noProof/>
          <w:sz w:val="24"/>
        </w:rPr>
      </w:pPr>
      <w:hyperlink w:anchor="_Toc344391859" w:history="1">
        <w:r w:rsidRPr="00D55AAB">
          <w:rPr>
            <w:rStyle w:val="Hipervnculo"/>
            <w:noProof/>
            <w:lang w:val="es-CL"/>
          </w:rPr>
          <w:t>7.5</w:t>
        </w:r>
        <w:r>
          <w:rPr>
            <w:rFonts w:ascii="Times New Roman" w:hAnsi="Times New Roman"/>
            <w:noProof/>
            <w:sz w:val="24"/>
          </w:rPr>
          <w:tab/>
        </w:r>
        <w:r w:rsidRPr="00D55AAB">
          <w:rPr>
            <w:rStyle w:val="Hipervnculo"/>
            <w:noProof/>
          </w:rPr>
          <w:t>Resumen de Soluciones</w:t>
        </w:r>
        <w:r>
          <w:rPr>
            <w:noProof/>
            <w:webHidden/>
          </w:rPr>
          <w:tab/>
        </w:r>
        <w:r>
          <w:rPr>
            <w:noProof/>
            <w:webHidden/>
          </w:rPr>
          <w:fldChar w:fldCharType="begin"/>
        </w:r>
        <w:r>
          <w:rPr>
            <w:noProof/>
            <w:webHidden/>
          </w:rPr>
          <w:instrText xml:space="preserve"> PAGEREF _Toc344391859 \h </w:instrText>
        </w:r>
        <w:r>
          <w:rPr>
            <w:noProof/>
          </w:rPr>
        </w:r>
        <w:r>
          <w:rPr>
            <w:noProof/>
            <w:webHidden/>
          </w:rPr>
          <w:fldChar w:fldCharType="separate"/>
        </w:r>
        <w:r>
          <w:rPr>
            <w:noProof/>
            <w:webHidden/>
          </w:rPr>
          <w:t>317</w:t>
        </w:r>
        <w:r>
          <w:rPr>
            <w:noProof/>
            <w:webHidden/>
          </w:rPr>
          <w:fldChar w:fldCharType="end"/>
        </w:r>
      </w:hyperlink>
    </w:p>
    <w:p w:rsidR="00264070" w:rsidRDefault="00264070">
      <w:pPr>
        <w:pStyle w:val="TDC1"/>
        <w:rPr>
          <w:rFonts w:ascii="Times New Roman" w:hAnsi="Times New Roman"/>
          <w:noProof/>
          <w:sz w:val="24"/>
        </w:rPr>
      </w:pPr>
      <w:hyperlink w:anchor="_Toc344391860" w:history="1">
        <w:r w:rsidRPr="00D55AAB">
          <w:rPr>
            <w:rStyle w:val="Hipervnculo"/>
            <w:noProof/>
          </w:rPr>
          <w:t>8.</w:t>
        </w:r>
        <w:r>
          <w:rPr>
            <w:rFonts w:ascii="Times New Roman" w:hAnsi="Times New Roman"/>
            <w:noProof/>
            <w:sz w:val="24"/>
          </w:rPr>
          <w:tab/>
        </w:r>
        <w:r w:rsidRPr="00D55AAB">
          <w:rPr>
            <w:rStyle w:val="Hipervnculo"/>
            <w:noProof/>
          </w:rPr>
          <w:t>RESUMEN Y CONCLUSIONES</w:t>
        </w:r>
        <w:r>
          <w:rPr>
            <w:noProof/>
            <w:webHidden/>
          </w:rPr>
          <w:tab/>
        </w:r>
        <w:r>
          <w:rPr>
            <w:noProof/>
            <w:webHidden/>
          </w:rPr>
          <w:fldChar w:fldCharType="begin"/>
        </w:r>
        <w:r>
          <w:rPr>
            <w:noProof/>
            <w:webHidden/>
          </w:rPr>
          <w:instrText xml:space="preserve"> PAGEREF _Toc344391860 \h </w:instrText>
        </w:r>
        <w:r>
          <w:rPr>
            <w:noProof/>
          </w:rPr>
        </w:r>
        <w:r>
          <w:rPr>
            <w:noProof/>
            <w:webHidden/>
          </w:rPr>
          <w:fldChar w:fldCharType="separate"/>
        </w:r>
        <w:r>
          <w:rPr>
            <w:noProof/>
            <w:webHidden/>
          </w:rPr>
          <w:t>318</w:t>
        </w:r>
        <w:r>
          <w:rPr>
            <w:noProof/>
            <w:webHidden/>
          </w:rPr>
          <w:fldChar w:fldCharType="end"/>
        </w:r>
      </w:hyperlink>
    </w:p>
    <w:p w:rsidR="00264070" w:rsidRDefault="00264070">
      <w:pPr>
        <w:pStyle w:val="TDC2"/>
        <w:rPr>
          <w:rFonts w:ascii="Times New Roman" w:hAnsi="Times New Roman"/>
          <w:noProof/>
          <w:sz w:val="24"/>
        </w:rPr>
      </w:pPr>
      <w:hyperlink w:anchor="_Toc344391861" w:history="1">
        <w:r w:rsidRPr="00D55AAB">
          <w:rPr>
            <w:rStyle w:val="Hipervnculo"/>
            <w:noProof/>
          </w:rPr>
          <w:t>8.1</w:t>
        </w:r>
        <w:r>
          <w:rPr>
            <w:rFonts w:ascii="Times New Roman" w:hAnsi="Times New Roman"/>
            <w:noProof/>
            <w:sz w:val="24"/>
          </w:rPr>
          <w:tab/>
        </w:r>
        <w:r w:rsidRPr="00D55AAB">
          <w:rPr>
            <w:rStyle w:val="Hipervnculo"/>
            <w:noProof/>
          </w:rPr>
          <w:t>Definición del Marco Geológico e Hidrogeológico</w:t>
        </w:r>
        <w:r>
          <w:rPr>
            <w:noProof/>
            <w:webHidden/>
          </w:rPr>
          <w:tab/>
        </w:r>
        <w:r>
          <w:rPr>
            <w:noProof/>
            <w:webHidden/>
          </w:rPr>
          <w:fldChar w:fldCharType="begin"/>
        </w:r>
        <w:r>
          <w:rPr>
            <w:noProof/>
            <w:webHidden/>
          </w:rPr>
          <w:instrText xml:space="preserve"> PAGEREF _Toc344391861 \h </w:instrText>
        </w:r>
        <w:r>
          <w:rPr>
            <w:noProof/>
          </w:rPr>
        </w:r>
        <w:r>
          <w:rPr>
            <w:noProof/>
            <w:webHidden/>
          </w:rPr>
          <w:fldChar w:fldCharType="separate"/>
        </w:r>
        <w:r>
          <w:rPr>
            <w:noProof/>
            <w:webHidden/>
          </w:rPr>
          <w:t>318</w:t>
        </w:r>
        <w:r>
          <w:rPr>
            <w:noProof/>
            <w:webHidden/>
          </w:rPr>
          <w:fldChar w:fldCharType="end"/>
        </w:r>
      </w:hyperlink>
    </w:p>
    <w:p w:rsidR="00264070" w:rsidRDefault="00264070">
      <w:pPr>
        <w:pStyle w:val="TDC2"/>
        <w:rPr>
          <w:rFonts w:ascii="Times New Roman" w:hAnsi="Times New Roman"/>
          <w:noProof/>
          <w:sz w:val="24"/>
        </w:rPr>
      </w:pPr>
      <w:hyperlink w:anchor="_Toc344391862" w:history="1">
        <w:r w:rsidRPr="00D55AAB">
          <w:rPr>
            <w:rStyle w:val="Hipervnculo"/>
            <w:noProof/>
          </w:rPr>
          <w:t>8.2</w:t>
        </w:r>
        <w:r>
          <w:rPr>
            <w:rFonts w:ascii="Times New Roman" w:hAnsi="Times New Roman"/>
            <w:noProof/>
            <w:sz w:val="24"/>
          </w:rPr>
          <w:tab/>
        </w:r>
        <w:r w:rsidRPr="00D55AAB">
          <w:rPr>
            <w:rStyle w:val="Hipervnculo"/>
            <w:noProof/>
          </w:rPr>
          <w:t>Hidrología Superficial</w:t>
        </w:r>
        <w:r>
          <w:rPr>
            <w:noProof/>
            <w:webHidden/>
          </w:rPr>
          <w:tab/>
        </w:r>
        <w:r>
          <w:rPr>
            <w:noProof/>
            <w:webHidden/>
          </w:rPr>
          <w:fldChar w:fldCharType="begin"/>
        </w:r>
        <w:r>
          <w:rPr>
            <w:noProof/>
            <w:webHidden/>
          </w:rPr>
          <w:instrText xml:space="preserve"> PAGEREF _Toc344391862 \h </w:instrText>
        </w:r>
        <w:r>
          <w:rPr>
            <w:noProof/>
          </w:rPr>
        </w:r>
        <w:r>
          <w:rPr>
            <w:noProof/>
            <w:webHidden/>
          </w:rPr>
          <w:fldChar w:fldCharType="separate"/>
        </w:r>
        <w:r>
          <w:rPr>
            <w:noProof/>
            <w:webHidden/>
          </w:rPr>
          <w:t>320</w:t>
        </w:r>
        <w:r>
          <w:rPr>
            <w:noProof/>
            <w:webHidden/>
          </w:rPr>
          <w:fldChar w:fldCharType="end"/>
        </w:r>
      </w:hyperlink>
    </w:p>
    <w:p w:rsidR="00264070" w:rsidRDefault="00264070">
      <w:pPr>
        <w:pStyle w:val="TDC2"/>
        <w:rPr>
          <w:rFonts w:ascii="Times New Roman" w:hAnsi="Times New Roman"/>
          <w:noProof/>
          <w:sz w:val="24"/>
        </w:rPr>
      </w:pPr>
      <w:hyperlink w:anchor="_Toc344391863" w:history="1">
        <w:r w:rsidRPr="00D55AAB">
          <w:rPr>
            <w:rStyle w:val="Hipervnculo"/>
            <w:noProof/>
          </w:rPr>
          <w:t>8.3</w:t>
        </w:r>
        <w:r>
          <w:rPr>
            <w:rFonts w:ascii="Times New Roman" w:hAnsi="Times New Roman"/>
            <w:noProof/>
            <w:sz w:val="24"/>
          </w:rPr>
          <w:tab/>
        </w:r>
        <w:r w:rsidRPr="00D55AAB">
          <w:rPr>
            <w:rStyle w:val="Hipervnculo"/>
            <w:noProof/>
          </w:rPr>
          <w:t>Caracterización de las Demandas</w:t>
        </w:r>
        <w:r>
          <w:rPr>
            <w:noProof/>
            <w:webHidden/>
          </w:rPr>
          <w:tab/>
        </w:r>
        <w:r>
          <w:rPr>
            <w:noProof/>
            <w:webHidden/>
          </w:rPr>
          <w:fldChar w:fldCharType="begin"/>
        </w:r>
        <w:r>
          <w:rPr>
            <w:noProof/>
            <w:webHidden/>
          </w:rPr>
          <w:instrText xml:space="preserve"> PAGEREF _Toc344391863 \h </w:instrText>
        </w:r>
        <w:r>
          <w:rPr>
            <w:noProof/>
          </w:rPr>
        </w:r>
        <w:r>
          <w:rPr>
            <w:noProof/>
            <w:webHidden/>
          </w:rPr>
          <w:fldChar w:fldCharType="separate"/>
        </w:r>
        <w:r>
          <w:rPr>
            <w:noProof/>
            <w:webHidden/>
          </w:rPr>
          <w:t>321</w:t>
        </w:r>
        <w:r>
          <w:rPr>
            <w:noProof/>
            <w:webHidden/>
          </w:rPr>
          <w:fldChar w:fldCharType="end"/>
        </w:r>
      </w:hyperlink>
    </w:p>
    <w:p w:rsidR="00264070" w:rsidRDefault="00264070">
      <w:pPr>
        <w:pStyle w:val="TDC3"/>
        <w:rPr>
          <w:rFonts w:ascii="Times New Roman" w:hAnsi="Times New Roman"/>
          <w:sz w:val="24"/>
          <w:szCs w:val="24"/>
        </w:rPr>
      </w:pPr>
      <w:hyperlink w:anchor="_Toc344391864" w:history="1">
        <w:r w:rsidRPr="00D55AAB">
          <w:rPr>
            <w:rStyle w:val="Hipervnculo"/>
          </w:rPr>
          <w:t>8.3.1</w:t>
        </w:r>
        <w:r>
          <w:rPr>
            <w:rFonts w:ascii="Times New Roman" w:hAnsi="Times New Roman"/>
            <w:sz w:val="24"/>
            <w:szCs w:val="24"/>
          </w:rPr>
          <w:tab/>
        </w:r>
        <w:r w:rsidRPr="00D55AAB">
          <w:rPr>
            <w:rStyle w:val="Hipervnculo"/>
          </w:rPr>
          <w:t>Según Derechos de Aguas</w:t>
        </w:r>
        <w:r>
          <w:rPr>
            <w:webHidden/>
          </w:rPr>
          <w:tab/>
        </w:r>
        <w:r>
          <w:rPr>
            <w:webHidden/>
          </w:rPr>
          <w:fldChar w:fldCharType="begin"/>
        </w:r>
        <w:r>
          <w:rPr>
            <w:webHidden/>
          </w:rPr>
          <w:instrText xml:space="preserve"> PAGEREF _Toc344391864 \h </w:instrText>
        </w:r>
        <w:r>
          <w:rPr>
            <w:webHidden/>
          </w:rPr>
          <w:fldChar w:fldCharType="separate"/>
        </w:r>
        <w:r>
          <w:rPr>
            <w:webHidden/>
          </w:rPr>
          <w:t>321</w:t>
        </w:r>
        <w:r>
          <w:rPr>
            <w:webHidden/>
          </w:rPr>
          <w:fldChar w:fldCharType="end"/>
        </w:r>
      </w:hyperlink>
    </w:p>
    <w:p w:rsidR="00264070" w:rsidRDefault="00264070">
      <w:pPr>
        <w:pStyle w:val="TDC3"/>
        <w:rPr>
          <w:rFonts w:ascii="Times New Roman" w:hAnsi="Times New Roman"/>
          <w:sz w:val="24"/>
          <w:szCs w:val="24"/>
        </w:rPr>
      </w:pPr>
      <w:hyperlink w:anchor="_Toc344391865" w:history="1">
        <w:r w:rsidRPr="00D55AAB">
          <w:rPr>
            <w:rStyle w:val="Hipervnculo"/>
          </w:rPr>
          <w:t>8.3.2</w:t>
        </w:r>
        <w:r>
          <w:rPr>
            <w:rFonts w:ascii="Times New Roman" w:hAnsi="Times New Roman"/>
            <w:sz w:val="24"/>
            <w:szCs w:val="24"/>
          </w:rPr>
          <w:tab/>
        </w:r>
        <w:r w:rsidRPr="00D55AAB">
          <w:rPr>
            <w:rStyle w:val="Hipervnculo"/>
          </w:rPr>
          <w:t>Según Usos</w:t>
        </w:r>
        <w:r>
          <w:rPr>
            <w:webHidden/>
          </w:rPr>
          <w:tab/>
        </w:r>
        <w:r>
          <w:rPr>
            <w:webHidden/>
          </w:rPr>
          <w:fldChar w:fldCharType="begin"/>
        </w:r>
        <w:r>
          <w:rPr>
            <w:webHidden/>
          </w:rPr>
          <w:instrText xml:space="preserve"> PAGEREF _Toc344391865 \h </w:instrText>
        </w:r>
        <w:r>
          <w:rPr>
            <w:webHidden/>
          </w:rPr>
          <w:fldChar w:fldCharType="separate"/>
        </w:r>
        <w:r>
          <w:rPr>
            <w:webHidden/>
          </w:rPr>
          <w:t>324</w:t>
        </w:r>
        <w:r>
          <w:rPr>
            <w:webHidden/>
          </w:rPr>
          <w:fldChar w:fldCharType="end"/>
        </w:r>
      </w:hyperlink>
    </w:p>
    <w:p w:rsidR="00264070" w:rsidRDefault="00264070">
      <w:pPr>
        <w:pStyle w:val="TDC4"/>
        <w:rPr>
          <w:rFonts w:ascii="Times New Roman" w:hAnsi="Times New Roman"/>
          <w:noProof/>
          <w:sz w:val="24"/>
        </w:rPr>
      </w:pPr>
      <w:hyperlink w:anchor="_Toc344391866" w:history="1">
        <w:r w:rsidRPr="00D55AAB">
          <w:rPr>
            <w:rStyle w:val="Hipervnculo"/>
            <w:noProof/>
          </w:rPr>
          <w:t>8.3.2.1</w:t>
        </w:r>
        <w:r>
          <w:rPr>
            <w:rFonts w:ascii="Times New Roman" w:hAnsi="Times New Roman"/>
            <w:noProof/>
            <w:sz w:val="24"/>
          </w:rPr>
          <w:tab/>
        </w:r>
        <w:r w:rsidRPr="00D55AAB">
          <w:rPr>
            <w:rStyle w:val="Hipervnculo"/>
            <w:noProof/>
          </w:rPr>
          <w:t>Riego</w:t>
        </w:r>
        <w:r>
          <w:rPr>
            <w:noProof/>
            <w:webHidden/>
          </w:rPr>
          <w:tab/>
        </w:r>
        <w:r>
          <w:rPr>
            <w:noProof/>
            <w:webHidden/>
          </w:rPr>
          <w:fldChar w:fldCharType="begin"/>
        </w:r>
        <w:r>
          <w:rPr>
            <w:noProof/>
            <w:webHidden/>
          </w:rPr>
          <w:instrText xml:space="preserve"> PAGEREF _Toc344391866 \h </w:instrText>
        </w:r>
        <w:r>
          <w:rPr>
            <w:noProof/>
          </w:rPr>
        </w:r>
        <w:r>
          <w:rPr>
            <w:noProof/>
            <w:webHidden/>
          </w:rPr>
          <w:fldChar w:fldCharType="separate"/>
        </w:r>
        <w:r>
          <w:rPr>
            <w:noProof/>
            <w:webHidden/>
          </w:rPr>
          <w:t>324</w:t>
        </w:r>
        <w:r>
          <w:rPr>
            <w:noProof/>
            <w:webHidden/>
          </w:rPr>
          <w:fldChar w:fldCharType="end"/>
        </w:r>
      </w:hyperlink>
    </w:p>
    <w:p w:rsidR="00264070" w:rsidRDefault="00264070">
      <w:pPr>
        <w:pStyle w:val="TDC4"/>
        <w:rPr>
          <w:rFonts w:ascii="Times New Roman" w:hAnsi="Times New Roman"/>
          <w:noProof/>
          <w:sz w:val="24"/>
        </w:rPr>
      </w:pPr>
      <w:hyperlink w:anchor="_Toc344391867" w:history="1">
        <w:r w:rsidRPr="00D55AAB">
          <w:rPr>
            <w:rStyle w:val="Hipervnculo"/>
            <w:noProof/>
          </w:rPr>
          <w:t>8.3.2.2</w:t>
        </w:r>
        <w:r>
          <w:rPr>
            <w:rFonts w:ascii="Times New Roman" w:hAnsi="Times New Roman"/>
            <w:noProof/>
            <w:sz w:val="24"/>
          </w:rPr>
          <w:tab/>
        </w:r>
        <w:r w:rsidRPr="00D55AAB">
          <w:rPr>
            <w:rStyle w:val="Hipervnculo"/>
            <w:noProof/>
          </w:rPr>
          <w:t>Agua Potable</w:t>
        </w:r>
        <w:r>
          <w:rPr>
            <w:noProof/>
            <w:webHidden/>
          </w:rPr>
          <w:tab/>
        </w:r>
        <w:r>
          <w:rPr>
            <w:noProof/>
            <w:webHidden/>
          </w:rPr>
          <w:fldChar w:fldCharType="begin"/>
        </w:r>
        <w:r>
          <w:rPr>
            <w:noProof/>
            <w:webHidden/>
          </w:rPr>
          <w:instrText xml:space="preserve"> PAGEREF _Toc344391867 \h </w:instrText>
        </w:r>
        <w:r>
          <w:rPr>
            <w:noProof/>
          </w:rPr>
        </w:r>
        <w:r>
          <w:rPr>
            <w:noProof/>
            <w:webHidden/>
          </w:rPr>
          <w:fldChar w:fldCharType="separate"/>
        </w:r>
        <w:r>
          <w:rPr>
            <w:noProof/>
            <w:webHidden/>
          </w:rPr>
          <w:t>326</w:t>
        </w:r>
        <w:r>
          <w:rPr>
            <w:noProof/>
            <w:webHidden/>
          </w:rPr>
          <w:fldChar w:fldCharType="end"/>
        </w:r>
      </w:hyperlink>
    </w:p>
    <w:p w:rsidR="00264070" w:rsidRDefault="00264070">
      <w:pPr>
        <w:pStyle w:val="TDC3"/>
        <w:rPr>
          <w:rFonts w:ascii="Times New Roman" w:hAnsi="Times New Roman"/>
          <w:sz w:val="24"/>
          <w:szCs w:val="24"/>
        </w:rPr>
      </w:pPr>
      <w:hyperlink w:anchor="_Toc344391868" w:history="1">
        <w:r w:rsidRPr="00D55AAB">
          <w:rPr>
            <w:rStyle w:val="Hipervnculo"/>
          </w:rPr>
          <w:t>8.3.3</w:t>
        </w:r>
        <w:r>
          <w:rPr>
            <w:rFonts w:ascii="Times New Roman" w:hAnsi="Times New Roman"/>
            <w:sz w:val="24"/>
            <w:szCs w:val="24"/>
          </w:rPr>
          <w:tab/>
        </w:r>
        <w:r w:rsidRPr="00D55AAB">
          <w:rPr>
            <w:rStyle w:val="Hipervnculo"/>
          </w:rPr>
          <w:t>Minería</w:t>
        </w:r>
        <w:r>
          <w:rPr>
            <w:webHidden/>
          </w:rPr>
          <w:tab/>
        </w:r>
        <w:r>
          <w:rPr>
            <w:webHidden/>
          </w:rPr>
          <w:fldChar w:fldCharType="begin"/>
        </w:r>
        <w:r>
          <w:rPr>
            <w:webHidden/>
          </w:rPr>
          <w:instrText xml:space="preserve"> PAGEREF _Toc344391868 \h </w:instrText>
        </w:r>
        <w:r>
          <w:rPr>
            <w:webHidden/>
          </w:rPr>
          <w:fldChar w:fldCharType="separate"/>
        </w:r>
        <w:r>
          <w:rPr>
            <w:webHidden/>
          </w:rPr>
          <w:t>327</w:t>
        </w:r>
        <w:r>
          <w:rPr>
            <w:webHidden/>
          </w:rPr>
          <w:fldChar w:fldCharType="end"/>
        </w:r>
      </w:hyperlink>
    </w:p>
    <w:p w:rsidR="00264070" w:rsidRDefault="00264070">
      <w:pPr>
        <w:pStyle w:val="TDC3"/>
        <w:rPr>
          <w:rFonts w:ascii="Times New Roman" w:hAnsi="Times New Roman"/>
          <w:sz w:val="24"/>
          <w:szCs w:val="24"/>
        </w:rPr>
      </w:pPr>
      <w:hyperlink w:anchor="_Toc344391869" w:history="1">
        <w:r w:rsidRPr="00D55AAB">
          <w:rPr>
            <w:rStyle w:val="Hipervnculo"/>
          </w:rPr>
          <w:t>8.3.4</w:t>
        </w:r>
        <w:r>
          <w:rPr>
            <w:rFonts w:ascii="Times New Roman" w:hAnsi="Times New Roman"/>
            <w:sz w:val="24"/>
            <w:szCs w:val="24"/>
          </w:rPr>
          <w:tab/>
        </w:r>
        <w:r w:rsidRPr="00D55AAB">
          <w:rPr>
            <w:rStyle w:val="Hipervnculo"/>
          </w:rPr>
          <w:t>Industria</w:t>
        </w:r>
        <w:r>
          <w:rPr>
            <w:webHidden/>
          </w:rPr>
          <w:tab/>
        </w:r>
        <w:r>
          <w:rPr>
            <w:webHidden/>
          </w:rPr>
          <w:fldChar w:fldCharType="begin"/>
        </w:r>
        <w:r>
          <w:rPr>
            <w:webHidden/>
          </w:rPr>
          <w:instrText xml:space="preserve"> PAGEREF _Toc344391869 \h </w:instrText>
        </w:r>
        <w:r>
          <w:rPr>
            <w:webHidden/>
          </w:rPr>
          <w:fldChar w:fldCharType="separate"/>
        </w:r>
        <w:r>
          <w:rPr>
            <w:webHidden/>
          </w:rPr>
          <w:t>328</w:t>
        </w:r>
        <w:r>
          <w:rPr>
            <w:webHidden/>
          </w:rPr>
          <w:fldChar w:fldCharType="end"/>
        </w:r>
      </w:hyperlink>
    </w:p>
    <w:p w:rsidR="00264070" w:rsidRDefault="00264070">
      <w:pPr>
        <w:pStyle w:val="TDC3"/>
        <w:rPr>
          <w:rFonts w:ascii="Times New Roman" w:hAnsi="Times New Roman"/>
          <w:sz w:val="24"/>
          <w:szCs w:val="24"/>
        </w:rPr>
      </w:pPr>
      <w:hyperlink w:anchor="_Toc344391870" w:history="1">
        <w:r w:rsidRPr="00D55AAB">
          <w:rPr>
            <w:rStyle w:val="Hipervnculo"/>
          </w:rPr>
          <w:t>8.3.5</w:t>
        </w:r>
        <w:r>
          <w:rPr>
            <w:rFonts w:ascii="Times New Roman" w:hAnsi="Times New Roman"/>
            <w:sz w:val="24"/>
            <w:szCs w:val="24"/>
          </w:rPr>
          <w:tab/>
        </w:r>
        <w:r w:rsidRPr="00D55AAB">
          <w:rPr>
            <w:rStyle w:val="Hipervnculo"/>
          </w:rPr>
          <w:t>Generación Eléctrica</w:t>
        </w:r>
        <w:r>
          <w:rPr>
            <w:webHidden/>
          </w:rPr>
          <w:tab/>
        </w:r>
        <w:r>
          <w:rPr>
            <w:webHidden/>
          </w:rPr>
          <w:fldChar w:fldCharType="begin"/>
        </w:r>
        <w:r>
          <w:rPr>
            <w:webHidden/>
          </w:rPr>
          <w:instrText xml:space="preserve"> PAGEREF _Toc344391870 \h </w:instrText>
        </w:r>
        <w:r>
          <w:rPr>
            <w:webHidden/>
          </w:rPr>
          <w:fldChar w:fldCharType="separate"/>
        </w:r>
        <w:r>
          <w:rPr>
            <w:webHidden/>
          </w:rPr>
          <w:t>328</w:t>
        </w:r>
        <w:r>
          <w:rPr>
            <w:webHidden/>
          </w:rPr>
          <w:fldChar w:fldCharType="end"/>
        </w:r>
      </w:hyperlink>
    </w:p>
    <w:p w:rsidR="00264070" w:rsidRDefault="00264070">
      <w:pPr>
        <w:pStyle w:val="TDC2"/>
        <w:rPr>
          <w:rFonts w:ascii="Times New Roman" w:hAnsi="Times New Roman"/>
          <w:noProof/>
          <w:sz w:val="24"/>
        </w:rPr>
      </w:pPr>
      <w:hyperlink w:anchor="_Toc344391871" w:history="1">
        <w:r w:rsidRPr="00D55AAB">
          <w:rPr>
            <w:rStyle w:val="Hipervnculo"/>
            <w:noProof/>
          </w:rPr>
          <w:t>8.4</w:t>
        </w:r>
        <w:r>
          <w:rPr>
            <w:rFonts w:ascii="Times New Roman" w:hAnsi="Times New Roman"/>
            <w:noProof/>
            <w:sz w:val="24"/>
          </w:rPr>
          <w:tab/>
        </w:r>
        <w:r w:rsidRPr="00D55AAB">
          <w:rPr>
            <w:rStyle w:val="Hipervnculo"/>
            <w:noProof/>
            <w:lang w:val="es-ES_tradnl"/>
          </w:rPr>
          <w:t>Balance Hídrico</w:t>
        </w:r>
        <w:r>
          <w:rPr>
            <w:noProof/>
            <w:webHidden/>
          </w:rPr>
          <w:tab/>
        </w:r>
        <w:r>
          <w:rPr>
            <w:noProof/>
            <w:webHidden/>
          </w:rPr>
          <w:fldChar w:fldCharType="begin"/>
        </w:r>
        <w:r>
          <w:rPr>
            <w:noProof/>
            <w:webHidden/>
          </w:rPr>
          <w:instrText xml:space="preserve"> PAGEREF _Toc344391871 \h </w:instrText>
        </w:r>
        <w:r>
          <w:rPr>
            <w:noProof/>
          </w:rPr>
        </w:r>
        <w:r>
          <w:rPr>
            <w:noProof/>
            <w:webHidden/>
          </w:rPr>
          <w:fldChar w:fldCharType="separate"/>
        </w:r>
        <w:r>
          <w:rPr>
            <w:noProof/>
            <w:webHidden/>
          </w:rPr>
          <w:t>328</w:t>
        </w:r>
        <w:r>
          <w:rPr>
            <w:noProof/>
            <w:webHidden/>
          </w:rPr>
          <w:fldChar w:fldCharType="end"/>
        </w:r>
      </w:hyperlink>
    </w:p>
    <w:p w:rsidR="00264070" w:rsidRDefault="00264070">
      <w:pPr>
        <w:pStyle w:val="TDC2"/>
        <w:rPr>
          <w:rFonts w:ascii="Times New Roman" w:hAnsi="Times New Roman"/>
          <w:noProof/>
          <w:sz w:val="24"/>
        </w:rPr>
      </w:pPr>
      <w:hyperlink w:anchor="_Toc344391872" w:history="1">
        <w:r w:rsidRPr="00D55AAB">
          <w:rPr>
            <w:rStyle w:val="Hipervnculo"/>
            <w:noProof/>
          </w:rPr>
          <w:t>8.5</w:t>
        </w:r>
        <w:r>
          <w:rPr>
            <w:rFonts w:ascii="Times New Roman" w:hAnsi="Times New Roman"/>
            <w:noProof/>
            <w:sz w:val="24"/>
          </w:rPr>
          <w:tab/>
        </w:r>
        <w:r w:rsidRPr="00D55AAB">
          <w:rPr>
            <w:rStyle w:val="Hipervnculo"/>
            <w:noProof/>
            <w:lang w:val="es-ES_tradnl"/>
          </w:rPr>
          <w:t>Soluciones Propuestas</w:t>
        </w:r>
        <w:r>
          <w:rPr>
            <w:noProof/>
            <w:webHidden/>
          </w:rPr>
          <w:tab/>
        </w:r>
        <w:r>
          <w:rPr>
            <w:noProof/>
            <w:webHidden/>
          </w:rPr>
          <w:fldChar w:fldCharType="begin"/>
        </w:r>
        <w:r>
          <w:rPr>
            <w:noProof/>
            <w:webHidden/>
          </w:rPr>
          <w:instrText xml:space="preserve"> PAGEREF _Toc344391872 \h </w:instrText>
        </w:r>
        <w:r>
          <w:rPr>
            <w:noProof/>
          </w:rPr>
        </w:r>
        <w:r>
          <w:rPr>
            <w:noProof/>
            <w:webHidden/>
          </w:rPr>
          <w:fldChar w:fldCharType="separate"/>
        </w:r>
        <w:r>
          <w:rPr>
            <w:noProof/>
            <w:webHidden/>
          </w:rPr>
          <w:t>334</w:t>
        </w:r>
        <w:r>
          <w:rPr>
            <w:noProof/>
            <w:webHidden/>
          </w:rPr>
          <w:fldChar w:fldCharType="end"/>
        </w:r>
      </w:hyperlink>
    </w:p>
    <w:p w:rsidR="00402F72" w:rsidRDefault="0094231C" w:rsidP="00B51B51">
      <w:pPr>
        <w:widowControl w:val="0"/>
        <w:rPr>
          <w:rFonts w:cs="Arial"/>
          <w:szCs w:val="22"/>
        </w:rPr>
      </w:pPr>
      <w:r w:rsidRPr="005252EA">
        <w:rPr>
          <w:rFonts w:cs="Arial"/>
          <w:szCs w:val="22"/>
        </w:rPr>
        <w:fldChar w:fldCharType="end"/>
      </w:r>
    </w:p>
    <w:p w:rsidR="000166C5" w:rsidRDefault="000166C5" w:rsidP="00B51B51">
      <w:pPr>
        <w:widowControl w:val="0"/>
        <w:rPr>
          <w:rFonts w:cs="Arial"/>
          <w:szCs w:val="22"/>
        </w:rPr>
      </w:pPr>
    </w:p>
    <w:p w:rsidR="000166C5" w:rsidRDefault="000166C5" w:rsidP="00B51B51">
      <w:pPr>
        <w:widowControl w:val="0"/>
        <w:rPr>
          <w:rFonts w:cs="Arial"/>
          <w:szCs w:val="22"/>
        </w:rPr>
      </w:pPr>
    </w:p>
    <w:p w:rsidR="000166C5" w:rsidRDefault="000166C5" w:rsidP="00B51B51">
      <w:pPr>
        <w:widowControl w:val="0"/>
        <w:rPr>
          <w:rFonts w:cs="Arial"/>
          <w:szCs w:val="22"/>
        </w:rPr>
      </w:pPr>
    </w:p>
    <w:p w:rsidR="000166C5" w:rsidRDefault="000166C5" w:rsidP="00B51B51">
      <w:pPr>
        <w:widowControl w:val="0"/>
        <w:rPr>
          <w:rFonts w:cs="Arial"/>
          <w:szCs w:val="22"/>
        </w:rPr>
      </w:pPr>
    </w:p>
    <w:p w:rsidR="000166C5" w:rsidRDefault="000166C5" w:rsidP="00B51B51">
      <w:pPr>
        <w:widowControl w:val="0"/>
        <w:rPr>
          <w:rFonts w:cs="Arial"/>
          <w:szCs w:val="22"/>
        </w:rPr>
      </w:pPr>
    </w:p>
    <w:p w:rsidR="00130D62" w:rsidRPr="005252EA" w:rsidRDefault="009E3858" w:rsidP="00B51B51">
      <w:pPr>
        <w:widowControl w:val="0"/>
        <w:rPr>
          <w:rFonts w:cs="Arial"/>
          <w:szCs w:val="22"/>
        </w:rPr>
      </w:pPr>
      <w:r w:rsidRPr="005252EA">
        <w:rPr>
          <w:rFonts w:cs="Arial"/>
          <w:szCs w:val="22"/>
        </w:rPr>
        <w:lastRenderedPageBreak/>
        <w:t>ANEXOS</w:t>
      </w:r>
    </w:p>
    <w:p w:rsidR="009E3858" w:rsidRPr="005252EA" w:rsidRDefault="009E3858" w:rsidP="00B51B51">
      <w:pPr>
        <w:widowControl w:val="0"/>
        <w:rPr>
          <w:rFonts w:cs="Arial"/>
          <w:szCs w:val="22"/>
        </w:rPr>
      </w:pPr>
    </w:p>
    <w:p w:rsidR="00E545F4" w:rsidRDefault="00E545F4" w:rsidP="00B51B51">
      <w:pPr>
        <w:widowControl w:val="0"/>
        <w:jc w:val="left"/>
        <w:rPr>
          <w:rFonts w:cs="Arial"/>
          <w:szCs w:val="22"/>
        </w:rPr>
      </w:pPr>
      <w:r>
        <w:rPr>
          <w:rFonts w:cs="Arial"/>
          <w:szCs w:val="22"/>
        </w:rPr>
        <w:t>Anexo 1 Fichas Bibliográficas de Revisión</w:t>
      </w:r>
      <w:r w:rsidR="0024776B">
        <w:rPr>
          <w:rFonts w:cs="Arial"/>
          <w:szCs w:val="22"/>
        </w:rPr>
        <w:t xml:space="preserve"> </w:t>
      </w:r>
      <w:r>
        <w:rPr>
          <w:rFonts w:cs="Arial"/>
          <w:szCs w:val="22"/>
        </w:rPr>
        <w:t>de Antecedentes</w:t>
      </w:r>
    </w:p>
    <w:p w:rsidR="00402F72" w:rsidRDefault="009E3858" w:rsidP="00B51B51">
      <w:pPr>
        <w:widowControl w:val="0"/>
        <w:jc w:val="left"/>
        <w:rPr>
          <w:rFonts w:cs="Arial"/>
          <w:szCs w:val="22"/>
        </w:rPr>
      </w:pPr>
      <w:r w:rsidRPr="005252EA">
        <w:rPr>
          <w:rFonts w:cs="Arial"/>
          <w:szCs w:val="22"/>
        </w:rPr>
        <w:t xml:space="preserve">Anexo </w:t>
      </w:r>
      <w:r w:rsidR="00E545F4">
        <w:rPr>
          <w:rFonts w:cs="Arial"/>
          <w:szCs w:val="22"/>
        </w:rPr>
        <w:t>2</w:t>
      </w:r>
      <w:r w:rsidRPr="005252EA">
        <w:rPr>
          <w:rFonts w:cs="Arial"/>
          <w:szCs w:val="22"/>
        </w:rPr>
        <w:t xml:space="preserve"> </w:t>
      </w:r>
      <w:r w:rsidR="0088234A" w:rsidRPr="005252EA">
        <w:rPr>
          <w:rFonts w:cs="Arial"/>
          <w:szCs w:val="22"/>
        </w:rPr>
        <w:t>Hidrología</w:t>
      </w:r>
    </w:p>
    <w:p w:rsidR="00074EFD" w:rsidRPr="005252EA" w:rsidRDefault="00E545F4" w:rsidP="00B51B51">
      <w:pPr>
        <w:widowControl w:val="0"/>
        <w:jc w:val="left"/>
        <w:rPr>
          <w:rFonts w:cs="Arial"/>
          <w:szCs w:val="22"/>
        </w:rPr>
      </w:pPr>
      <w:r>
        <w:rPr>
          <w:rFonts w:cs="Arial"/>
          <w:szCs w:val="22"/>
        </w:rPr>
        <w:t>Anexo 3</w:t>
      </w:r>
      <w:r w:rsidR="00074EFD">
        <w:rPr>
          <w:rFonts w:cs="Arial"/>
          <w:szCs w:val="22"/>
        </w:rPr>
        <w:t xml:space="preserve"> Demandas</w:t>
      </w:r>
    </w:p>
    <w:p w:rsidR="00E545F4" w:rsidRPr="005252EA" w:rsidRDefault="00E545F4" w:rsidP="00B51B51">
      <w:pPr>
        <w:widowControl w:val="0"/>
      </w:pPr>
    </w:p>
    <w:p w:rsidR="007032C9" w:rsidRPr="005252EA" w:rsidRDefault="007032C9" w:rsidP="00B51B51">
      <w:pPr>
        <w:widowControl w:val="0"/>
      </w:pPr>
      <w:r w:rsidRPr="005252EA">
        <w:t>PLANOS</w:t>
      </w:r>
      <w:r w:rsidR="00E44781">
        <w:t xml:space="preserve"> </w:t>
      </w:r>
    </w:p>
    <w:p w:rsidR="0088234A" w:rsidRDefault="0088234A" w:rsidP="00B51B51">
      <w:pPr>
        <w:widowControl w:val="0"/>
      </w:pPr>
    </w:p>
    <w:p w:rsidR="00E44781" w:rsidRPr="00D2624B" w:rsidRDefault="00E44781" w:rsidP="00E44781">
      <w:r w:rsidRPr="00D2624B">
        <w:t>Plano 1 Identificación de Áreas de Restricción</w:t>
      </w:r>
    </w:p>
    <w:p w:rsidR="00E44781" w:rsidRPr="00D2624B" w:rsidRDefault="00E44781" w:rsidP="00E44781">
      <w:r w:rsidRPr="00D2624B">
        <w:t>Plano 2 Identificación de Áreas de Declaración de Agotamiento</w:t>
      </w:r>
    </w:p>
    <w:p w:rsidR="0088234A" w:rsidRPr="00D2624B" w:rsidRDefault="0088234A" w:rsidP="00B51B51">
      <w:pPr>
        <w:widowControl w:val="0"/>
      </w:pPr>
      <w:r w:rsidRPr="00D2624B">
        <w:t xml:space="preserve">Plano </w:t>
      </w:r>
      <w:r w:rsidR="00E44781" w:rsidRPr="00D2624B">
        <w:t>3</w:t>
      </w:r>
      <w:r w:rsidR="00074EFD" w:rsidRPr="00D2624B">
        <w:t xml:space="preserve"> Marco Geológico VI Región</w:t>
      </w:r>
    </w:p>
    <w:p w:rsidR="00E44781" w:rsidRPr="00D2624B" w:rsidRDefault="00E44781" w:rsidP="00E44781">
      <w:r w:rsidRPr="00D2624B">
        <w:t>Plano 4 Síntesis Caracterización Hidrogeológica</w:t>
      </w:r>
    </w:p>
    <w:p w:rsidR="00E44781" w:rsidRPr="00D2624B" w:rsidRDefault="00E44781" w:rsidP="00E44781">
      <w:r w:rsidRPr="00D2624B">
        <w:t xml:space="preserve">Plano 5 </w:t>
      </w:r>
      <w:r w:rsidR="00D2624B" w:rsidRPr="00D2624B">
        <w:t>Síntesis</w:t>
      </w:r>
      <w:r w:rsidRPr="00D2624B">
        <w:t xml:space="preserve"> Oferta de Recursos Hídricos Superficiales</w:t>
      </w:r>
    </w:p>
    <w:p w:rsidR="0088234A" w:rsidRPr="00D2624B" w:rsidRDefault="0088234A" w:rsidP="00B51B51">
      <w:pPr>
        <w:widowControl w:val="0"/>
      </w:pPr>
      <w:r w:rsidRPr="00D2624B">
        <w:t xml:space="preserve">Plano </w:t>
      </w:r>
      <w:r w:rsidR="00E44781" w:rsidRPr="00D2624B">
        <w:t>6</w:t>
      </w:r>
      <w:r w:rsidRPr="00D2624B">
        <w:t xml:space="preserve"> Uso Actual del Suelo y </w:t>
      </w:r>
      <w:r w:rsidR="006F2346" w:rsidRPr="00D2624B">
        <w:t>Zonas</w:t>
      </w:r>
      <w:r w:rsidRPr="00D2624B">
        <w:t xml:space="preserve"> de Derrame</w:t>
      </w:r>
    </w:p>
    <w:p w:rsidR="00D2624B" w:rsidRDefault="00E44781" w:rsidP="00E44781">
      <w:r w:rsidRPr="00D2624B">
        <w:t xml:space="preserve">Plano 7 </w:t>
      </w:r>
      <w:r w:rsidR="00D2624B" w:rsidRPr="00D2624B">
        <w:t>Síntesis</w:t>
      </w:r>
      <w:r w:rsidRPr="00D2624B">
        <w:t xml:space="preserve"> de Demandas de Aguas</w:t>
      </w:r>
    </w:p>
    <w:p w:rsidR="00E44781" w:rsidRPr="00D2624B" w:rsidRDefault="00E44781" w:rsidP="00E44781">
      <w:r w:rsidRPr="00D2624B">
        <w:t xml:space="preserve">Plano 8 </w:t>
      </w:r>
      <w:r w:rsidR="00D2624B" w:rsidRPr="00D2624B">
        <w:t>Síntesis</w:t>
      </w:r>
      <w:r w:rsidRPr="00D2624B">
        <w:t xml:space="preserve"> Balance Oferta Demanda</w:t>
      </w:r>
    </w:p>
    <w:p w:rsidR="0088234A" w:rsidRPr="005252EA" w:rsidRDefault="0088234A" w:rsidP="00B51B51">
      <w:pPr>
        <w:widowControl w:val="0"/>
      </w:pPr>
    </w:p>
    <w:p w:rsidR="0088234A" w:rsidRDefault="0088234A" w:rsidP="00B51B51">
      <w:pPr>
        <w:widowControl w:val="0"/>
      </w:pPr>
    </w:p>
    <w:p w:rsidR="00E44781" w:rsidRDefault="00E44781" w:rsidP="00B51B51">
      <w:pPr>
        <w:widowControl w:val="0"/>
      </w:pPr>
    </w:p>
    <w:p w:rsidR="00E44781" w:rsidRDefault="00E44781" w:rsidP="00B51B51">
      <w:pPr>
        <w:widowControl w:val="0"/>
      </w:pPr>
    </w:p>
    <w:p w:rsidR="00E44781" w:rsidRPr="005252EA" w:rsidRDefault="00E44781" w:rsidP="00B51B51">
      <w:pPr>
        <w:widowControl w:val="0"/>
        <w:sectPr w:rsidR="00E44781" w:rsidRPr="005252EA" w:rsidSect="00263DE1">
          <w:footerReference w:type="even" r:id="rId11"/>
          <w:footerReference w:type="default" r:id="rId12"/>
          <w:headerReference w:type="first" r:id="rId13"/>
          <w:type w:val="continuous"/>
          <w:pgSz w:w="12242" w:h="15842" w:code="1"/>
          <w:pgMar w:top="1701" w:right="1418" w:bottom="1418" w:left="1418" w:header="851" w:footer="624" w:gutter="0"/>
          <w:pgNumType w:start="1"/>
          <w:cols w:space="708"/>
          <w:docGrid w:linePitch="360"/>
        </w:sectPr>
      </w:pPr>
    </w:p>
    <w:p w:rsidR="00CD050D" w:rsidRPr="000F3572" w:rsidRDefault="00CD050D" w:rsidP="00B51B51">
      <w:pPr>
        <w:pStyle w:val="Ttulo1"/>
        <w:keepNext w:val="0"/>
        <w:widowControl w:val="0"/>
      </w:pPr>
      <w:bookmarkStart w:id="0" w:name="_Toc344391720"/>
      <w:r w:rsidRPr="000F3572">
        <w:lastRenderedPageBreak/>
        <w:t>INTRODUCCIÓN</w:t>
      </w:r>
      <w:bookmarkEnd w:id="0"/>
    </w:p>
    <w:p w:rsidR="00CD050D" w:rsidRPr="00B5136A" w:rsidRDefault="00CD050D" w:rsidP="00B51B51">
      <w:pPr>
        <w:widowControl w:val="0"/>
      </w:pPr>
    </w:p>
    <w:p w:rsidR="00D47B2F" w:rsidRPr="000A582E" w:rsidRDefault="00D47B2F" w:rsidP="00B51B51">
      <w:pPr>
        <w:pStyle w:val="Ttulo2"/>
        <w:keepNext w:val="0"/>
      </w:pPr>
      <w:bookmarkStart w:id="1" w:name="_Toc338179075"/>
      <w:bookmarkStart w:id="2" w:name="_Toc344391721"/>
      <w:r w:rsidRPr="000A582E">
        <w:t>Generalidades</w:t>
      </w:r>
      <w:bookmarkEnd w:id="1"/>
      <w:bookmarkEnd w:id="2"/>
    </w:p>
    <w:p w:rsidR="00D47B2F" w:rsidRPr="000A582E" w:rsidRDefault="00D47B2F" w:rsidP="00B51B51">
      <w:pPr>
        <w:widowControl w:val="0"/>
      </w:pPr>
    </w:p>
    <w:p w:rsidR="000240CE" w:rsidRPr="00C624DE" w:rsidRDefault="000240CE" w:rsidP="000240CE">
      <w:r w:rsidRPr="00C624DE">
        <w:t>Actualmente a nivel nacional existe un consenso general respecto de la necesidad de mejorar la gestión de los recursos hídricos en las cuencas hidrográficas</w:t>
      </w:r>
      <w:r>
        <w:t>,</w:t>
      </w:r>
      <w:r w:rsidRPr="00C624DE">
        <w:t xml:space="preserve"> con el objeto de poder disponer de herramientas que faciliten la gestión integrada de </w:t>
      </w:r>
      <w:r>
        <w:t>éstos</w:t>
      </w:r>
      <w:r w:rsidRPr="00C624DE">
        <w:t xml:space="preserve"> por parte de las autoridades, todo lo cual forma parte de la planificación hídrica nacional.</w:t>
      </w:r>
    </w:p>
    <w:p w:rsidR="000240CE" w:rsidRPr="00C624DE" w:rsidRDefault="000240CE" w:rsidP="000240CE"/>
    <w:p w:rsidR="000240CE" w:rsidRPr="00C624DE" w:rsidRDefault="000240CE" w:rsidP="000240CE">
      <w:r>
        <w:t xml:space="preserve">En el contexto de </w:t>
      </w:r>
      <w:r w:rsidRPr="00C624DE">
        <w:t>este escenario</w:t>
      </w:r>
      <w:r>
        <w:t>,</w:t>
      </w:r>
      <w:r w:rsidRPr="00C624DE">
        <w:t xml:space="preserve"> </w:t>
      </w:r>
      <w:r>
        <w:t>AGBAR</w:t>
      </w:r>
      <w:r w:rsidRPr="00C624DE">
        <w:t xml:space="preserve"> ha considerado oportuno colaborar con las políticas de planificación hídrica del país, para lo cual a solicitado a CONIC-BF Ingenieros Civiles Consultores Ltda.</w:t>
      </w:r>
      <w:r>
        <w:t>,</w:t>
      </w:r>
      <w:r w:rsidRPr="00C624DE">
        <w:t xml:space="preserve"> la realización de</w:t>
      </w:r>
      <w:r>
        <w:t>l</w:t>
      </w:r>
      <w:r w:rsidRPr="00C624DE">
        <w:t xml:space="preserve"> Estudio Hidrológico de Cuencas de </w:t>
      </w:r>
      <w:smartTag w:uri="urn:schemas-microsoft-com:office:smarttags" w:element="PersonName">
        <w:smartTagPr>
          <w:attr w:name="ProductID" w:val="la V"/>
        </w:smartTagPr>
        <w:r w:rsidRPr="00C624DE">
          <w:t>la V</w:t>
        </w:r>
      </w:smartTag>
      <w:r w:rsidRPr="00C624DE">
        <w:t xml:space="preserve"> y VI Región.</w:t>
      </w:r>
    </w:p>
    <w:p w:rsidR="000240CE" w:rsidRPr="00C624DE" w:rsidRDefault="000240CE" w:rsidP="000240CE"/>
    <w:p w:rsidR="000240CE" w:rsidRPr="00C624DE" w:rsidRDefault="000240CE" w:rsidP="000240CE">
      <w:r w:rsidRPr="00C624DE">
        <w:t xml:space="preserve">Como parte del presente estudio se </w:t>
      </w:r>
      <w:r>
        <w:t>desarrollaron</w:t>
      </w:r>
      <w:r w:rsidRPr="00C624DE">
        <w:t xml:space="preserve"> los trabajos necesarios para obtener una adecuada caracterización hidrológica e hidrogeológica de las cuencas de las regiones V y VI Región, basada exclusivamente en la revisión y análisis de información existente a la fecha.</w:t>
      </w:r>
    </w:p>
    <w:p w:rsidR="000240CE" w:rsidRPr="00C624DE" w:rsidRDefault="000240CE" w:rsidP="000240CE"/>
    <w:p w:rsidR="000240CE" w:rsidRPr="00C624DE" w:rsidRDefault="000240CE" w:rsidP="000240CE">
      <w:r>
        <w:t>Asimismo, se efectuó</w:t>
      </w:r>
      <w:r w:rsidRPr="00C624DE">
        <w:t xml:space="preserve"> </w:t>
      </w:r>
      <w:r>
        <w:t xml:space="preserve">una </w:t>
      </w:r>
      <w:r w:rsidRPr="00C624DE">
        <w:t>caracterización de las demandas híd</w:t>
      </w:r>
      <w:r>
        <w:t>ricas en las cuencas en estudio a través de la estimación de curvas de variación estacional para distintas probabilidades de excedencia.</w:t>
      </w:r>
    </w:p>
    <w:p w:rsidR="000240CE" w:rsidRPr="00C624DE" w:rsidRDefault="000240CE" w:rsidP="000240CE"/>
    <w:p w:rsidR="000240CE" w:rsidRPr="00C624DE" w:rsidRDefault="000240CE" w:rsidP="000240CE">
      <w:r w:rsidRPr="00C624DE">
        <w:t xml:space="preserve">Esta información </w:t>
      </w:r>
      <w:r>
        <w:t xml:space="preserve">es utilizada posteriormente en la determinación de balances junto con </w:t>
      </w:r>
      <w:r w:rsidRPr="00C624DE">
        <w:t>la proposición de soluciones generales aplicables en los casos de déficit o superávit de recursos y acciones que permitan orientar la gestión y optimización de los recursos hídricos disponibles a nivel regional, lo que permitirá definir políticas públicas acerca del uso de agua en las cuencas de cada región.</w:t>
      </w:r>
    </w:p>
    <w:p w:rsidR="000240CE" w:rsidRPr="00C624DE" w:rsidRDefault="000240CE" w:rsidP="000240CE"/>
    <w:p w:rsidR="00D47B2F" w:rsidRPr="000A582E" w:rsidRDefault="000240CE" w:rsidP="000240CE">
      <w:pPr>
        <w:widowControl w:val="0"/>
      </w:pPr>
      <w:r>
        <w:t>En este contexto</w:t>
      </w:r>
      <w:r w:rsidRPr="00C624DE">
        <w:t xml:space="preserve"> </w:t>
      </w:r>
      <w:r>
        <w:t xml:space="preserve">el presente </w:t>
      </w:r>
      <w:r w:rsidRPr="00C624DE">
        <w:t xml:space="preserve">documento </w:t>
      </w:r>
      <w:r>
        <w:t>da</w:t>
      </w:r>
      <w:r w:rsidRPr="00C624DE">
        <w:t xml:space="preserve"> cuenta de los resultados del estudio </w:t>
      </w:r>
      <w:r>
        <w:t xml:space="preserve">realizado para las cuencas de </w:t>
      </w:r>
      <w:r w:rsidRPr="00C624DE">
        <w:t xml:space="preserve"> </w:t>
      </w:r>
      <w:smartTag w:uri="urn:schemas-microsoft-com:office:smarttags" w:element="PersonName">
        <w:smartTagPr>
          <w:attr w:name="ProductID" w:val="la Región VI"/>
        </w:smartTagPr>
        <w:r w:rsidR="00D47B2F">
          <w:t xml:space="preserve">la </w:t>
        </w:r>
        <w:r w:rsidR="00D47B2F" w:rsidRPr="000A582E">
          <w:t>Regi</w:t>
        </w:r>
        <w:r w:rsidR="00D47B2F">
          <w:t>ón VI</w:t>
        </w:r>
      </w:smartTag>
      <w:r w:rsidR="00D47B2F">
        <w:t xml:space="preserve"> del Libertador Bernardo O’</w:t>
      </w:r>
      <w:r w:rsidR="00D47B2F" w:rsidRPr="000A582E">
        <w:t>Higgins.</w:t>
      </w:r>
    </w:p>
    <w:p w:rsidR="00D47B2F" w:rsidRPr="000A582E" w:rsidRDefault="00D47B2F" w:rsidP="00B51B51">
      <w:pPr>
        <w:widowControl w:val="0"/>
      </w:pPr>
    </w:p>
    <w:p w:rsidR="00D47B2F" w:rsidRDefault="00D47B2F" w:rsidP="00B51B51">
      <w:pPr>
        <w:pStyle w:val="Ttulo2"/>
        <w:keepNext w:val="0"/>
      </w:pPr>
      <w:bookmarkStart w:id="3" w:name="_Toc338179076"/>
      <w:bookmarkStart w:id="4" w:name="_Toc344391722"/>
      <w:r w:rsidRPr="000A582E">
        <w:t xml:space="preserve">Objetivos de </w:t>
      </w:r>
      <w:smartTag w:uri="urn:schemas-microsoft-com:office:smarttags" w:element="PersonName">
        <w:smartTagPr>
          <w:attr w:name="ProductID" w:val="la Consultoría"/>
        </w:smartTagPr>
        <w:r w:rsidRPr="000A582E">
          <w:t>la Consultoría</w:t>
        </w:r>
      </w:smartTag>
      <w:bookmarkEnd w:id="3"/>
      <w:bookmarkEnd w:id="4"/>
    </w:p>
    <w:p w:rsidR="00B51B51" w:rsidRPr="00B51B51" w:rsidRDefault="00B51B51" w:rsidP="00B51B51"/>
    <w:p w:rsidR="00D47B2F" w:rsidRPr="000A582E" w:rsidRDefault="00D47B2F" w:rsidP="00B51B51">
      <w:pPr>
        <w:pStyle w:val="Ttulo3"/>
      </w:pPr>
      <w:bookmarkStart w:id="5" w:name="_Toc344391723"/>
      <w:r w:rsidRPr="000A582E">
        <w:t>Objetivo General</w:t>
      </w:r>
      <w:bookmarkEnd w:id="5"/>
    </w:p>
    <w:p w:rsidR="00D47B2F" w:rsidRPr="000A582E" w:rsidRDefault="00D47B2F" w:rsidP="00B51B51">
      <w:pPr>
        <w:widowControl w:val="0"/>
      </w:pPr>
    </w:p>
    <w:p w:rsidR="00D47B2F" w:rsidRDefault="00D47B2F" w:rsidP="00B51B51">
      <w:pPr>
        <w:widowControl w:val="0"/>
        <w:rPr>
          <w:rFonts w:cs="Arial"/>
          <w:szCs w:val="22"/>
        </w:rPr>
      </w:pPr>
      <w:r w:rsidRPr="000A582E">
        <w:rPr>
          <w:rFonts w:cs="Arial"/>
          <w:szCs w:val="22"/>
        </w:rPr>
        <w:t xml:space="preserve">El objetivo general de la presente consultoría consiste en elaborar un estudio que permita evaluar la oferta y la demanda del recurso hídrico en las cuencas de </w:t>
      </w:r>
      <w:smartTag w:uri="urn:schemas-microsoft-com:office:smarttags" w:element="PersonName">
        <w:smartTagPr>
          <w:attr w:name="ProductID" w:val="la VI Región"/>
        </w:smartTagPr>
        <w:r w:rsidRPr="000A582E">
          <w:rPr>
            <w:rFonts w:cs="Arial"/>
            <w:szCs w:val="22"/>
          </w:rPr>
          <w:t>la VI Región</w:t>
        </w:r>
      </w:smartTag>
      <w:r w:rsidRPr="000A582E">
        <w:rPr>
          <w:rFonts w:cs="Arial"/>
          <w:szCs w:val="22"/>
        </w:rPr>
        <w:t>, de tal modo de contar con antecedentes técnicos que sirvan de ayuda en la toma de decisiones relacionadas con la gestión y el aprovechamiento óptimo, integral y multisectorial de los recursos hídricos superficiales y subterráneos.</w:t>
      </w:r>
    </w:p>
    <w:p w:rsidR="00B51B51" w:rsidRPr="000A582E" w:rsidRDefault="00B51B51" w:rsidP="00B51B51">
      <w:pPr>
        <w:widowControl w:val="0"/>
        <w:rPr>
          <w:rFonts w:cs="Arial"/>
          <w:szCs w:val="22"/>
        </w:rPr>
      </w:pPr>
    </w:p>
    <w:p w:rsidR="00D47B2F" w:rsidRPr="000A582E" w:rsidRDefault="00D47B2F" w:rsidP="00B51B51">
      <w:pPr>
        <w:pStyle w:val="Ttulo3"/>
      </w:pPr>
      <w:bookmarkStart w:id="6" w:name="_Toc344391724"/>
      <w:r w:rsidRPr="000A582E">
        <w:t>Objetivos Específicos</w:t>
      </w:r>
      <w:bookmarkEnd w:id="6"/>
    </w:p>
    <w:p w:rsidR="00D47B2F" w:rsidRPr="00B51B51" w:rsidRDefault="00D47B2F" w:rsidP="00B51B51">
      <w:pPr>
        <w:widowControl w:val="0"/>
        <w:rPr>
          <w:sz w:val="20"/>
        </w:rPr>
      </w:pPr>
    </w:p>
    <w:p w:rsidR="00D47B2F" w:rsidRPr="00673433" w:rsidRDefault="00D47B2F" w:rsidP="00B51B51">
      <w:pPr>
        <w:widowControl w:val="0"/>
        <w:rPr>
          <w:rFonts w:cs="Arial"/>
          <w:szCs w:val="22"/>
        </w:rPr>
      </w:pPr>
      <w:r>
        <w:rPr>
          <w:rFonts w:cs="Arial"/>
          <w:szCs w:val="22"/>
        </w:rPr>
        <w:t>Con el</w:t>
      </w:r>
      <w:r w:rsidRPr="00673433">
        <w:rPr>
          <w:rFonts w:cs="Arial"/>
          <w:szCs w:val="22"/>
        </w:rPr>
        <w:t xml:space="preserve"> objeto de dar cumplimiento al objetivo antes señalado, se contempla el cumplimiento de los siguientes objetivos específicos:</w:t>
      </w:r>
    </w:p>
    <w:p w:rsidR="00D47B2F" w:rsidRPr="00B51B51" w:rsidRDefault="00D47B2F" w:rsidP="00B51B51">
      <w:pPr>
        <w:pStyle w:val="NormalSangra"/>
        <w:ind w:firstLine="0"/>
        <w:rPr>
          <w:sz w:val="20"/>
          <w:szCs w:val="22"/>
        </w:rPr>
      </w:pPr>
    </w:p>
    <w:p w:rsidR="00D47B2F" w:rsidRPr="00673433" w:rsidRDefault="00D47B2F" w:rsidP="00145762">
      <w:pPr>
        <w:pStyle w:val="NormalSangra"/>
        <w:numPr>
          <w:ilvl w:val="0"/>
          <w:numId w:val="1"/>
        </w:numPr>
        <w:tabs>
          <w:tab w:val="clear" w:pos="870"/>
        </w:tabs>
        <w:ind w:left="709" w:hanging="709"/>
        <w:rPr>
          <w:sz w:val="22"/>
          <w:szCs w:val="22"/>
        </w:rPr>
      </w:pPr>
      <w:r w:rsidRPr="00673433">
        <w:rPr>
          <w:sz w:val="22"/>
          <w:szCs w:val="22"/>
        </w:rPr>
        <w:t xml:space="preserve">Disponer de información actualizada, que permita una caracterización hidrológica e hidrogeológica de las cuencas de </w:t>
      </w:r>
      <w:smartTag w:uri="urn:schemas-microsoft-com:office:smarttags" w:element="PersonName">
        <w:smartTagPr>
          <w:attr w:name="ProductID" w:val="la VI Región."/>
        </w:smartTagPr>
        <w:r w:rsidRPr="00673433">
          <w:rPr>
            <w:sz w:val="22"/>
            <w:szCs w:val="22"/>
          </w:rPr>
          <w:t>la VI Región.</w:t>
        </w:r>
      </w:smartTag>
      <w:r w:rsidRPr="00673433">
        <w:rPr>
          <w:sz w:val="22"/>
          <w:szCs w:val="22"/>
        </w:rPr>
        <w:t xml:space="preserve"> La caracterización de la oferta del recurso hídrico deberá contener la variabilidad espacial y temporal en cada cuenca.</w:t>
      </w:r>
    </w:p>
    <w:p w:rsidR="00D47B2F" w:rsidRDefault="00D47B2F" w:rsidP="00145762">
      <w:pPr>
        <w:pStyle w:val="NormalSangra"/>
        <w:numPr>
          <w:ilvl w:val="0"/>
          <w:numId w:val="1"/>
        </w:numPr>
        <w:tabs>
          <w:tab w:val="clear" w:pos="870"/>
        </w:tabs>
        <w:ind w:left="709" w:hanging="709"/>
        <w:rPr>
          <w:sz w:val="22"/>
          <w:szCs w:val="22"/>
        </w:rPr>
      </w:pPr>
      <w:r w:rsidRPr="00673433">
        <w:rPr>
          <w:sz w:val="22"/>
          <w:szCs w:val="22"/>
        </w:rPr>
        <w:lastRenderedPageBreak/>
        <w:t>Actualizar las demandas hídricas del sistema: extracciones de agua superficial y subterránea (uso real y demanda legal vigente) y demanda evapotranspirativa.</w:t>
      </w:r>
    </w:p>
    <w:p w:rsidR="000240CE" w:rsidRPr="00673433" w:rsidRDefault="000240CE" w:rsidP="000240CE">
      <w:pPr>
        <w:pStyle w:val="NormalSangra"/>
        <w:ind w:firstLine="0"/>
        <w:rPr>
          <w:sz w:val="22"/>
          <w:szCs w:val="22"/>
        </w:rPr>
      </w:pPr>
    </w:p>
    <w:p w:rsidR="00D47B2F" w:rsidRPr="00673433" w:rsidRDefault="00D47B2F" w:rsidP="00145762">
      <w:pPr>
        <w:pStyle w:val="NormalSangra"/>
        <w:numPr>
          <w:ilvl w:val="0"/>
          <w:numId w:val="1"/>
        </w:numPr>
        <w:tabs>
          <w:tab w:val="clear" w:pos="870"/>
        </w:tabs>
        <w:ind w:left="709" w:hanging="709"/>
        <w:rPr>
          <w:sz w:val="22"/>
          <w:szCs w:val="22"/>
        </w:rPr>
      </w:pPr>
      <w:r w:rsidRPr="00673433">
        <w:rPr>
          <w:sz w:val="22"/>
          <w:szCs w:val="22"/>
        </w:rPr>
        <w:t>Evaluar y cuantificar las recargas al sistema acuífero, de forma de poder estimar con mejor precisión las explotaciones y extracciones sustentables, temporal y espacialmente, para distintos escenarios de operación.</w:t>
      </w:r>
    </w:p>
    <w:p w:rsidR="00D47B2F" w:rsidRPr="00673433" w:rsidRDefault="00D47B2F" w:rsidP="00B51B51">
      <w:pPr>
        <w:pStyle w:val="NormalSangra"/>
        <w:ind w:firstLine="0"/>
        <w:rPr>
          <w:sz w:val="22"/>
          <w:szCs w:val="22"/>
        </w:rPr>
      </w:pPr>
    </w:p>
    <w:p w:rsidR="00D47B2F" w:rsidRPr="00673433" w:rsidRDefault="00D47B2F" w:rsidP="00145762">
      <w:pPr>
        <w:pStyle w:val="NormalSangra"/>
        <w:numPr>
          <w:ilvl w:val="0"/>
          <w:numId w:val="1"/>
        </w:numPr>
        <w:tabs>
          <w:tab w:val="clear" w:pos="870"/>
        </w:tabs>
        <w:ind w:left="709" w:hanging="709"/>
        <w:rPr>
          <w:sz w:val="22"/>
          <w:szCs w:val="22"/>
        </w:rPr>
      </w:pPr>
      <w:r w:rsidRPr="00673433">
        <w:rPr>
          <w:sz w:val="22"/>
          <w:szCs w:val="22"/>
        </w:rPr>
        <w:t>Evaluar la influencia de diferentes modalidades de operación/uso del recurso en la cuenca (modificación de las eficiencias de uso del agua para riego, cambios en la modalidad de explotación de las aguas subterráneas, cambio en el uso del agua para la minería y/o agua potable, impacto de eventuales obras futuras de regulación, cambio del uso del suelo, urbanizaciones, cambio o traslado de usos, entre otros, etc.).</w:t>
      </w:r>
    </w:p>
    <w:p w:rsidR="00D47B2F" w:rsidRPr="00673433" w:rsidRDefault="00D47B2F" w:rsidP="00B51B51">
      <w:pPr>
        <w:pStyle w:val="NormalSangra"/>
        <w:ind w:firstLine="0"/>
        <w:rPr>
          <w:sz w:val="22"/>
          <w:szCs w:val="22"/>
        </w:rPr>
      </w:pPr>
    </w:p>
    <w:p w:rsidR="00D47B2F" w:rsidRPr="00673433" w:rsidRDefault="00D47B2F" w:rsidP="00145762">
      <w:pPr>
        <w:pStyle w:val="NormalSangra"/>
        <w:numPr>
          <w:ilvl w:val="0"/>
          <w:numId w:val="1"/>
        </w:numPr>
        <w:tabs>
          <w:tab w:val="clear" w:pos="870"/>
        </w:tabs>
        <w:ind w:left="709" w:hanging="709"/>
        <w:rPr>
          <w:sz w:val="22"/>
          <w:szCs w:val="22"/>
        </w:rPr>
      </w:pPr>
      <w:r w:rsidRPr="00673433">
        <w:rPr>
          <w:sz w:val="22"/>
          <w:szCs w:val="22"/>
        </w:rPr>
        <w:t>Efectuar una Caracterización de las Demandas de Agua: Diagnóstico de abastecimiento y disponibilidad para diferentes usos del agua.</w:t>
      </w:r>
    </w:p>
    <w:p w:rsidR="00D47B2F" w:rsidRPr="00673433" w:rsidRDefault="00D47B2F" w:rsidP="00B51B51">
      <w:pPr>
        <w:pStyle w:val="NormalSangra"/>
        <w:ind w:firstLine="0"/>
        <w:rPr>
          <w:sz w:val="22"/>
          <w:szCs w:val="22"/>
        </w:rPr>
      </w:pPr>
    </w:p>
    <w:p w:rsidR="00D47B2F" w:rsidRPr="00673433" w:rsidRDefault="00D47B2F" w:rsidP="00145762">
      <w:pPr>
        <w:pStyle w:val="NormalSangra"/>
        <w:numPr>
          <w:ilvl w:val="0"/>
          <w:numId w:val="1"/>
        </w:numPr>
        <w:tabs>
          <w:tab w:val="clear" w:pos="870"/>
        </w:tabs>
        <w:ind w:left="709" w:hanging="709"/>
        <w:rPr>
          <w:sz w:val="22"/>
          <w:szCs w:val="22"/>
        </w:rPr>
      </w:pPr>
      <w:r w:rsidRPr="00673433">
        <w:rPr>
          <w:sz w:val="22"/>
          <w:szCs w:val="22"/>
        </w:rPr>
        <w:t>En base a la caracterización hidrológica-hidrogeológica y a la caracterización de las dem</w:t>
      </w:r>
      <w:r>
        <w:rPr>
          <w:sz w:val="22"/>
          <w:szCs w:val="22"/>
        </w:rPr>
        <w:t>andas de cada cuenca; se determinará</w:t>
      </w:r>
      <w:r w:rsidRPr="00673433">
        <w:rPr>
          <w:sz w:val="22"/>
          <w:szCs w:val="22"/>
        </w:rPr>
        <w:t xml:space="preserve"> si existe déficit o superávit</w:t>
      </w:r>
      <w:r>
        <w:rPr>
          <w:sz w:val="22"/>
          <w:szCs w:val="22"/>
        </w:rPr>
        <w:t xml:space="preserve"> del recurso hídrico, proponiendo</w:t>
      </w:r>
      <w:r w:rsidRPr="00673433">
        <w:rPr>
          <w:sz w:val="22"/>
          <w:szCs w:val="22"/>
        </w:rPr>
        <w:t xml:space="preserve"> soluciones generales en cada caso; por ejemplo: mejorar la regulación, construir obras de regadío, construir plantas desaladoras para las zonas costeras, proponer estrategias de gestión, etc.</w:t>
      </w:r>
    </w:p>
    <w:p w:rsidR="00D47B2F" w:rsidRPr="000A582E" w:rsidRDefault="00D47B2F" w:rsidP="00B51B51">
      <w:pPr>
        <w:widowControl w:val="0"/>
        <w:rPr>
          <w:lang w:val="es-CL"/>
        </w:rPr>
      </w:pPr>
    </w:p>
    <w:p w:rsidR="00D47B2F" w:rsidRPr="000A582E" w:rsidRDefault="00D47B2F" w:rsidP="00B51B51">
      <w:pPr>
        <w:pStyle w:val="Ttulo2"/>
        <w:keepNext w:val="0"/>
      </w:pPr>
      <w:bookmarkStart w:id="7" w:name="_Toc338179077"/>
      <w:bookmarkStart w:id="8" w:name="_Toc344391725"/>
      <w:r w:rsidRPr="000A582E">
        <w:t>Área de Estudio</w:t>
      </w:r>
      <w:bookmarkEnd w:id="7"/>
      <w:bookmarkEnd w:id="8"/>
    </w:p>
    <w:p w:rsidR="00D47B2F" w:rsidRPr="000A582E" w:rsidRDefault="00D47B2F" w:rsidP="00B51B51">
      <w:pPr>
        <w:widowControl w:val="0"/>
      </w:pPr>
    </w:p>
    <w:p w:rsidR="00D47B2F" w:rsidRPr="000A582E" w:rsidRDefault="00D47B2F" w:rsidP="00B51B51">
      <w:pPr>
        <w:widowControl w:val="0"/>
      </w:pPr>
      <w:r w:rsidRPr="000A582E">
        <w:t xml:space="preserve">El área de estudio de la presente consultoría comprende a las cuencas y subcuencas que tienen su desarrollo en </w:t>
      </w:r>
      <w:smartTag w:uri="urn:schemas-microsoft-com:office:smarttags" w:element="PersonName">
        <w:smartTagPr>
          <w:attr w:name="ProductID" w:val="la VI Región"/>
        </w:smartTagPr>
        <w:r w:rsidRPr="000A582E">
          <w:t>la VI Región</w:t>
        </w:r>
      </w:smartTag>
      <w:r>
        <w:t xml:space="preserve"> del Libertador Bernardo O’</w:t>
      </w:r>
      <w:r w:rsidRPr="000A582E">
        <w:t xml:space="preserve">Higgins. </w:t>
      </w:r>
    </w:p>
    <w:p w:rsidR="00D47B2F" w:rsidRPr="000A582E" w:rsidRDefault="00D47B2F" w:rsidP="00B51B51">
      <w:pPr>
        <w:widowControl w:val="0"/>
      </w:pPr>
    </w:p>
    <w:p w:rsidR="00D47B2F" w:rsidRPr="000A582E" w:rsidRDefault="00D47B2F" w:rsidP="00B51B51">
      <w:pPr>
        <w:widowControl w:val="0"/>
      </w:pPr>
      <w:r w:rsidRPr="000A582E">
        <w:t>Para los objetos del presente estudio se considera como unidad mínima de análisis a la categoría de subcuencas.</w:t>
      </w:r>
    </w:p>
    <w:p w:rsidR="00D47B2F" w:rsidRPr="000A582E" w:rsidRDefault="00D47B2F" w:rsidP="00B51B51">
      <w:pPr>
        <w:widowControl w:val="0"/>
      </w:pPr>
    </w:p>
    <w:p w:rsidR="00D47B2F" w:rsidRPr="000A582E" w:rsidRDefault="00D47B2F" w:rsidP="00B51B51">
      <w:pPr>
        <w:widowControl w:val="0"/>
      </w:pPr>
      <w:r w:rsidRPr="000A582E">
        <w:t xml:space="preserve">De acuerdo a la clasificación de </w:t>
      </w:r>
      <w:smartTag w:uri="urn:schemas-microsoft-com:office:smarttags" w:element="PersonName">
        <w:smartTagPr>
          <w:attr w:name="ProductID" w:val="la Dirección General"/>
        </w:smartTagPr>
        <w:r w:rsidRPr="000A582E">
          <w:t>la Dirección General</w:t>
        </w:r>
      </w:smartTag>
      <w:r w:rsidRPr="000A582E">
        <w:t xml:space="preserve"> de Aguas (DGA) del Ministerio de Obras Públicas el área de estudio está integrada por 3 cuencas principales y 12</w:t>
      </w:r>
      <w:r>
        <w:t xml:space="preserve"> subcuencas.</w:t>
      </w:r>
    </w:p>
    <w:p w:rsidR="00D47B2F" w:rsidRPr="000A582E" w:rsidRDefault="00D47B2F" w:rsidP="00B51B51">
      <w:pPr>
        <w:widowControl w:val="0"/>
      </w:pPr>
    </w:p>
    <w:p w:rsidR="00D47B2F" w:rsidRPr="000A582E" w:rsidRDefault="00D47B2F" w:rsidP="00B51B51">
      <w:pPr>
        <w:widowControl w:val="0"/>
      </w:pPr>
      <w:r>
        <w:t xml:space="preserve">En </w:t>
      </w:r>
      <w:smartTag w:uri="urn:schemas-microsoft-com:office:smarttags" w:element="PersonName">
        <w:smartTagPr>
          <w:attr w:name="ProductID" w:val="la ￼￼￼￼￼￼￼￼￼￼￼￼￼￼￼￼￼￼￼￼￼￼￼￼￼￼￼￼￼￼￼￼￼￼￼￼￼￼￼￼￼Tabla"/>
        </w:smartTagPr>
        <w:r>
          <w:t>la</w:t>
        </w:r>
        <w:r w:rsidRPr="000A582E">
          <w:t xml:space="preserve"> </w:t>
        </w:r>
        <w:r w:rsidRPr="000A582E">
          <w:fldChar w:fldCharType="begin"/>
        </w:r>
        <w:r w:rsidRPr="000A582E">
          <w:instrText xml:space="preserve"> REF _Ref330564900 \h </w:instrText>
        </w:r>
        <w:r>
          <w:instrText xml:space="preserve"> \* MERGEFORMAT </w:instrText>
        </w:r>
        <w:r w:rsidRPr="000A582E">
          <w:fldChar w:fldCharType="separate"/>
        </w:r>
        <w:r w:rsidR="00264070" w:rsidRPr="000A582E">
          <w:t>Tabla</w:t>
        </w:r>
      </w:smartTag>
      <w:r w:rsidR="00264070" w:rsidRPr="000A582E">
        <w:t xml:space="preserve"> </w:t>
      </w:r>
      <w:r w:rsidR="00264070">
        <w:rPr>
          <w:noProof/>
        </w:rPr>
        <w:t>1.1</w:t>
      </w:r>
      <w:r w:rsidRPr="000A582E">
        <w:fldChar w:fldCharType="end"/>
      </w:r>
      <w:r w:rsidRPr="000A582E">
        <w:t xml:space="preserve"> se presenta la individualización de estas unidades</w:t>
      </w:r>
      <w:r>
        <w:t xml:space="preserve">, las que además se presentan en </w:t>
      </w:r>
      <w:smartTag w:uri="urn:schemas-microsoft-com:office:smarttags" w:element="PersonName">
        <w:smartTagPr>
          <w:attr w:name="ProductID" w:val="la ￼￼￼￼￼￼￼￼￼￼￼￼￼￼￼￼￼￼￼￼￼￼￼￼￼Figura"/>
        </w:smartTagPr>
        <w:r>
          <w:t xml:space="preserve">la </w:t>
        </w:r>
        <w:r>
          <w:fldChar w:fldCharType="begin"/>
        </w:r>
        <w:r>
          <w:instrText xml:space="preserve"> REF _Ref331754376 \h </w:instrText>
        </w:r>
        <w:r>
          <w:fldChar w:fldCharType="separate"/>
        </w:r>
        <w:r w:rsidR="00264070" w:rsidRPr="000A582E">
          <w:t>Figura</w:t>
        </w:r>
      </w:smartTag>
      <w:r w:rsidR="00264070" w:rsidRPr="000A582E">
        <w:t xml:space="preserve"> </w:t>
      </w:r>
      <w:r w:rsidR="00264070">
        <w:rPr>
          <w:noProof/>
        </w:rPr>
        <w:t>1</w:t>
      </w:r>
      <w:r w:rsidR="00264070">
        <w:t>.</w:t>
      </w:r>
      <w:r w:rsidR="00264070">
        <w:rPr>
          <w:noProof/>
        </w:rPr>
        <w:t>1</w:t>
      </w:r>
      <w:r>
        <w:fldChar w:fldCharType="end"/>
      </w:r>
      <w:r>
        <w:t>.</w:t>
      </w:r>
    </w:p>
    <w:p w:rsidR="00D47B2F" w:rsidRPr="000A582E" w:rsidRDefault="00D47B2F" w:rsidP="00B51B51">
      <w:pPr>
        <w:widowControl w:val="0"/>
      </w:pPr>
    </w:p>
    <w:p w:rsidR="00D47B2F" w:rsidRPr="000A582E" w:rsidRDefault="00D47B2F" w:rsidP="00B51B51">
      <w:pPr>
        <w:pStyle w:val="Epgrafe"/>
        <w:widowControl w:val="0"/>
      </w:pPr>
      <w:bookmarkStart w:id="9" w:name="_Ref330564900"/>
      <w:r w:rsidRPr="000A582E">
        <w:t xml:space="preserve">Tabla </w:t>
      </w:r>
      <w:r w:rsidR="007F3102">
        <w:fldChar w:fldCharType="begin"/>
      </w:r>
      <w:r w:rsidR="007F3102">
        <w:instrText xml:space="preserve"> STYLEREF 1 \s </w:instrText>
      </w:r>
      <w:r w:rsidR="007F3102">
        <w:fldChar w:fldCharType="separate"/>
      </w:r>
      <w:r w:rsidR="00264070">
        <w:rPr>
          <w:noProof/>
        </w:rPr>
        <w:t>1</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bookmarkEnd w:id="9"/>
      <w:r w:rsidRPr="000A582E">
        <w:t xml:space="preserve"> Subcuencas que Conforman el Área de Estudio según Clasificación DGA</w:t>
      </w:r>
    </w:p>
    <w:tbl>
      <w:tblPr>
        <w:tblW w:w="9138" w:type="dxa"/>
        <w:jc w:val="center"/>
        <w:tblCellMar>
          <w:left w:w="70" w:type="dxa"/>
          <w:right w:w="70" w:type="dxa"/>
        </w:tblCellMar>
        <w:tblLook w:val="0000" w:firstRow="0" w:lastRow="0" w:firstColumn="0" w:lastColumn="0" w:noHBand="0" w:noVBand="0"/>
      </w:tblPr>
      <w:tblGrid>
        <w:gridCol w:w="3163"/>
        <w:gridCol w:w="1510"/>
        <w:gridCol w:w="4465"/>
      </w:tblGrid>
      <w:tr w:rsidR="00D47B2F" w:rsidRPr="000A582E">
        <w:trPr>
          <w:tblHeader/>
          <w:jc w:val="center"/>
        </w:trPr>
        <w:tc>
          <w:tcPr>
            <w:tcW w:w="3163" w:type="dxa"/>
            <w:tcBorders>
              <w:top w:val="single" w:sz="4" w:space="0" w:color="auto"/>
              <w:left w:val="single" w:sz="4" w:space="0" w:color="auto"/>
              <w:bottom w:val="single" w:sz="8" w:space="0" w:color="auto"/>
              <w:right w:val="single" w:sz="8" w:space="0" w:color="auto"/>
            </w:tcBorders>
            <w:shd w:val="clear" w:color="auto" w:fill="auto"/>
            <w:noWrap/>
            <w:vAlign w:val="center"/>
          </w:tcPr>
          <w:p w:rsidR="00D47B2F" w:rsidRPr="000A582E" w:rsidRDefault="00D47B2F" w:rsidP="00B51B51">
            <w:pPr>
              <w:widowControl w:val="0"/>
              <w:jc w:val="center"/>
              <w:rPr>
                <w:rFonts w:cs="Arial"/>
                <w:bCs/>
                <w:sz w:val="16"/>
                <w:szCs w:val="16"/>
              </w:rPr>
            </w:pPr>
            <w:r w:rsidRPr="000A582E">
              <w:rPr>
                <w:rFonts w:cs="Arial"/>
                <w:bCs/>
                <w:sz w:val="16"/>
                <w:szCs w:val="16"/>
              </w:rPr>
              <w:t>Nombre de La Cuenca</w:t>
            </w:r>
          </w:p>
        </w:tc>
        <w:tc>
          <w:tcPr>
            <w:tcW w:w="1510" w:type="dxa"/>
            <w:tcBorders>
              <w:top w:val="single" w:sz="4" w:space="0" w:color="auto"/>
              <w:left w:val="nil"/>
              <w:bottom w:val="single" w:sz="8" w:space="0" w:color="auto"/>
              <w:right w:val="single" w:sz="8" w:space="0" w:color="auto"/>
            </w:tcBorders>
            <w:shd w:val="clear" w:color="auto" w:fill="auto"/>
            <w:noWrap/>
            <w:vAlign w:val="center"/>
          </w:tcPr>
          <w:p w:rsidR="00D47B2F" w:rsidRPr="000A582E" w:rsidRDefault="00D47B2F" w:rsidP="00B51B51">
            <w:pPr>
              <w:widowControl w:val="0"/>
              <w:jc w:val="center"/>
              <w:rPr>
                <w:rFonts w:cs="Arial"/>
                <w:bCs/>
                <w:sz w:val="16"/>
                <w:szCs w:val="16"/>
              </w:rPr>
            </w:pPr>
            <w:r w:rsidRPr="000A582E">
              <w:rPr>
                <w:rFonts w:cs="Arial"/>
                <w:bCs/>
                <w:sz w:val="16"/>
                <w:szCs w:val="16"/>
              </w:rPr>
              <w:t>Código Subcuenca</w:t>
            </w:r>
          </w:p>
        </w:tc>
        <w:tc>
          <w:tcPr>
            <w:tcW w:w="4465" w:type="dxa"/>
            <w:tcBorders>
              <w:top w:val="single" w:sz="4" w:space="0" w:color="auto"/>
              <w:left w:val="nil"/>
              <w:bottom w:val="single" w:sz="8" w:space="0" w:color="auto"/>
              <w:right w:val="single" w:sz="4" w:space="0" w:color="auto"/>
            </w:tcBorders>
            <w:shd w:val="clear" w:color="auto" w:fill="auto"/>
            <w:noWrap/>
            <w:vAlign w:val="center"/>
          </w:tcPr>
          <w:p w:rsidR="00D47B2F" w:rsidRPr="000A582E" w:rsidRDefault="00D47B2F" w:rsidP="00B51B51">
            <w:pPr>
              <w:widowControl w:val="0"/>
              <w:jc w:val="center"/>
              <w:rPr>
                <w:rFonts w:cs="Arial"/>
                <w:bCs/>
                <w:sz w:val="16"/>
                <w:szCs w:val="16"/>
              </w:rPr>
            </w:pPr>
            <w:r w:rsidRPr="000A582E">
              <w:rPr>
                <w:rFonts w:cs="Arial"/>
                <w:bCs/>
                <w:sz w:val="16"/>
                <w:szCs w:val="16"/>
              </w:rPr>
              <w:t>Nombre Subcuenca</w:t>
            </w:r>
          </w:p>
        </w:tc>
      </w:tr>
      <w:tr w:rsidR="00D47B2F" w:rsidRPr="000A582E">
        <w:trPr>
          <w:jc w:val="center"/>
        </w:trPr>
        <w:tc>
          <w:tcPr>
            <w:tcW w:w="3163" w:type="dxa"/>
            <w:tcBorders>
              <w:top w:val="nil"/>
              <w:left w:val="single" w:sz="4" w:space="0" w:color="auto"/>
              <w:bottom w:val="single" w:sz="4" w:space="0" w:color="auto"/>
              <w:right w:val="single" w:sz="8"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Río Maipo (057)</w:t>
            </w: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0571</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 xml:space="preserve">Forma Parte de </w:t>
            </w:r>
            <w:smartTag w:uri="urn:schemas-microsoft-com:office:smarttags" w:element="PersonName">
              <w:smartTagPr>
                <w:attr w:name="ProductID" w:val="La Subcuenca Del"/>
              </w:smartTagPr>
              <w:r w:rsidRPr="000A582E">
                <w:rPr>
                  <w:rFonts w:cs="Arial"/>
                  <w:sz w:val="16"/>
                  <w:szCs w:val="16"/>
                </w:rPr>
                <w:t>La Subcuenca Del</w:t>
              </w:r>
            </w:smartTag>
            <w:r w:rsidRPr="000A582E">
              <w:rPr>
                <w:rFonts w:cs="Arial"/>
                <w:sz w:val="16"/>
                <w:szCs w:val="16"/>
              </w:rPr>
              <w:t xml:space="preserve"> Río Maipo Medio</w:t>
            </w:r>
          </w:p>
        </w:tc>
      </w:tr>
      <w:tr w:rsidR="00D47B2F" w:rsidRPr="000A582E">
        <w:trPr>
          <w:jc w:val="center"/>
        </w:trPr>
        <w:tc>
          <w:tcPr>
            <w:tcW w:w="3163" w:type="dxa"/>
            <w:vMerge w:val="restart"/>
            <w:tcBorders>
              <w:top w:val="nil"/>
              <w:left w:val="single" w:sz="4" w:space="0" w:color="auto"/>
              <w:right w:val="single" w:sz="8"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Río Rapel (060)</w:t>
            </w: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0600</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Río Cachapoal Alto (Hasta Bajo Junta Río Claro)</w:t>
            </w:r>
          </w:p>
        </w:tc>
      </w:tr>
      <w:tr w:rsidR="00D47B2F" w:rsidRPr="000A582E">
        <w:trPr>
          <w:jc w:val="center"/>
        </w:trPr>
        <w:tc>
          <w:tcPr>
            <w:tcW w:w="3163" w:type="dxa"/>
            <w:vMerge/>
            <w:tcBorders>
              <w:left w:val="single" w:sz="4" w:space="0" w:color="auto"/>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0601</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Cachapoal Bajo</w:t>
            </w:r>
          </w:p>
        </w:tc>
      </w:tr>
      <w:tr w:rsidR="00D47B2F" w:rsidRPr="000A582E">
        <w:trPr>
          <w:jc w:val="center"/>
        </w:trPr>
        <w:tc>
          <w:tcPr>
            <w:tcW w:w="3163" w:type="dxa"/>
            <w:vMerge/>
            <w:tcBorders>
              <w:left w:val="single" w:sz="4" w:space="0" w:color="auto"/>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0602</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4D69DE" w:rsidP="00B51B51">
            <w:pPr>
              <w:widowControl w:val="0"/>
              <w:rPr>
                <w:rFonts w:cs="Arial"/>
                <w:sz w:val="16"/>
                <w:szCs w:val="16"/>
              </w:rPr>
            </w:pPr>
            <w:r>
              <w:rPr>
                <w:rFonts w:cs="Arial"/>
                <w:sz w:val="16"/>
                <w:szCs w:val="16"/>
              </w:rPr>
              <w:t>Río Tinguiriri</w:t>
            </w:r>
            <w:r w:rsidR="00D47B2F" w:rsidRPr="000A582E">
              <w:rPr>
                <w:rFonts w:cs="Arial"/>
                <w:sz w:val="16"/>
                <w:szCs w:val="16"/>
              </w:rPr>
              <w:t>ca Alto (Hasta Bajo Junta Río Claro)</w:t>
            </w:r>
          </w:p>
        </w:tc>
      </w:tr>
      <w:tr w:rsidR="00D47B2F" w:rsidRPr="000A582E">
        <w:trPr>
          <w:jc w:val="center"/>
        </w:trPr>
        <w:tc>
          <w:tcPr>
            <w:tcW w:w="3163" w:type="dxa"/>
            <w:vMerge/>
            <w:tcBorders>
              <w:left w:val="single" w:sz="4" w:space="0" w:color="auto"/>
              <w:right w:val="single" w:sz="8" w:space="0" w:color="auto"/>
            </w:tcBorders>
            <w:shd w:val="clear" w:color="auto" w:fill="auto"/>
            <w:noWrap/>
            <w:vAlign w:val="center"/>
          </w:tcPr>
          <w:p w:rsidR="00D47B2F" w:rsidRPr="000A582E" w:rsidRDefault="00D47B2F" w:rsidP="00B51B51">
            <w:pPr>
              <w:widowControl w:val="0"/>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0603</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4D69DE" w:rsidP="00B51B51">
            <w:pPr>
              <w:widowControl w:val="0"/>
              <w:rPr>
                <w:rFonts w:cs="Arial"/>
                <w:sz w:val="16"/>
                <w:szCs w:val="16"/>
              </w:rPr>
            </w:pPr>
            <w:r>
              <w:rPr>
                <w:rFonts w:cs="Arial"/>
                <w:sz w:val="16"/>
                <w:szCs w:val="16"/>
              </w:rPr>
              <w:t>Tinguiriri</w:t>
            </w:r>
            <w:r w:rsidR="00D47B2F" w:rsidRPr="000A582E">
              <w:rPr>
                <w:rFonts w:cs="Arial"/>
                <w:sz w:val="16"/>
                <w:szCs w:val="16"/>
              </w:rPr>
              <w:t>ca Bajo</w:t>
            </w:r>
          </w:p>
        </w:tc>
      </w:tr>
      <w:tr w:rsidR="00D47B2F" w:rsidRPr="000A582E">
        <w:trPr>
          <w:jc w:val="center"/>
        </w:trPr>
        <w:tc>
          <w:tcPr>
            <w:tcW w:w="3163" w:type="dxa"/>
            <w:vMerge/>
            <w:tcBorders>
              <w:left w:val="single" w:sz="4" w:space="0" w:color="auto"/>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0604</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Estero Alhué</w:t>
            </w:r>
          </w:p>
        </w:tc>
      </w:tr>
      <w:tr w:rsidR="00D47B2F" w:rsidRPr="000A582E">
        <w:trPr>
          <w:jc w:val="center"/>
        </w:trPr>
        <w:tc>
          <w:tcPr>
            <w:tcW w:w="3163" w:type="dxa"/>
            <w:vMerge/>
            <w:tcBorders>
              <w:left w:val="single" w:sz="4" w:space="0" w:color="auto"/>
              <w:bottom w:val="single" w:sz="4" w:space="0" w:color="000000"/>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0605</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Río Rapel</w:t>
            </w:r>
          </w:p>
        </w:tc>
      </w:tr>
      <w:tr w:rsidR="00D47B2F" w:rsidRPr="000A582E">
        <w:trPr>
          <w:jc w:val="center"/>
        </w:trPr>
        <w:tc>
          <w:tcPr>
            <w:tcW w:w="3163" w:type="dxa"/>
            <w:vMerge w:val="restart"/>
            <w:tcBorders>
              <w:top w:val="nil"/>
              <w:left w:val="single" w:sz="4" w:space="0" w:color="auto"/>
              <w:right w:val="single" w:sz="8"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Costeras Rapel-E. Nilahue (061)</w:t>
            </w: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0610</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Costeras Entre Río Rapel y Estero Topocalma</w:t>
            </w:r>
          </w:p>
        </w:tc>
      </w:tr>
      <w:tr w:rsidR="00D47B2F" w:rsidRPr="000A582E">
        <w:trPr>
          <w:jc w:val="center"/>
        </w:trPr>
        <w:tc>
          <w:tcPr>
            <w:tcW w:w="3163" w:type="dxa"/>
            <w:vMerge/>
            <w:tcBorders>
              <w:left w:val="single" w:sz="4" w:space="0" w:color="auto"/>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0611</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Estero Topocalma</w:t>
            </w:r>
          </w:p>
        </w:tc>
      </w:tr>
      <w:tr w:rsidR="00D47B2F" w:rsidRPr="000A582E">
        <w:trPr>
          <w:jc w:val="center"/>
        </w:trPr>
        <w:tc>
          <w:tcPr>
            <w:tcW w:w="3163" w:type="dxa"/>
            <w:vMerge/>
            <w:tcBorders>
              <w:left w:val="single" w:sz="4" w:space="0" w:color="auto"/>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0612</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Costeras Entre E. Topocalma y E</w:t>
            </w:r>
            <w:r>
              <w:rPr>
                <w:rFonts w:cs="Arial"/>
                <w:sz w:val="16"/>
                <w:szCs w:val="16"/>
              </w:rPr>
              <w:t>stero</w:t>
            </w:r>
            <w:r w:rsidRPr="000A582E">
              <w:rPr>
                <w:rFonts w:cs="Arial"/>
                <w:sz w:val="16"/>
                <w:szCs w:val="16"/>
              </w:rPr>
              <w:t xml:space="preserve"> Nilahue</w:t>
            </w:r>
          </w:p>
        </w:tc>
      </w:tr>
      <w:tr w:rsidR="00D47B2F" w:rsidRPr="000A582E">
        <w:trPr>
          <w:jc w:val="center"/>
        </w:trPr>
        <w:tc>
          <w:tcPr>
            <w:tcW w:w="3163" w:type="dxa"/>
            <w:vMerge/>
            <w:tcBorders>
              <w:left w:val="single" w:sz="4" w:space="0" w:color="auto"/>
              <w:right w:val="single" w:sz="8" w:space="0" w:color="auto"/>
            </w:tcBorders>
            <w:shd w:val="clear" w:color="auto" w:fill="auto"/>
            <w:noWrap/>
            <w:vAlign w:val="center"/>
          </w:tcPr>
          <w:p w:rsidR="00D47B2F" w:rsidRPr="000A582E" w:rsidRDefault="00D47B2F" w:rsidP="00B51B51">
            <w:pPr>
              <w:widowControl w:val="0"/>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0613</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Estero Nilahue</w:t>
            </w:r>
          </w:p>
        </w:tc>
      </w:tr>
      <w:tr w:rsidR="00D47B2F" w:rsidRPr="000A582E">
        <w:trPr>
          <w:jc w:val="center"/>
        </w:trPr>
        <w:tc>
          <w:tcPr>
            <w:tcW w:w="3163" w:type="dxa"/>
            <w:vMerge/>
            <w:tcBorders>
              <w:left w:val="single" w:sz="4" w:space="0" w:color="auto"/>
              <w:bottom w:val="single" w:sz="4" w:space="0" w:color="000000"/>
              <w:right w:val="single" w:sz="8" w:space="0" w:color="auto"/>
            </w:tcBorders>
            <w:vAlign w:val="center"/>
          </w:tcPr>
          <w:p w:rsidR="00D47B2F" w:rsidRPr="000A582E" w:rsidRDefault="00D47B2F" w:rsidP="00B51B51">
            <w:pPr>
              <w:widowControl w:val="0"/>
              <w:jc w:val="left"/>
              <w:rPr>
                <w:rFonts w:cs="Arial"/>
                <w:sz w:val="16"/>
                <w:szCs w:val="16"/>
              </w:rPr>
            </w:pPr>
          </w:p>
        </w:tc>
        <w:tc>
          <w:tcPr>
            <w:tcW w:w="1510" w:type="dxa"/>
            <w:tcBorders>
              <w:top w:val="nil"/>
              <w:left w:val="nil"/>
              <w:bottom w:val="single" w:sz="4" w:space="0" w:color="auto"/>
              <w:right w:val="single" w:sz="8" w:space="0" w:color="auto"/>
            </w:tcBorders>
            <w:shd w:val="clear" w:color="auto" w:fill="auto"/>
            <w:noWrap/>
            <w:vAlign w:val="center"/>
          </w:tcPr>
          <w:p w:rsidR="00D47B2F" w:rsidRPr="000A582E" w:rsidRDefault="00D47B2F" w:rsidP="00B51B51">
            <w:pPr>
              <w:widowControl w:val="0"/>
              <w:jc w:val="center"/>
              <w:rPr>
                <w:rFonts w:cs="Arial"/>
                <w:sz w:val="16"/>
                <w:szCs w:val="16"/>
              </w:rPr>
            </w:pPr>
            <w:r w:rsidRPr="000A582E">
              <w:rPr>
                <w:rFonts w:cs="Arial"/>
                <w:sz w:val="16"/>
                <w:szCs w:val="16"/>
              </w:rPr>
              <w:t>0614</w:t>
            </w:r>
          </w:p>
        </w:tc>
        <w:tc>
          <w:tcPr>
            <w:tcW w:w="4465" w:type="dxa"/>
            <w:tcBorders>
              <w:top w:val="nil"/>
              <w:left w:val="nil"/>
              <w:bottom w:val="single" w:sz="4" w:space="0" w:color="auto"/>
              <w:right w:val="single" w:sz="4" w:space="0" w:color="auto"/>
            </w:tcBorders>
            <w:shd w:val="clear" w:color="auto" w:fill="auto"/>
            <w:noWrap/>
            <w:vAlign w:val="center"/>
          </w:tcPr>
          <w:p w:rsidR="00D47B2F" w:rsidRPr="000A582E" w:rsidRDefault="00D47B2F" w:rsidP="00B51B51">
            <w:pPr>
              <w:widowControl w:val="0"/>
              <w:rPr>
                <w:rFonts w:cs="Arial"/>
                <w:sz w:val="16"/>
                <w:szCs w:val="16"/>
              </w:rPr>
            </w:pPr>
            <w:r w:rsidRPr="000A582E">
              <w:rPr>
                <w:rFonts w:cs="Arial"/>
                <w:sz w:val="16"/>
                <w:szCs w:val="16"/>
              </w:rPr>
              <w:t>Costeras Entre Estero Nilahue y Límite Región</w:t>
            </w:r>
          </w:p>
        </w:tc>
      </w:tr>
    </w:tbl>
    <w:p w:rsidR="00D47B2F" w:rsidRPr="000A582E" w:rsidRDefault="00D47B2F" w:rsidP="00B51B51">
      <w:pPr>
        <w:pStyle w:val="NormalSangra"/>
      </w:pPr>
    </w:p>
    <w:p w:rsidR="000240CE" w:rsidRDefault="000240CE" w:rsidP="00B51B51">
      <w:pPr>
        <w:widowControl w:val="0"/>
      </w:pPr>
    </w:p>
    <w:p w:rsidR="00D47B2F" w:rsidRPr="000A582E" w:rsidRDefault="00D47B2F" w:rsidP="00B51B51">
      <w:pPr>
        <w:widowControl w:val="0"/>
      </w:pPr>
      <w:r w:rsidRPr="000A582E">
        <w:lastRenderedPageBreak/>
        <w:t xml:space="preserve">La región VI del Libertador Bernardo O’Higgins se emplaza en la zona central del país, aproximadamente entre las latitudes sur 33° </w:t>
      </w:r>
      <w:smartTag w:uri="urn:schemas-microsoft-com:office:smarttags" w:element="metricconverter">
        <w:smartTagPr>
          <w:attr w:name="ProductID" w:val="51’"/>
        </w:smartTagPr>
        <w:r w:rsidRPr="000A582E">
          <w:t>51’</w:t>
        </w:r>
      </w:smartTag>
      <w:r w:rsidRPr="000A582E">
        <w:t xml:space="preserve"> y 35°01</w:t>
      </w:r>
      <w:r>
        <w:t>’</w:t>
      </w:r>
      <w:r w:rsidRPr="000A582E">
        <w:t xml:space="preserve"> y desde los 70° </w:t>
      </w:r>
      <w:smartTag w:uri="urn:schemas-microsoft-com:office:smarttags" w:element="metricconverter">
        <w:smartTagPr>
          <w:attr w:name="ProductID" w:val="02’"/>
        </w:smartTagPr>
        <w:r w:rsidRPr="000A582E">
          <w:t>02</w:t>
        </w:r>
        <w:r>
          <w:t>’</w:t>
        </w:r>
      </w:smartTag>
      <w:r w:rsidRPr="000A582E">
        <w:t xml:space="preserve"> de longitud oeste hasta el Océano Pacífico, representando una superficie de 16.387 km</w:t>
      </w:r>
      <w:r w:rsidRPr="000A582E">
        <w:rPr>
          <w:vertAlign w:val="superscript"/>
        </w:rPr>
        <w:t>2</w:t>
      </w:r>
      <w:r w:rsidRPr="000A582E">
        <w:t>.</w:t>
      </w:r>
    </w:p>
    <w:p w:rsidR="00D47B2F" w:rsidRPr="000A582E" w:rsidRDefault="00D47B2F" w:rsidP="00B51B51">
      <w:pPr>
        <w:widowControl w:val="0"/>
      </w:pPr>
    </w:p>
    <w:p w:rsidR="00D47B2F" w:rsidRPr="000A582E" w:rsidRDefault="00D47B2F" w:rsidP="00B51B51">
      <w:pPr>
        <w:widowControl w:val="0"/>
      </w:pPr>
      <w:r w:rsidRPr="000A582E">
        <w:t xml:space="preserve">Los límites territoriales son por el Norte </w:t>
      </w:r>
      <w:smartTag w:uri="urn:schemas-microsoft-com:office:smarttags" w:element="PersonName">
        <w:smartTagPr>
          <w:attr w:name="ProductID" w:val="la Región Metropolitana"/>
        </w:smartTagPr>
        <w:r w:rsidRPr="000A582E">
          <w:t>la Región Metropolitana</w:t>
        </w:r>
      </w:smartTag>
      <w:r w:rsidRPr="000A582E">
        <w:t xml:space="preserve"> y Valparaíso, a través del río Rapel y la hoya del alto río Maipo; por el este </w:t>
      </w:r>
      <w:smartTag w:uri="urn:schemas-microsoft-com:office:smarttags" w:element="PersonName">
        <w:smartTagPr>
          <w:attr w:name="ProductID" w:val="la República"/>
        </w:smartTagPr>
        <w:r w:rsidRPr="000A582E">
          <w:t>la República</w:t>
        </w:r>
      </w:smartTag>
      <w:r w:rsidRPr="000A582E">
        <w:t xml:space="preserve"> de Argentina; por el sur </w:t>
      </w:r>
      <w:smartTag w:uri="urn:schemas-microsoft-com:office:smarttags" w:element="PersonName">
        <w:smartTagPr>
          <w:attr w:name="ProductID" w:val="la Región"/>
        </w:smartTagPr>
        <w:r w:rsidRPr="000A582E">
          <w:t>la Región</w:t>
        </w:r>
      </w:smartTag>
      <w:r w:rsidRPr="000A582E">
        <w:t xml:space="preserve"> del Maule, por la hoya del río Tinguiririca; y por el oeste el Océano Pacífico.. </w:t>
      </w:r>
    </w:p>
    <w:p w:rsidR="00D47B2F" w:rsidRPr="000A582E" w:rsidRDefault="00D47B2F" w:rsidP="00B51B51">
      <w:pPr>
        <w:widowControl w:val="0"/>
      </w:pPr>
    </w:p>
    <w:p w:rsidR="00D47B2F" w:rsidRPr="000A582E" w:rsidRDefault="00D47B2F" w:rsidP="00B51B51">
      <w:pPr>
        <w:widowControl w:val="0"/>
      </w:pPr>
      <w:r w:rsidRPr="000A582E">
        <w:t xml:space="preserve">Esta región posee el relieve característico de la zona central, su clima es de carácter templado de tipo mediterráneo. Su sistema </w:t>
      </w:r>
      <w:r>
        <w:t>hidrográfico está</w:t>
      </w:r>
      <w:r w:rsidRPr="000A582E">
        <w:t xml:space="preserve"> constituido por ríos y un embalse de gran importancia. </w:t>
      </w:r>
    </w:p>
    <w:p w:rsidR="00D47B2F" w:rsidRPr="000A582E" w:rsidRDefault="00D47B2F" w:rsidP="00B51B51">
      <w:pPr>
        <w:widowControl w:val="0"/>
      </w:pPr>
    </w:p>
    <w:p w:rsidR="00D47B2F" w:rsidRPr="000A582E" w:rsidRDefault="00D47B2F" w:rsidP="00B51B51">
      <w:pPr>
        <w:widowControl w:val="0"/>
      </w:pPr>
      <w:r w:rsidRPr="000A582E">
        <w:t>Su capital regional es Rancagua. La distribución de la población se incrementa en la depresión intermedia, lo que genera la presencia de numerosos poblados y ciudades pequeñas. La actividad económica se distribuye en diferentes rubros, destacando la actividad agrícola, la industria de los alimentos y la minería como las más representativas. Para recalcar estas características se puede constatar la presencia de un importante yacimiento de cobre, la mina El Teniente; además son numerosas las empresas transnacionales de productos hortofrutícolas qu</w:t>
      </w:r>
      <w:r>
        <w:t>e poseen plantas de empaque</w:t>
      </w:r>
      <w:r w:rsidRPr="000A582E">
        <w:t xml:space="preserve"> para la exportación.</w:t>
      </w:r>
    </w:p>
    <w:p w:rsidR="00D47B2F" w:rsidRPr="000A582E" w:rsidRDefault="00D47B2F" w:rsidP="00B51B51">
      <w:pPr>
        <w:widowControl w:val="0"/>
      </w:pPr>
    </w:p>
    <w:p w:rsidR="00D47B2F" w:rsidRPr="000A582E" w:rsidRDefault="00D47B2F" w:rsidP="00B51B51">
      <w:pPr>
        <w:widowControl w:val="0"/>
      </w:pPr>
      <w:r>
        <w:t>El sistema hidrográfico está</w:t>
      </w:r>
      <w:r w:rsidRPr="000A582E">
        <w:t xml:space="preserve"> constituido por el sistema del río Rapel y sus afluentes más importantes, los ríos Cachapoal y Tinguiririca; ambos en su confluencia en el sector denominado </w:t>
      </w:r>
      <w:smartTag w:uri="urn:schemas-microsoft-com:office:smarttags" w:element="PersonName">
        <w:smartTagPr>
          <w:attr w:name="ProductID" w:val="La Junta"/>
        </w:smartTagPr>
        <w:r w:rsidRPr="000A582E">
          <w:t>La Junta</w:t>
        </w:r>
      </w:smartTag>
      <w:r w:rsidRPr="000A582E">
        <w:t xml:space="preserve"> dan origen al embalse Rapel. </w:t>
      </w:r>
    </w:p>
    <w:p w:rsidR="00D47B2F" w:rsidRPr="000A582E" w:rsidRDefault="00D47B2F" w:rsidP="00B51B51">
      <w:pPr>
        <w:widowControl w:val="0"/>
      </w:pPr>
    </w:p>
    <w:p w:rsidR="00D47B2F" w:rsidRPr="000A582E" w:rsidRDefault="00D47B2F" w:rsidP="00B51B51">
      <w:pPr>
        <w:widowControl w:val="0"/>
      </w:pPr>
      <w:r w:rsidRPr="000A582E">
        <w:t>El embalse Rapel posee una capacidad de almacenamiento de 433 millones de metros cúbicos y la central hidroeléctrica tiene una potencia instalada de 380 MW. La presencia de este embalse o lago Rapel permite el desarrollo de una intensa actividad turística de balnearios y deportes náuticos.</w:t>
      </w:r>
    </w:p>
    <w:p w:rsidR="00D47B2F" w:rsidRPr="000A582E" w:rsidRDefault="00D47B2F" w:rsidP="00B51B51">
      <w:pPr>
        <w:widowControl w:val="0"/>
      </w:pPr>
    </w:p>
    <w:p w:rsidR="00D47B2F" w:rsidRPr="000A582E" w:rsidRDefault="00D47B2F" w:rsidP="00B51B51">
      <w:pPr>
        <w:widowControl w:val="0"/>
      </w:pPr>
      <w:r w:rsidRPr="000A582E">
        <w:t>El aprovechamiento de las aguas del sistema Rapel – Cachapoal – Tinguiririca se utiliza para el riego, la producción de energía eléctrica, la industria, la minería y el consumo por parte de la población.</w:t>
      </w:r>
    </w:p>
    <w:p w:rsidR="00D47B2F" w:rsidRPr="000A582E" w:rsidRDefault="00D47B2F" w:rsidP="00B51B51">
      <w:pPr>
        <w:widowControl w:val="0"/>
      </w:pPr>
    </w:p>
    <w:p w:rsidR="00D47B2F" w:rsidRDefault="00D47B2F" w:rsidP="00B51B51">
      <w:pPr>
        <w:widowControl w:val="0"/>
      </w:pPr>
      <w:r w:rsidRPr="000A582E">
        <w:t>Tal como ha sido mencionado anteriormente</w:t>
      </w:r>
      <w:r>
        <w:t>,</w:t>
      </w:r>
      <w:r w:rsidRPr="000A582E">
        <w:t xml:space="preserve"> para efectos del estudio la región se encuentra dividida en tres cuencas principales, cuyas características se describen a continuación:</w:t>
      </w:r>
    </w:p>
    <w:p w:rsidR="00B51B51" w:rsidRPr="000A582E" w:rsidRDefault="00B51B51" w:rsidP="00B51B51">
      <w:pPr>
        <w:widowControl w:val="0"/>
      </w:pPr>
    </w:p>
    <w:p w:rsidR="00D47B2F" w:rsidRPr="000A582E" w:rsidRDefault="00D47B2F" w:rsidP="00B51B51">
      <w:pPr>
        <w:pStyle w:val="Ttulo3"/>
      </w:pPr>
      <w:bookmarkStart w:id="10" w:name="_Toc344391726"/>
      <w:r w:rsidRPr="000A582E">
        <w:t>Cuenca del río Maipo</w:t>
      </w:r>
      <w:bookmarkEnd w:id="10"/>
    </w:p>
    <w:p w:rsidR="000240CE" w:rsidRDefault="000240CE" w:rsidP="00B51B51">
      <w:pPr>
        <w:pStyle w:val="NormalSangra"/>
        <w:ind w:firstLine="0"/>
        <w:rPr>
          <w:sz w:val="22"/>
          <w:szCs w:val="22"/>
        </w:rPr>
      </w:pPr>
    </w:p>
    <w:p w:rsidR="00D47B2F" w:rsidRPr="0084724B" w:rsidRDefault="00D47B2F" w:rsidP="00B51B51">
      <w:pPr>
        <w:pStyle w:val="NormalSangra"/>
        <w:ind w:firstLine="0"/>
        <w:rPr>
          <w:sz w:val="22"/>
          <w:szCs w:val="22"/>
        </w:rPr>
      </w:pPr>
      <w:r w:rsidRPr="0084724B">
        <w:rPr>
          <w:sz w:val="22"/>
          <w:szCs w:val="22"/>
        </w:rPr>
        <w:t>La cuenca del río Maipo corresponde a una cuenca que posee una superficie de aproximadamente 707 km</w:t>
      </w:r>
      <w:r w:rsidRPr="0084724B">
        <w:rPr>
          <w:sz w:val="22"/>
          <w:szCs w:val="22"/>
          <w:vertAlign w:val="superscript"/>
        </w:rPr>
        <w:t>2</w:t>
      </w:r>
      <w:r>
        <w:rPr>
          <w:sz w:val="22"/>
          <w:szCs w:val="22"/>
        </w:rPr>
        <w:t xml:space="preserve"> y</w:t>
      </w:r>
      <w:r w:rsidRPr="0084724B">
        <w:rPr>
          <w:sz w:val="22"/>
          <w:szCs w:val="22"/>
        </w:rPr>
        <w:t xml:space="preserve"> un amplio desarrollo principalmente en </w:t>
      </w:r>
      <w:smartTag w:uri="urn:schemas-microsoft-com:office:smarttags" w:element="PersonName">
        <w:smartTagPr>
          <w:attr w:name="ProductID" w:val="la Región Metropolitana"/>
        </w:smartTagPr>
        <w:r w:rsidRPr="0084724B">
          <w:rPr>
            <w:sz w:val="22"/>
            <w:szCs w:val="22"/>
          </w:rPr>
          <w:t>la Región Metropolitana</w:t>
        </w:r>
      </w:smartTag>
      <w:r w:rsidRPr="0084724B">
        <w:rPr>
          <w:sz w:val="22"/>
          <w:szCs w:val="22"/>
        </w:rPr>
        <w:t xml:space="preserve"> y parcialmente en </w:t>
      </w:r>
      <w:smartTag w:uri="urn:schemas-microsoft-com:office:smarttags" w:element="PersonName">
        <w:smartTagPr>
          <w:attr w:name="ProductID" w:val="la V"/>
        </w:smartTagPr>
        <w:r w:rsidRPr="0084724B">
          <w:rPr>
            <w:sz w:val="22"/>
            <w:szCs w:val="22"/>
          </w:rPr>
          <w:t>la V</w:t>
        </w:r>
      </w:smartTag>
      <w:r w:rsidRPr="0084724B">
        <w:rPr>
          <w:sz w:val="22"/>
          <w:szCs w:val="22"/>
        </w:rPr>
        <w:t xml:space="preserve"> y VI Región.</w:t>
      </w:r>
    </w:p>
    <w:p w:rsidR="00D47B2F" w:rsidRPr="0084724B" w:rsidRDefault="00D47B2F" w:rsidP="00B51B51">
      <w:pPr>
        <w:pStyle w:val="NormalSangra"/>
        <w:ind w:firstLine="0"/>
        <w:rPr>
          <w:sz w:val="22"/>
          <w:szCs w:val="22"/>
        </w:rPr>
      </w:pPr>
    </w:p>
    <w:p w:rsidR="00D47B2F" w:rsidRPr="0084724B" w:rsidRDefault="00D47B2F" w:rsidP="00B51B51">
      <w:pPr>
        <w:pStyle w:val="NormalSangra"/>
        <w:ind w:firstLine="0"/>
        <w:rPr>
          <w:sz w:val="22"/>
          <w:szCs w:val="22"/>
        </w:rPr>
      </w:pPr>
      <w:r w:rsidRPr="0084724B">
        <w:rPr>
          <w:sz w:val="22"/>
          <w:szCs w:val="22"/>
        </w:rPr>
        <w:t xml:space="preserve">Para </w:t>
      </w:r>
      <w:smartTag w:uri="urn:schemas-microsoft-com:office:smarttags" w:element="PersonName">
        <w:smartTagPr>
          <w:attr w:name="ProductID" w:val="la VI"/>
        </w:smartTagPr>
        <w:r w:rsidRPr="0084724B">
          <w:rPr>
            <w:sz w:val="22"/>
            <w:szCs w:val="22"/>
          </w:rPr>
          <w:t>la VI</w:t>
        </w:r>
      </w:smartTag>
      <w:r w:rsidRPr="0084724B">
        <w:rPr>
          <w:sz w:val="22"/>
          <w:szCs w:val="22"/>
        </w:rPr>
        <w:t xml:space="preserve"> región, materia en estudio, la cuenca del río Maipo tiene su desarrollo en parte de la denominada subcuenca del río Maipo Medio.</w:t>
      </w:r>
    </w:p>
    <w:p w:rsidR="00D47B2F" w:rsidRPr="0084724B" w:rsidRDefault="00D47B2F" w:rsidP="00B51B51">
      <w:pPr>
        <w:pStyle w:val="NormalSangra"/>
        <w:ind w:firstLine="0"/>
        <w:rPr>
          <w:sz w:val="22"/>
          <w:szCs w:val="22"/>
        </w:rPr>
      </w:pPr>
    </w:p>
    <w:p w:rsidR="00D47B2F" w:rsidRPr="0084724B" w:rsidRDefault="00D47B2F" w:rsidP="00B51B51">
      <w:pPr>
        <w:pStyle w:val="NormalSangra"/>
        <w:ind w:firstLine="0"/>
        <w:rPr>
          <w:sz w:val="22"/>
          <w:szCs w:val="22"/>
        </w:rPr>
      </w:pPr>
      <w:r w:rsidRPr="0084724B">
        <w:rPr>
          <w:sz w:val="22"/>
          <w:szCs w:val="22"/>
        </w:rPr>
        <w:t>El cauce principal que se desarrolla en esta subcuenca corresponde al río Angostura, el cual nace de las juntas de los ríos Peuco y Codegua.</w:t>
      </w:r>
    </w:p>
    <w:p w:rsidR="00D47B2F" w:rsidRPr="0084724B" w:rsidRDefault="00D47B2F" w:rsidP="00B51B51">
      <w:pPr>
        <w:pStyle w:val="NormalSangra"/>
        <w:ind w:firstLine="0"/>
        <w:rPr>
          <w:sz w:val="22"/>
          <w:szCs w:val="22"/>
        </w:rPr>
      </w:pPr>
    </w:p>
    <w:p w:rsidR="000240CE" w:rsidRDefault="000240CE" w:rsidP="00B51B51">
      <w:pPr>
        <w:pStyle w:val="NormalSangra"/>
        <w:ind w:firstLine="0"/>
        <w:rPr>
          <w:sz w:val="22"/>
          <w:szCs w:val="22"/>
        </w:rPr>
      </w:pPr>
    </w:p>
    <w:p w:rsidR="00D47B2F" w:rsidRDefault="00D47B2F" w:rsidP="00B51B51">
      <w:pPr>
        <w:pStyle w:val="NormalSangra"/>
        <w:ind w:firstLine="0"/>
        <w:rPr>
          <w:sz w:val="22"/>
          <w:szCs w:val="22"/>
        </w:rPr>
      </w:pPr>
      <w:r w:rsidRPr="0084724B">
        <w:rPr>
          <w:sz w:val="22"/>
          <w:szCs w:val="22"/>
        </w:rPr>
        <w:lastRenderedPageBreak/>
        <w:t xml:space="preserve">Ambos ríos tienen sus nacientes en </w:t>
      </w:r>
      <w:smartTag w:uri="urn:schemas-microsoft-com:office:smarttags" w:element="PersonName">
        <w:smartTagPr>
          <w:attr w:name="ProductID" w:val="la Cordillera"/>
        </w:smartTagPr>
        <w:r w:rsidRPr="0084724B">
          <w:rPr>
            <w:sz w:val="22"/>
            <w:szCs w:val="22"/>
          </w:rPr>
          <w:t>la Cordillera</w:t>
        </w:r>
      </w:smartTag>
      <w:r w:rsidRPr="0084724B">
        <w:rPr>
          <w:sz w:val="22"/>
          <w:szCs w:val="22"/>
        </w:rPr>
        <w:t xml:space="preserve"> de Los Andes a una cota apr</w:t>
      </w:r>
      <w:r>
        <w:rPr>
          <w:sz w:val="22"/>
          <w:szCs w:val="22"/>
        </w:rPr>
        <w:t>oximada de</w:t>
      </w:r>
      <w:r w:rsidRPr="0084724B">
        <w:rPr>
          <w:sz w:val="22"/>
          <w:szCs w:val="22"/>
        </w:rPr>
        <w:t xml:space="preserve"> 2.700 msnm.</w:t>
      </w:r>
    </w:p>
    <w:p w:rsidR="00B51B51" w:rsidRPr="0084724B" w:rsidRDefault="00B51B51" w:rsidP="00B51B51">
      <w:pPr>
        <w:pStyle w:val="NormalSangra"/>
        <w:ind w:firstLine="0"/>
        <w:rPr>
          <w:sz w:val="22"/>
          <w:szCs w:val="22"/>
        </w:rPr>
      </w:pPr>
    </w:p>
    <w:p w:rsidR="00D47B2F" w:rsidRPr="000A582E" w:rsidRDefault="00D47B2F" w:rsidP="00B51B51">
      <w:pPr>
        <w:pStyle w:val="Ttulo3"/>
      </w:pPr>
      <w:bookmarkStart w:id="11" w:name="_Toc344391727"/>
      <w:r w:rsidRPr="000A582E">
        <w:t>Cuenca del río Rapel</w:t>
      </w:r>
      <w:bookmarkEnd w:id="11"/>
    </w:p>
    <w:p w:rsidR="00D47B2F" w:rsidRPr="000A582E" w:rsidRDefault="00D47B2F" w:rsidP="00B51B51">
      <w:pPr>
        <w:widowControl w:val="0"/>
      </w:pPr>
    </w:p>
    <w:p w:rsidR="00D47B2F" w:rsidRPr="000A582E" w:rsidRDefault="00D47B2F" w:rsidP="00B51B51">
      <w:pPr>
        <w:widowControl w:val="0"/>
      </w:pPr>
      <w:r w:rsidRPr="000A582E">
        <w:t xml:space="preserve">La cuenca del río Rapel tiene su desarrollo entre las latitudes 33°53’ Y 35° </w:t>
      </w:r>
      <w:smartTag w:uri="urn:schemas-microsoft-com:office:smarttags" w:element="metricconverter">
        <w:smartTagPr>
          <w:attr w:name="ProductID" w:val="01’"/>
        </w:smartTagPr>
        <w:r w:rsidRPr="000A582E">
          <w:t>01’</w:t>
        </w:r>
      </w:smartTag>
      <w:r w:rsidRPr="000A582E">
        <w:t xml:space="preserve"> de latitud sur, drenando una hoya de aproximadamente 13</w:t>
      </w:r>
      <w:r>
        <w:t xml:space="preserve"> mil</w:t>
      </w:r>
      <w:r w:rsidRPr="000A582E">
        <w:t xml:space="preserve"> km</w:t>
      </w:r>
      <w:r w:rsidRPr="000A582E">
        <w:rPr>
          <w:vertAlign w:val="superscript"/>
        </w:rPr>
        <w:t>2</w:t>
      </w:r>
      <w:r w:rsidRPr="000A582E">
        <w:t>.</w:t>
      </w:r>
    </w:p>
    <w:p w:rsidR="00D47B2F" w:rsidRPr="000A582E" w:rsidRDefault="00D47B2F" w:rsidP="00B51B51">
      <w:pPr>
        <w:widowControl w:val="0"/>
      </w:pPr>
    </w:p>
    <w:p w:rsidR="00D47B2F" w:rsidRPr="000A582E" w:rsidRDefault="00D47B2F" w:rsidP="00B51B51">
      <w:pPr>
        <w:widowControl w:val="0"/>
      </w:pPr>
      <w:r w:rsidRPr="000A582E">
        <w:t>Su cauce principal</w:t>
      </w:r>
      <w:r>
        <w:t xml:space="preserve"> es</w:t>
      </w:r>
      <w:r w:rsidRPr="000A582E">
        <w:t xml:space="preserve"> el río Rapel</w:t>
      </w:r>
      <w:r>
        <w:t>,</w:t>
      </w:r>
      <w:r w:rsidRPr="000A582E">
        <w:t xml:space="preserve"> de más de </w:t>
      </w:r>
      <w:smartTag w:uri="urn:schemas-microsoft-com:office:smarttags" w:element="metricconverter">
        <w:smartTagPr>
          <w:attr w:name="ProductID" w:val="70 km"/>
        </w:smartTagPr>
        <w:r w:rsidRPr="000A582E">
          <w:t>70 km</w:t>
        </w:r>
      </w:smartTag>
      <w:r w:rsidRPr="000A582E">
        <w:t xml:space="preserve"> de longitud</w:t>
      </w:r>
      <w:r>
        <w:t>, que</w:t>
      </w:r>
      <w:r w:rsidRPr="000A582E">
        <w:t xml:space="preserve"> se forma de la unión de los ríos Cachapoal y </w:t>
      </w:r>
      <w:r w:rsidR="0024776B" w:rsidRPr="000A582E">
        <w:t>Tinguiririca</w:t>
      </w:r>
      <w:r w:rsidRPr="000A582E">
        <w:t xml:space="preserve">, en el lugar denominado </w:t>
      </w:r>
      <w:smartTag w:uri="urn:schemas-microsoft-com:office:smarttags" w:element="PersonName">
        <w:smartTagPr>
          <w:attr w:name="ProductID" w:val="La Junta"/>
        </w:smartTagPr>
        <w:r w:rsidRPr="000A582E">
          <w:t>La Junta</w:t>
        </w:r>
      </w:smartTag>
      <w:r w:rsidRPr="000A582E">
        <w:t>, en las proximidades de la localidad de Las Cabras, con un trazado de orientación general suroeste-noreste</w:t>
      </w:r>
    </w:p>
    <w:p w:rsidR="00D47B2F" w:rsidRPr="000A582E" w:rsidRDefault="00D47B2F" w:rsidP="00B51B51">
      <w:pPr>
        <w:widowControl w:val="0"/>
      </w:pPr>
    </w:p>
    <w:p w:rsidR="00D47B2F" w:rsidRPr="000A582E" w:rsidRDefault="00D47B2F" w:rsidP="00B51B51">
      <w:pPr>
        <w:widowControl w:val="0"/>
      </w:pPr>
      <w:r w:rsidRPr="000A582E">
        <w:t xml:space="preserve">La confluencia de ambos cauces se produce en </w:t>
      </w:r>
      <w:smartTag w:uri="urn:schemas-microsoft-com:office:smarttags" w:element="PersonName">
        <w:smartTagPr>
          <w:attr w:name="ProductID" w:val="la Cordillera"/>
        </w:smartTagPr>
        <w:r w:rsidRPr="000A582E">
          <w:t>la Cordillera</w:t>
        </w:r>
      </w:smartTag>
      <w:r w:rsidRPr="000A582E">
        <w:t xml:space="preserve"> de </w:t>
      </w:r>
      <w:smartTag w:uri="urn:schemas-microsoft-com:office:smarttags" w:element="PersonName">
        <w:smartTagPr>
          <w:attr w:name="ProductID" w:val="la Costa"/>
        </w:smartTagPr>
        <w:r w:rsidRPr="000A582E">
          <w:t>la Costa</w:t>
        </w:r>
      </w:smartTag>
      <w:r w:rsidRPr="000A582E">
        <w:t xml:space="preserve">, luego de que ambos ríos han cruzado el valle central, desde sus nacientes que se emplazan en la zona alta de </w:t>
      </w:r>
      <w:smartTag w:uri="urn:schemas-microsoft-com:office:smarttags" w:element="PersonName">
        <w:smartTagPr>
          <w:attr w:name="ProductID" w:val="la Cordillera"/>
        </w:smartTagPr>
        <w:r w:rsidRPr="000A582E">
          <w:t>la Cordillera</w:t>
        </w:r>
      </w:smartTag>
      <w:r w:rsidRPr="000A582E">
        <w:t xml:space="preserve"> de Los Andes.</w:t>
      </w:r>
    </w:p>
    <w:p w:rsidR="00D47B2F" w:rsidRPr="000A582E" w:rsidRDefault="00D47B2F" w:rsidP="00B51B51">
      <w:pPr>
        <w:widowControl w:val="0"/>
      </w:pPr>
    </w:p>
    <w:p w:rsidR="00D47B2F" w:rsidRPr="000A582E" w:rsidRDefault="00D47B2F" w:rsidP="00B51B51">
      <w:pPr>
        <w:widowControl w:val="0"/>
      </w:pPr>
      <w:r>
        <w:t xml:space="preserve">Aguas abajo de </w:t>
      </w:r>
      <w:smartTag w:uri="urn:schemas-microsoft-com:office:smarttags" w:element="PersonName">
        <w:smartTagPr>
          <w:attr w:name="ProductID" w:val="La Junta"/>
        </w:smartTagPr>
        <w:r>
          <w:t>La Junta</w:t>
        </w:r>
      </w:smartTag>
      <w:r>
        <w:t>, el río Rapel</w:t>
      </w:r>
      <w:r w:rsidRPr="000A582E">
        <w:t xml:space="preserve"> presenta un recorrido hacia el noro</w:t>
      </w:r>
      <w:r>
        <w:t>este</w:t>
      </w:r>
      <w:r w:rsidRPr="000A582E">
        <w:t xml:space="preserve"> hasta su desembocadura en el Océano Pacífico</w:t>
      </w:r>
      <w:r>
        <w:t>,</w:t>
      </w:r>
      <w:r w:rsidRPr="000A582E">
        <w:t xml:space="preserve"> cerca de la localidad de Navidad. Destaca la presencia </w:t>
      </w:r>
      <w:r>
        <w:t xml:space="preserve">del </w:t>
      </w:r>
      <w:r w:rsidRPr="000A582E">
        <w:t>Embalse Rapel como obra de regulación.</w:t>
      </w:r>
      <w:r>
        <w:t xml:space="preserve"> </w:t>
      </w:r>
      <w:r w:rsidRPr="000A582E">
        <w:t>En todo su recorrido recibe como afluentes principales</w:t>
      </w:r>
      <w:r>
        <w:t>,</w:t>
      </w:r>
      <w:r w:rsidRPr="000A582E">
        <w:t xml:space="preserve"> además de los ríos Cachapoal y Tingu</w:t>
      </w:r>
      <w:r>
        <w:t>i</w:t>
      </w:r>
      <w:r w:rsidRPr="000A582E">
        <w:t>ririca</w:t>
      </w:r>
      <w:r>
        <w:t>,</w:t>
      </w:r>
      <w:r w:rsidRPr="000A582E">
        <w:t xml:space="preserve"> a los esteros</w:t>
      </w:r>
      <w:r>
        <w:t xml:space="preserve"> Alhué</w:t>
      </w:r>
      <w:r w:rsidRPr="000A582E">
        <w:t xml:space="preserve"> y </w:t>
      </w:r>
      <w:smartTag w:uri="urn:schemas-microsoft-com:office:smarttags" w:element="PersonName">
        <w:smartTagPr>
          <w:attr w:name="ProductID" w:val="La Palma."/>
        </w:smartTagPr>
        <w:r w:rsidRPr="000A582E">
          <w:t>La Palma.</w:t>
        </w:r>
      </w:smartTag>
    </w:p>
    <w:p w:rsidR="00D47B2F" w:rsidRPr="000A582E" w:rsidRDefault="00D47B2F" w:rsidP="00B51B51">
      <w:pPr>
        <w:widowControl w:val="0"/>
      </w:pPr>
    </w:p>
    <w:p w:rsidR="00D47B2F" w:rsidRPr="000A582E" w:rsidRDefault="00D47B2F" w:rsidP="00B51B51">
      <w:pPr>
        <w:widowControl w:val="0"/>
      </w:pPr>
      <w:r w:rsidRPr="000A582E">
        <w:t>El río Cachapoal nace en el cerro Piuquenes, aproximadamente sobre los 4.460 msnsm</w:t>
      </w:r>
      <w:r>
        <w:t>,</w:t>
      </w:r>
      <w:r w:rsidRPr="000A582E">
        <w:t xml:space="preserve"> a partir de un conjunto de ventisqueros que los alimentan.</w:t>
      </w:r>
    </w:p>
    <w:p w:rsidR="00D47B2F" w:rsidRPr="000A582E" w:rsidRDefault="00D47B2F" w:rsidP="00B51B51">
      <w:pPr>
        <w:widowControl w:val="0"/>
      </w:pPr>
    </w:p>
    <w:p w:rsidR="00D47B2F" w:rsidRPr="000A582E" w:rsidRDefault="00D47B2F" w:rsidP="00B51B51">
      <w:pPr>
        <w:widowControl w:val="0"/>
      </w:pPr>
      <w:r w:rsidRPr="000A582E">
        <w:t>En todo su recorrido recibe el aporte de importantes afluentes</w:t>
      </w:r>
      <w:r>
        <w:t>,</w:t>
      </w:r>
      <w:r w:rsidRPr="000A582E">
        <w:t xml:space="preserve"> entre los que destacan los ríos Las Leñas, Cortaderal, Cipreses, Claro de Rengo y Zamorano y los esteros Pangal y Coya.</w:t>
      </w:r>
    </w:p>
    <w:p w:rsidR="00D47B2F" w:rsidRPr="000A582E" w:rsidRDefault="00D47B2F" w:rsidP="00B51B51">
      <w:pPr>
        <w:widowControl w:val="0"/>
      </w:pPr>
    </w:p>
    <w:p w:rsidR="00D47B2F" w:rsidRPr="000A582E" w:rsidRDefault="0024776B" w:rsidP="00B51B51">
      <w:pPr>
        <w:widowControl w:val="0"/>
      </w:pPr>
      <w:r>
        <w:t>Por su parte el río Tinguiriri</w:t>
      </w:r>
      <w:r w:rsidR="00D47B2F" w:rsidRPr="000A582E">
        <w:t>ca nace en el sector del Volcán Llamas bajo el nombre del río de Las Damas.</w:t>
      </w:r>
    </w:p>
    <w:p w:rsidR="00D47B2F" w:rsidRPr="000A582E" w:rsidRDefault="00D47B2F" w:rsidP="00B51B51">
      <w:pPr>
        <w:widowControl w:val="0"/>
      </w:pPr>
    </w:p>
    <w:p w:rsidR="00D47B2F" w:rsidRPr="000A582E" w:rsidRDefault="00D47B2F" w:rsidP="00B51B51">
      <w:pPr>
        <w:widowControl w:val="0"/>
      </w:pPr>
      <w:r w:rsidRPr="000A582E">
        <w:t>A lo largo de su recorrido recibe como afluentes en la sección alta a los ríos del Azufre, Clarillo y en la sección media a los ríos Claro y estero Chimbarongo.</w:t>
      </w:r>
    </w:p>
    <w:p w:rsidR="00D47B2F" w:rsidRPr="000A582E" w:rsidRDefault="00D47B2F" w:rsidP="00B51B51">
      <w:pPr>
        <w:widowControl w:val="0"/>
      </w:pPr>
    </w:p>
    <w:p w:rsidR="00D47B2F" w:rsidRPr="000A582E" w:rsidRDefault="00D47B2F" w:rsidP="00B51B51">
      <w:pPr>
        <w:pStyle w:val="Ttulo3"/>
      </w:pPr>
      <w:bookmarkStart w:id="12" w:name="_Toc344391728"/>
      <w:r w:rsidRPr="000A582E">
        <w:t>Cuencas Costeras Rapel- Estero Nilahue</w:t>
      </w:r>
      <w:bookmarkEnd w:id="12"/>
    </w:p>
    <w:p w:rsidR="00D47B2F" w:rsidRPr="000A582E" w:rsidRDefault="00D47B2F" w:rsidP="00B51B51">
      <w:pPr>
        <w:widowControl w:val="0"/>
      </w:pPr>
    </w:p>
    <w:p w:rsidR="00D47B2F" w:rsidRPr="000A582E" w:rsidRDefault="00D47B2F" w:rsidP="00B51B51">
      <w:pPr>
        <w:widowControl w:val="0"/>
      </w:pPr>
      <w:r w:rsidRPr="000A582E">
        <w:t>Las cuencas costeras Rapel-Estero Nilahue posee</w:t>
      </w:r>
      <w:r>
        <w:t>n</w:t>
      </w:r>
      <w:r w:rsidRPr="000A582E">
        <w:t xml:space="preserve"> una superficie de aproximadamente 3.397 km</w:t>
      </w:r>
      <w:r w:rsidRPr="000A582E">
        <w:rPr>
          <w:vertAlign w:val="superscript"/>
        </w:rPr>
        <w:t>2</w:t>
      </w:r>
      <w:r w:rsidRPr="000A582E">
        <w:t>, desarrollándose inmediatamente al sur de la cuenca del río Rapel.</w:t>
      </w:r>
    </w:p>
    <w:p w:rsidR="00D47B2F" w:rsidRPr="000A582E" w:rsidRDefault="00D47B2F" w:rsidP="00B51B51">
      <w:pPr>
        <w:widowControl w:val="0"/>
      </w:pPr>
    </w:p>
    <w:p w:rsidR="00D47B2F" w:rsidRPr="000A582E" w:rsidRDefault="00D47B2F" w:rsidP="00B51B51">
      <w:pPr>
        <w:widowControl w:val="0"/>
      </w:pPr>
      <w:r>
        <w:t>Esta cuenca presenta como cauce principal al estero</w:t>
      </w:r>
      <w:r w:rsidRPr="000A582E">
        <w:t xml:space="preserve"> Nilahue</w:t>
      </w:r>
      <w:r>
        <w:t>,</w:t>
      </w:r>
      <w:r w:rsidRPr="000A582E">
        <w:t xml:space="preserve"> el cual tiene su nacimiento a unos </w:t>
      </w:r>
      <w:smartTag w:uri="urn:schemas-microsoft-com:office:smarttags" w:element="metricconverter">
        <w:smartTagPr>
          <w:attr w:name="ProductID" w:val="60 km"/>
        </w:smartTagPr>
        <w:r w:rsidRPr="000A582E">
          <w:t>60 km</w:t>
        </w:r>
      </w:smartTag>
      <w:r>
        <w:t xml:space="preserve"> al sur de Pichilemu: P</w:t>
      </w:r>
      <w:r w:rsidRPr="000A582E">
        <w:t xml:space="preserve">osee dirección sur a norte en casi la totalidad de su recorrido y desemboca en la localidad de Cáhuil, ubicada a unos </w:t>
      </w:r>
      <w:smartTag w:uri="urn:schemas-microsoft-com:office:smarttags" w:element="metricconverter">
        <w:smartTagPr>
          <w:attr w:name="ProductID" w:val="10 km"/>
        </w:smartTagPr>
        <w:r w:rsidRPr="000A582E">
          <w:t>10 km</w:t>
        </w:r>
      </w:smartTag>
      <w:r w:rsidRPr="000A582E">
        <w:t xml:space="preserve"> al sur de Pichilemu.</w:t>
      </w:r>
    </w:p>
    <w:p w:rsidR="00D47B2F" w:rsidRPr="000A582E" w:rsidRDefault="00D47B2F" w:rsidP="00B51B51">
      <w:pPr>
        <w:widowControl w:val="0"/>
      </w:pPr>
    </w:p>
    <w:p w:rsidR="00D47B2F" w:rsidRPr="000A582E" w:rsidRDefault="00D47B2F" w:rsidP="00B51B51">
      <w:pPr>
        <w:pStyle w:val="Ttulo2"/>
        <w:keepNext w:val="0"/>
      </w:pPr>
      <w:bookmarkStart w:id="13" w:name="_Toc338179078"/>
      <w:bookmarkStart w:id="14" w:name="_Toc344391729"/>
      <w:r w:rsidRPr="000A582E">
        <w:t>Contenido del Informe</w:t>
      </w:r>
      <w:bookmarkEnd w:id="13"/>
      <w:bookmarkEnd w:id="14"/>
    </w:p>
    <w:p w:rsidR="00D47B2F" w:rsidRPr="000A582E" w:rsidRDefault="00D47B2F" w:rsidP="00B51B51">
      <w:pPr>
        <w:widowControl w:val="0"/>
      </w:pPr>
    </w:p>
    <w:p w:rsidR="000240CE" w:rsidRPr="00C624DE" w:rsidRDefault="000240CE" w:rsidP="000240CE">
      <w:r w:rsidRPr="00C624DE">
        <w:t xml:space="preserve">El presente documento corresponde al informe de Etapa </w:t>
      </w:r>
      <w:r>
        <w:t>3</w:t>
      </w:r>
      <w:r w:rsidRPr="00C624DE">
        <w:t xml:space="preserve"> del estudio de la referencia el cual</w:t>
      </w:r>
      <w:r>
        <w:t xml:space="preserve"> da cuenta de los resultados de los </w:t>
      </w:r>
      <w:r w:rsidRPr="00C624DE">
        <w:t xml:space="preserve"> </w:t>
      </w:r>
      <w:r>
        <w:t>h</w:t>
      </w:r>
      <w:r w:rsidRPr="00C624DE">
        <w:t>ito</w:t>
      </w:r>
      <w:r>
        <w:t>s</w:t>
      </w:r>
      <w:r w:rsidRPr="00C624DE">
        <w:t xml:space="preserve"> de </w:t>
      </w:r>
      <w:r>
        <w:t>Balance Oferta-Demanda, Propuesta de Soluciones, Conclusiones e Informe Final.</w:t>
      </w:r>
    </w:p>
    <w:p w:rsidR="000240CE" w:rsidRPr="00C624DE" w:rsidRDefault="000240CE" w:rsidP="000240CE"/>
    <w:p w:rsidR="000240CE" w:rsidRPr="00C624DE" w:rsidRDefault="000240CE" w:rsidP="000240CE">
      <w:r w:rsidRPr="00C624DE">
        <w:lastRenderedPageBreak/>
        <w:t xml:space="preserve">Este informe se ha organizado en </w:t>
      </w:r>
      <w:r>
        <w:t>8</w:t>
      </w:r>
      <w:r w:rsidRPr="00C624DE">
        <w:t xml:space="preserve"> capítulos principales y anexo</w:t>
      </w:r>
      <w:r>
        <w:t>s</w:t>
      </w:r>
      <w:r w:rsidRPr="00C624DE">
        <w:t>.</w:t>
      </w:r>
    </w:p>
    <w:p w:rsidR="000240CE" w:rsidRPr="00C624DE" w:rsidRDefault="000240CE" w:rsidP="000240CE"/>
    <w:p w:rsidR="000240CE" w:rsidRPr="00C624DE" w:rsidRDefault="004D69DE" w:rsidP="000240CE">
      <w:r>
        <w:t>El Capí</w:t>
      </w:r>
      <w:r w:rsidR="000240CE" w:rsidRPr="00C624DE">
        <w:t>tulo 1</w:t>
      </w:r>
      <w:r w:rsidR="000240CE">
        <w:t xml:space="preserve"> </w:t>
      </w:r>
      <w:r w:rsidR="000240CE" w:rsidRPr="00C624DE">
        <w:t xml:space="preserve">corresponde al capítulo introductorio </w:t>
      </w:r>
      <w:r w:rsidR="000240CE">
        <w:t xml:space="preserve">en donde </w:t>
      </w:r>
      <w:r w:rsidR="000240CE" w:rsidRPr="00C624DE">
        <w:t>se presenta una descripción de la problemática a resolver, objetivos y descripción del área de estudio.</w:t>
      </w:r>
    </w:p>
    <w:p w:rsidR="000240CE" w:rsidRPr="00C624DE" w:rsidRDefault="000240CE" w:rsidP="000240CE"/>
    <w:p w:rsidR="000240CE" w:rsidRPr="00C624DE" w:rsidRDefault="004D69DE" w:rsidP="000240CE">
      <w:pPr>
        <w:rPr>
          <w:rFonts w:cs="Arial"/>
          <w:szCs w:val="22"/>
        </w:rPr>
      </w:pPr>
      <w:r>
        <w:t>En el Capí</w:t>
      </w:r>
      <w:r w:rsidR="000240CE" w:rsidRPr="00C624DE">
        <w:t xml:space="preserve">tulo 2 se presentan los resultados de la recopilación y análisis de antecedentes de interés que han sido consultados para el desarrollo de la presente consultoría. Se presenta la identificación de las fuentes documentales consultadas y junto con ello se entrega un análisis de la información dando cuenta de su utilidad para el presente estudio </w:t>
      </w:r>
      <w:r w:rsidR="000240CE" w:rsidRPr="00C624DE">
        <w:rPr>
          <w:rFonts w:cs="Arial"/>
          <w:szCs w:val="22"/>
        </w:rPr>
        <w:t>según áreas temáticas de interés.</w:t>
      </w:r>
    </w:p>
    <w:p w:rsidR="000240CE" w:rsidRPr="00C624DE" w:rsidRDefault="000240CE" w:rsidP="000240CE"/>
    <w:p w:rsidR="000240CE" w:rsidRDefault="000240CE" w:rsidP="000240CE">
      <w:r>
        <w:t>En el Capítulo 3 se refiera a  la descripción del Marco Geológico e Hidrogeológico en el cual se analizaron aspectos relativos a la geología e hidrogeología de los acuíferos, mecanismos de recarga y descarga y determinación de la disponibilidad.</w:t>
      </w:r>
    </w:p>
    <w:p w:rsidR="000240CE" w:rsidRDefault="000240CE" w:rsidP="000240CE"/>
    <w:p w:rsidR="000240CE" w:rsidRDefault="000240CE" w:rsidP="000240CE">
      <w:r>
        <w:t xml:space="preserve">En el Capítulo 4 se presentan los resultados de  </w:t>
      </w:r>
      <w:smartTag w:uri="urn:schemas-microsoft-com:office:smarttags" w:element="PersonName">
        <w:smartTagPr>
          <w:attr w:name="ProductID" w:val="la Caracterización Hidrológica"/>
        </w:smartTagPr>
        <w:r>
          <w:t>la Caracterización Hidrológica</w:t>
        </w:r>
      </w:smartTag>
      <w:r>
        <w:t xml:space="preserve"> la cual estuvo orientada a la estimación de caudales medios mensuales para distintas probabilidades de excedencia a nivel de las subcuencas de </w:t>
      </w:r>
      <w:smartTag w:uri="urn:schemas-microsoft-com:office:smarttags" w:element="PersonName">
        <w:smartTagPr>
          <w:attr w:name="ProductID" w:val="la Región"/>
        </w:smartTagPr>
        <w:r>
          <w:t>la Región</w:t>
        </w:r>
      </w:smartTag>
      <w:r w:rsidR="0024776B">
        <w:t xml:space="preserve"> del Libertador Bernardo O’</w:t>
      </w:r>
      <w:r w:rsidR="0024776B" w:rsidRPr="000A582E">
        <w:t>Higgins</w:t>
      </w:r>
      <w:r>
        <w:t>.</w:t>
      </w:r>
    </w:p>
    <w:p w:rsidR="000240CE" w:rsidRDefault="000240CE" w:rsidP="000240CE"/>
    <w:p w:rsidR="000240CE" w:rsidRPr="00C624DE" w:rsidRDefault="000240CE" w:rsidP="000240CE">
      <w:r>
        <w:t>En el Capítulo 5 contiene la estimación de las demandas para los sectores de riego, agua potable, minería e industria para la situación actual definida al año 2012 y para la situación futura proyectada al año 2030. Dicha caracterización consideró una aproximación de las demandas basada en la información de derechos de aprovechamientos de aguas superficiales y subterráneos y estimaciones basadas en estudios.</w:t>
      </w:r>
    </w:p>
    <w:p w:rsidR="000240CE" w:rsidRDefault="000240CE" w:rsidP="000240CE"/>
    <w:p w:rsidR="000240CE" w:rsidRDefault="000240CE" w:rsidP="000240CE">
      <w:r>
        <w:t>En el Capítulo 6 se presentan los resultados del balance oferta oferta-demanda a nivel de subcuencas teniendo como base los antecedentes generados previamente en la caracterización hidrológica, hidrogeológica y de demandas.</w:t>
      </w:r>
    </w:p>
    <w:p w:rsidR="000240CE" w:rsidRDefault="000240CE" w:rsidP="000240CE"/>
    <w:p w:rsidR="000240CE" w:rsidRDefault="000240CE" w:rsidP="000240CE">
      <w:r>
        <w:t>Teniendo como base los resultados del balance, en el Capítulo 7 se plantea una propuesta de soluciones relacionadas con el déficit o superávit del recurso hídrico a nivel se subcuencas.</w:t>
      </w:r>
    </w:p>
    <w:p w:rsidR="000240CE" w:rsidRPr="00C624DE" w:rsidRDefault="000240CE" w:rsidP="000240CE"/>
    <w:p w:rsidR="000240CE" w:rsidRPr="007972B1" w:rsidRDefault="000240CE" w:rsidP="000240CE">
      <w:r w:rsidRPr="007972B1">
        <w:t>Finalmente, en el Capítulo 8 se entr</w:t>
      </w:r>
      <w:r>
        <w:t>egan un resumen y conclusiones del presente estudio</w:t>
      </w:r>
      <w:r w:rsidRPr="007972B1">
        <w:t xml:space="preserve"> de forma tal que éste se constituya en una</w:t>
      </w:r>
      <w:r>
        <w:t xml:space="preserve"> </w:t>
      </w:r>
      <w:r w:rsidRPr="007972B1">
        <w:t>herramienta de gestión efectiva</w:t>
      </w:r>
      <w:r>
        <w:t xml:space="preserve"> para </w:t>
      </w:r>
      <w:smartTag w:uri="urn:schemas-microsoft-com:office:smarttags" w:element="PersonName">
        <w:smartTagPr>
          <w:attr w:name="ProductID" w:val="la Dirección General"/>
        </w:smartTagPr>
        <w:r>
          <w:t>la Dirección General</w:t>
        </w:r>
      </w:smartTag>
      <w:r>
        <w:t xml:space="preserve"> de Aguas (DGA) del Ministerio de Obras Públicas.</w:t>
      </w:r>
    </w:p>
    <w:p w:rsidR="00D47B2F" w:rsidRPr="000A582E" w:rsidRDefault="00D47B2F" w:rsidP="00B51B51">
      <w:pPr>
        <w:widowControl w:val="0"/>
      </w:pPr>
    </w:p>
    <w:p w:rsidR="00D47B2F" w:rsidRPr="000A582E" w:rsidRDefault="00D47B2F" w:rsidP="00B51B51">
      <w:pPr>
        <w:pStyle w:val="Epgrafe"/>
        <w:widowControl w:val="0"/>
      </w:pPr>
      <w:r w:rsidRPr="000A582E">
        <w:br w:type="page"/>
      </w:r>
      <w:bookmarkStart w:id="15" w:name="_Ref331754376"/>
      <w:r w:rsidRPr="000A582E">
        <w:lastRenderedPageBreak/>
        <w:t xml:space="preserve">Figura </w:t>
      </w:r>
      <w:r w:rsidR="00951FEC">
        <w:fldChar w:fldCharType="begin"/>
      </w:r>
      <w:r w:rsidR="00951FEC">
        <w:instrText xml:space="preserve"> STYLEREF 1 \s </w:instrText>
      </w:r>
      <w:r w:rsidR="00951FEC">
        <w:fldChar w:fldCharType="separate"/>
      </w:r>
      <w:r w:rsidR="00264070">
        <w:rPr>
          <w:noProof/>
        </w:rPr>
        <w:t>1</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w:t>
      </w:r>
      <w:r w:rsidR="00951FEC">
        <w:fldChar w:fldCharType="end"/>
      </w:r>
      <w:bookmarkEnd w:id="15"/>
      <w:r>
        <w:t xml:space="preserve"> Á</w:t>
      </w:r>
      <w:r w:rsidRPr="000A582E">
        <w:t>rea de Estudio</w:t>
      </w: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Pr="000A582E" w:rsidRDefault="00D47B2F" w:rsidP="00B51B51">
      <w:pPr>
        <w:widowControl w:val="0"/>
      </w:pPr>
    </w:p>
    <w:p w:rsidR="00D47B2F" w:rsidRDefault="00D47B2F" w:rsidP="00B51B51">
      <w:pPr>
        <w:pStyle w:val="Ttulo1"/>
        <w:keepNext w:val="0"/>
        <w:widowControl w:val="0"/>
      </w:pPr>
      <w:r w:rsidRPr="000A582E">
        <w:br w:type="page"/>
      </w:r>
      <w:bookmarkStart w:id="16" w:name="_Toc338179079"/>
      <w:bookmarkStart w:id="17" w:name="_Toc344391730"/>
      <w:r w:rsidRPr="00D84361">
        <w:lastRenderedPageBreak/>
        <w:t>REVISIÓN Y ANÁLISIS DE ANTECEDENTES</w:t>
      </w:r>
      <w:bookmarkEnd w:id="16"/>
      <w:bookmarkEnd w:id="17"/>
    </w:p>
    <w:p w:rsidR="009356E4" w:rsidRPr="009356E4" w:rsidRDefault="009356E4" w:rsidP="00B51B51">
      <w:pPr>
        <w:widowControl w:val="0"/>
      </w:pPr>
    </w:p>
    <w:p w:rsidR="00D47B2F" w:rsidRPr="000A582E" w:rsidRDefault="00D47B2F" w:rsidP="00B51B51">
      <w:pPr>
        <w:pStyle w:val="Ttulo2"/>
        <w:keepNext w:val="0"/>
      </w:pPr>
      <w:bookmarkStart w:id="18" w:name="_Toc338179080"/>
      <w:bookmarkStart w:id="19" w:name="_Toc344391731"/>
      <w:r w:rsidRPr="000A582E">
        <w:t>Alcances</w:t>
      </w:r>
      <w:bookmarkEnd w:id="18"/>
      <w:bookmarkEnd w:id="19"/>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En el presente Capítulo se presenta una completa revisión de los antecedentes técnicos que servirán de base para el desarrollo del presente estudio, los cuales han sido recabados en instituciones </w:t>
      </w:r>
      <w:r>
        <w:rPr>
          <w:rFonts w:cs="Arial"/>
          <w:szCs w:val="22"/>
        </w:rPr>
        <w:t xml:space="preserve">tanto </w:t>
      </w:r>
      <w:r w:rsidRPr="000A582E">
        <w:rPr>
          <w:rFonts w:cs="Arial"/>
          <w:szCs w:val="22"/>
        </w:rPr>
        <w:t>de nivel central como regional.</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Las instituciones consultadas han sido las siguientes:</w:t>
      </w:r>
    </w:p>
    <w:p w:rsidR="00D47B2F" w:rsidRPr="000A582E" w:rsidRDefault="00D47B2F" w:rsidP="00B51B51">
      <w:pPr>
        <w:widowControl w:val="0"/>
        <w:rPr>
          <w:rFonts w:cs="Arial"/>
          <w:szCs w:val="22"/>
        </w:rPr>
      </w:pPr>
    </w:p>
    <w:p w:rsidR="00D47B2F" w:rsidRPr="000A582E" w:rsidRDefault="00D47B2F" w:rsidP="00145762">
      <w:pPr>
        <w:widowControl w:val="0"/>
        <w:numPr>
          <w:ilvl w:val="0"/>
          <w:numId w:val="21"/>
        </w:numPr>
        <w:rPr>
          <w:rFonts w:cs="Arial"/>
          <w:szCs w:val="22"/>
        </w:rPr>
      </w:pPr>
      <w:r w:rsidRPr="000A582E">
        <w:rPr>
          <w:rFonts w:cs="Arial"/>
          <w:szCs w:val="22"/>
        </w:rPr>
        <w:t>Dirección General de Aguas del Min</w:t>
      </w:r>
      <w:r w:rsidR="00B75DDD">
        <w:rPr>
          <w:rFonts w:cs="Arial"/>
          <w:szCs w:val="22"/>
        </w:rPr>
        <w:t>isterio de Obras Públicas (DGA)</w:t>
      </w:r>
    </w:p>
    <w:p w:rsidR="00D47B2F" w:rsidRPr="000A582E" w:rsidRDefault="00D47B2F" w:rsidP="00145762">
      <w:pPr>
        <w:widowControl w:val="0"/>
        <w:numPr>
          <w:ilvl w:val="0"/>
          <w:numId w:val="21"/>
        </w:numPr>
        <w:rPr>
          <w:rFonts w:cs="Arial"/>
          <w:szCs w:val="22"/>
        </w:rPr>
      </w:pPr>
      <w:r w:rsidRPr="000A582E">
        <w:rPr>
          <w:rFonts w:cs="Arial"/>
          <w:szCs w:val="22"/>
        </w:rPr>
        <w:t>Dirección de Obras Hidráulicas del Ministerio de Obras Públicas (</w:t>
      </w:r>
      <w:r w:rsidRPr="000A582E">
        <w:rPr>
          <w:rFonts w:cs="Arial"/>
          <w:color w:val="000000"/>
          <w:szCs w:val="22"/>
        </w:rPr>
        <w:t>DOH)</w:t>
      </w:r>
    </w:p>
    <w:p w:rsidR="00D47B2F" w:rsidRPr="000A582E" w:rsidRDefault="00D47B2F" w:rsidP="00145762">
      <w:pPr>
        <w:widowControl w:val="0"/>
        <w:numPr>
          <w:ilvl w:val="0"/>
          <w:numId w:val="21"/>
        </w:numPr>
        <w:rPr>
          <w:rFonts w:cs="Arial"/>
          <w:szCs w:val="22"/>
        </w:rPr>
      </w:pPr>
      <w:r w:rsidRPr="000A582E">
        <w:rPr>
          <w:rFonts w:cs="Arial"/>
          <w:szCs w:val="22"/>
        </w:rPr>
        <w:t>Superintendencia</w:t>
      </w:r>
      <w:r w:rsidR="00B75DDD">
        <w:rPr>
          <w:rFonts w:cs="Arial"/>
          <w:szCs w:val="22"/>
        </w:rPr>
        <w:t xml:space="preserve"> de Servicios Sanitarios (SISS)</w:t>
      </w:r>
    </w:p>
    <w:p w:rsidR="00D47B2F" w:rsidRPr="000A582E" w:rsidRDefault="00D47B2F" w:rsidP="00145762">
      <w:pPr>
        <w:widowControl w:val="0"/>
        <w:numPr>
          <w:ilvl w:val="0"/>
          <w:numId w:val="21"/>
        </w:numPr>
        <w:rPr>
          <w:rFonts w:cs="Arial"/>
          <w:szCs w:val="22"/>
        </w:rPr>
      </w:pPr>
      <w:r w:rsidRPr="000A582E">
        <w:rPr>
          <w:rFonts w:cs="Arial"/>
          <w:szCs w:val="22"/>
        </w:rPr>
        <w:t>Mini</w:t>
      </w:r>
      <w:r w:rsidR="00B75DDD">
        <w:rPr>
          <w:rFonts w:cs="Arial"/>
          <w:szCs w:val="22"/>
        </w:rPr>
        <w:t>sterio de Agricultura (MINAGRI)</w:t>
      </w:r>
    </w:p>
    <w:p w:rsidR="00D47B2F" w:rsidRPr="000A582E" w:rsidRDefault="00D47B2F" w:rsidP="00145762">
      <w:pPr>
        <w:widowControl w:val="0"/>
        <w:numPr>
          <w:ilvl w:val="0"/>
          <w:numId w:val="21"/>
        </w:numPr>
        <w:rPr>
          <w:rFonts w:cs="Arial"/>
          <w:szCs w:val="22"/>
        </w:rPr>
      </w:pPr>
      <w:r w:rsidRPr="000A582E">
        <w:rPr>
          <w:rFonts w:cs="Arial"/>
          <w:szCs w:val="22"/>
        </w:rPr>
        <w:t>C</w:t>
      </w:r>
      <w:r w:rsidR="00B75DDD">
        <w:rPr>
          <w:rFonts w:cs="Arial"/>
          <w:szCs w:val="22"/>
        </w:rPr>
        <w:t>omisión Nacional de Riego (CNR)</w:t>
      </w:r>
    </w:p>
    <w:p w:rsidR="00D47B2F" w:rsidRPr="000A582E" w:rsidRDefault="00D47B2F" w:rsidP="00145762">
      <w:pPr>
        <w:widowControl w:val="0"/>
        <w:numPr>
          <w:ilvl w:val="0"/>
          <w:numId w:val="21"/>
        </w:numPr>
        <w:rPr>
          <w:rFonts w:cs="Arial"/>
          <w:szCs w:val="22"/>
        </w:rPr>
      </w:pPr>
      <w:r w:rsidRPr="000A582E">
        <w:rPr>
          <w:rFonts w:cs="Arial"/>
          <w:szCs w:val="22"/>
        </w:rPr>
        <w:t>Centro de Informació</w:t>
      </w:r>
      <w:r w:rsidR="00B75DDD">
        <w:rPr>
          <w:rFonts w:cs="Arial"/>
          <w:szCs w:val="22"/>
        </w:rPr>
        <w:t>n de Recursos Naturales (CIREN)</w:t>
      </w:r>
    </w:p>
    <w:p w:rsidR="00D47B2F" w:rsidRPr="000A582E" w:rsidRDefault="00D47B2F" w:rsidP="00145762">
      <w:pPr>
        <w:widowControl w:val="0"/>
        <w:numPr>
          <w:ilvl w:val="0"/>
          <w:numId w:val="21"/>
        </w:numPr>
        <w:rPr>
          <w:rFonts w:cs="Arial"/>
          <w:szCs w:val="22"/>
        </w:rPr>
      </w:pPr>
      <w:r w:rsidRPr="000A582E">
        <w:rPr>
          <w:rFonts w:cs="Arial"/>
          <w:szCs w:val="22"/>
        </w:rPr>
        <w:t>Servicio Nacional de Geología y Minería (</w:t>
      </w:r>
      <w:r w:rsidRPr="000A582E">
        <w:rPr>
          <w:rFonts w:cs="Arial"/>
          <w:color w:val="000000"/>
          <w:szCs w:val="22"/>
        </w:rPr>
        <w:t>SERNAGEOMIN)</w:t>
      </w:r>
    </w:p>
    <w:p w:rsidR="00D47B2F" w:rsidRPr="000A582E" w:rsidRDefault="00D47B2F" w:rsidP="00145762">
      <w:pPr>
        <w:widowControl w:val="0"/>
        <w:numPr>
          <w:ilvl w:val="0"/>
          <w:numId w:val="21"/>
        </w:numPr>
        <w:rPr>
          <w:rFonts w:cs="Arial"/>
          <w:szCs w:val="22"/>
        </w:rPr>
      </w:pPr>
      <w:r w:rsidRPr="000A582E">
        <w:rPr>
          <w:rFonts w:cs="Arial"/>
          <w:color w:val="000000"/>
          <w:szCs w:val="22"/>
        </w:rPr>
        <w:t>Centro de Despacho Económico de Carga (CDEC)</w:t>
      </w:r>
    </w:p>
    <w:p w:rsidR="00D47B2F" w:rsidRPr="000A582E" w:rsidRDefault="00D47B2F" w:rsidP="00145762">
      <w:pPr>
        <w:widowControl w:val="0"/>
        <w:numPr>
          <w:ilvl w:val="0"/>
          <w:numId w:val="21"/>
        </w:numPr>
        <w:rPr>
          <w:rFonts w:cs="Arial"/>
          <w:szCs w:val="22"/>
        </w:rPr>
      </w:pPr>
      <w:r w:rsidRPr="000A582E">
        <w:rPr>
          <w:rFonts w:cs="Arial"/>
          <w:color w:val="000000"/>
          <w:szCs w:val="22"/>
        </w:rPr>
        <w:t>Comisión Nacional de Energía (CNE)</w:t>
      </w:r>
    </w:p>
    <w:p w:rsidR="00D47B2F" w:rsidRPr="000A582E" w:rsidRDefault="00D47B2F" w:rsidP="00145762">
      <w:pPr>
        <w:widowControl w:val="0"/>
        <w:numPr>
          <w:ilvl w:val="0"/>
          <w:numId w:val="21"/>
        </w:numPr>
        <w:rPr>
          <w:rFonts w:cs="Arial"/>
          <w:szCs w:val="22"/>
        </w:rPr>
      </w:pPr>
      <w:r w:rsidRPr="000A582E">
        <w:rPr>
          <w:rFonts w:cs="Arial"/>
          <w:color w:val="000000"/>
          <w:szCs w:val="22"/>
        </w:rPr>
        <w:t>Comisión Chilena del Cobre (COCHILCO)</w:t>
      </w:r>
    </w:p>
    <w:p w:rsidR="00D47B2F" w:rsidRPr="000A582E" w:rsidRDefault="00D47B2F" w:rsidP="00145762">
      <w:pPr>
        <w:widowControl w:val="0"/>
        <w:numPr>
          <w:ilvl w:val="0"/>
          <w:numId w:val="21"/>
        </w:numPr>
        <w:rPr>
          <w:rFonts w:cs="Arial"/>
          <w:szCs w:val="22"/>
        </w:rPr>
      </w:pPr>
      <w:r w:rsidRPr="000A582E">
        <w:rPr>
          <w:rFonts w:cs="Arial"/>
          <w:szCs w:val="22"/>
        </w:rPr>
        <w:t>Oficina de Estudios y Políticas Agrarias (ODEPA)</w:t>
      </w:r>
    </w:p>
    <w:p w:rsidR="00D47B2F" w:rsidRPr="000A582E" w:rsidRDefault="00D47B2F" w:rsidP="00145762">
      <w:pPr>
        <w:widowControl w:val="0"/>
        <w:numPr>
          <w:ilvl w:val="0"/>
          <w:numId w:val="21"/>
        </w:numPr>
        <w:rPr>
          <w:rFonts w:cs="Arial"/>
          <w:szCs w:val="22"/>
        </w:rPr>
      </w:pPr>
      <w:r w:rsidRPr="000A582E">
        <w:rPr>
          <w:rFonts w:cs="Arial"/>
          <w:szCs w:val="22"/>
        </w:rPr>
        <w:t xml:space="preserve">Organización de las Naciones Unidas para </w:t>
      </w:r>
      <w:smartTag w:uri="urn:schemas-microsoft-com:office:smarttags" w:element="PersonName">
        <w:smartTagPr>
          <w:attr w:name="ProductID" w:val="la Alimentación"/>
        </w:smartTagPr>
        <w:r w:rsidRPr="000A582E">
          <w:rPr>
            <w:rFonts w:cs="Arial"/>
            <w:szCs w:val="22"/>
          </w:rPr>
          <w:t>la Alimentación</w:t>
        </w:r>
      </w:smartTag>
      <w:r w:rsidRPr="000A582E">
        <w:rPr>
          <w:rFonts w:cs="Arial"/>
          <w:szCs w:val="22"/>
        </w:rPr>
        <w:t xml:space="preserve"> y </w:t>
      </w:r>
      <w:smartTag w:uri="urn:schemas-microsoft-com:office:smarttags" w:element="PersonName">
        <w:smartTagPr>
          <w:attr w:name="ProductID" w:val="La Agricultura"/>
        </w:smartTagPr>
        <w:r w:rsidRPr="000A582E">
          <w:rPr>
            <w:rFonts w:cs="Arial"/>
            <w:szCs w:val="22"/>
          </w:rPr>
          <w:t>La Agricultura</w:t>
        </w:r>
      </w:smartTag>
      <w:r w:rsidR="00B75DDD">
        <w:rPr>
          <w:rFonts w:cs="Arial"/>
          <w:szCs w:val="22"/>
        </w:rPr>
        <w:t xml:space="preserve"> (FAO)</w:t>
      </w:r>
    </w:p>
    <w:p w:rsidR="00D47B2F" w:rsidRPr="000A582E" w:rsidRDefault="00D47B2F" w:rsidP="00145762">
      <w:pPr>
        <w:widowControl w:val="0"/>
        <w:numPr>
          <w:ilvl w:val="0"/>
          <w:numId w:val="21"/>
        </w:numPr>
        <w:rPr>
          <w:rFonts w:cs="Arial"/>
          <w:szCs w:val="22"/>
        </w:rPr>
      </w:pPr>
      <w:r w:rsidRPr="000A582E">
        <w:rPr>
          <w:rFonts w:cs="Arial"/>
          <w:color w:val="000000"/>
          <w:szCs w:val="22"/>
        </w:rPr>
        <w:t>Universidad de Chile</w:t>
      </w:r>
    </w:p>
    <w:p w:rsidR="00D47B2F" w:rsidRPr="000A582E" w:rsidRDefault="00D47B2F" w:rsidP="00145762">
      <w:pPr>
        <w:widowControl w:val="0"/>
        <w:numPr>
          <w:ilvl w:val="0"/>
          <w:numId w:val="21"/>
        </w:numPr>
        <w:rPr>
          <w:rFonts w:cs="Arial"/>
          <w:szCs w:val="22"/>
        </w:rPr>
      </w:pPr>
      <w:r w:rsidRPr="000A582E">
        <w:rPr>
          <w:rFonts w:cs="Arial"/>
          <w:color w:val="000000"/>
          <w:szCs w:val="22"/>
        </w:rPr>
        <w:t>Instituto Nacional de Estadísticas (INE)</w:t>
      </w:r>
    </w:p>
    <w:p w:rsidR="00D47B2F" w:rsidRPr="000A582E" w:rsidRDefault="00D47B2F" w:rsidP="00145762">
      <w:pPr>
        <w:widowControl w:val="0"/>
        <w:numPr>
          <w:ilvl w:val="0"/>
          <w:numId w:val="21"/>
        </w:numPr>
        <w:rPr>
          <w:rFonts w:cs="Arial"/>
          <w:szCs w:val="22"/>
        </w:rPr>
      </w:pPr>
      <w:r w:rsidRPr="000A582E">
        <w:rPr>
          <w:rFonts w:cs="Arial"/>
          <w:szCs w:val="22"/>
        </w:rPr>
        <w:t>Ins</w:t>
      </w:r>
      <w:r w:rsidR="00B75DDD">
        <w:rPr>
          <w:rFonts w:cs="Arial"/>
          <w:szCs w:val="22"/>
        </w:rPr>
        <w:t>tituto Geográfico Militar (IGM)</w:t>
      </w:r>
    </w:p>
    <w:p w:rsidR="00D47B2F" w:rsidRPr="000A582E" w:rsidRDefault="00D47B2F" w:rsidP="00B51B51">
      <w:pPr>
        <w:widowControl w:val="0"/>
      </w:pPr>
    </w:p>
    <w:p w:rsidR="00D47B2F" w:rsidRPr="000A582E" w:rsidRDefault="00D47B2F" w:rsidP="00B51B51">
      <w:pPr>
        <w:widowControl w:val="0"/>
        <w:rPr>
          <w:rFonts w:cs="Arial"/>
          <w:szCs w:val="22"/>
        </w:rPr>
      </w:pPr>
      <w:r w:rsidRPr="000A582E">
        <w:rPr>
          <w:rFonts w:cs="Arial"/>
          <w:szCs w:val="22"/>
        </w:rPr>
        <w:t xml:space="preserve">La revisión de información ha quedado respaldada a través de una ficha bibliográfica que se presenta en el Anexo 1 de este informe. </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En esta ficha se incluye una reseña o resumen con indicación de la fuente, autor, año de publicación y una descripción temática de las materias que son de interés para el desarrollo del presente estudio.</w:t>
      </w:r>
    </w:p>
    <w:p w:rsidR="00D47B2F" w:rsidRPr="000A582E" w:rsidRDefault="00D47B2F" w:rsidP="00B51B51">
      <w:pPr>
        <w:widowControl w:val="0"/>
      </w:pPr>
    </w:p>
    <w:p w:rsidR="00D47B2F" w:rsidRPr="000A582E" w:rsidRDefault="00D47B2F" w:rsidP="00B51B51">
      <w:pPr>
        <w:widowControl w:val="0"/>
      </w:pPr>
      <w:r w:rsidRPr="000A582E">
        <w:t xml:space="preserve">En lo que sigue se presenta un análisis de la información recopilada tendiente a establecer el estado de la información base que será utilizada para el desarrollo del presente </w:t>
      </w:r>
      <w:r>
        <w:t>estudio</w:t>
      </w:r>
    </w:p>
    <w:p w:rsidR="00D47B2F" w:rsidRPr="000A582E" w:rsidRDefault="00D47B2F" w:rsidP="00B51B51">
      <w:pPr>
        <w:widowControl w:val="0"/>
      </w:pPr>
    </w:p>
    <w:p w:rsidR="00D47B2F" w:rsidRPr="000A582E" w:rsidRDefault="00D47B2F" w:rsidP="00B51B51">
      <w:pPr>
        <w:pStyle w:val="Ttulo2"/>
        <w:keepNext w:val="0"/>
      </w:pPr>
      <w:bookmarkStart w:id="20" w:name="_Toc338179081"/>
      <w:bookmarkStart w:id="21" w:name="_Toc344391732"/>
      <w:r w:rsidRPr="000A582E">
        <w:t>Antecedentes Cartográficos</w:t>
      </w:r>
      <w:bookmarkEnd w:id="20"/>
      <w:bookmarkEnd w:id="21"/>
    </w:p>
    <w:p w:rsidR="00D47B2F" w:rsidRPr="000A582E" w:rsidRDefault="00D47B2F" w:rsidP="00B51B51">
      <w:pPr>
        <w:widowControl w:val="0"/>
        <w:rPr>
          <w:rFonts w:cs="Arial"/>
          <w:b/>
          <w:szCs w:val="22"/>
        </w:rPr>
      </w:pPr>
    </w:p>
    <w:p w:rsidR="00D47B2F" w:rsidRPr="000A582E" w:rsidRDefault="00D47B2F" w:rsidP="00B51B51">
      <w:pPr>
        <w:widowControl w:val="0"/>
        <w:rPr>
          <w:rFonts w:cs="Arial"/>
          <w:szCs w:val="22"/>
        </w:rPr>
      </w:pPr>
      <w:r w:rsidRPr="000A582E">
        <w:rPr>
          <w:rFonts w:cs="Arial"/>
          <w:szCs w:val="22"/>
        </w:rPr>
        <w:t>Los antecedentes cartográficos que perm</w:t>
      </w:r>
      <w:r>
        <w:rPr>
          <w:rFonts w:cs="Arial"/>
          <w:szCs w:val="22"/>
        </w:rPr>
        <w:t xml:space="preserve">iten representar a las cuencas </w:t>
      </w:r>
      <w:r w:rsidRPr="000A582E">
        <w:rPr>
          <w:rFonts w:cs="Arial"/>
          <w:szCs w:val="22"/>
        </w:rPr>
        <w:t xml:space="preserve">y subcuencas de </w:t>
      </w:r>
      <w:smartTag w:uri="urn:schemas-microsoft-com:office:smarttags" w:element="PersonName">
        <w:smartTagPr>
          <w:attr w:name="ProductID" w:val="la VI Región"/>
        </w:smartTagPr>
        <w:r w:rsidRPr="000A582E">
          <w:rPr>
            <w:rFonts w:cs="Arial"/>
            <w:szCs w:val="22"/>
          </w:rPr>
          <w:t>la VI Región</w:t>
        </w:r>
      </w:smartTag>
      <w:r>
        <w:rPr>
          <w:rFonts w:cs="Arial"/>
          <w:szCs w:val="22"/>
        </w:rPr>
        <w:t>,</w:t>
      </w:r>
      <w:r w:rsidRPr="000A582E">
        <w:rPr>
          <w:rFonts w:cs="Arial"/>
          <w:szCs w:val="22"/>
        </w:rPr>
        <w:t xml:space="preserve"> en estudio</w:t>
      </w:r>
      <w:r>
        <w:rPr>
          <w:rFonts w:cs="Arial"/>
          <w:szCs w:val="22"/>
        </w:rPr>
        <w:t>,</w:t>
      </w:r>
      <w:r w:rsidRPr="000A582E">
        <w:rPr>
          <w:rFonts w:cs="Arial"/>
          <w:szCs w:val="22"/>
        </w:rPr>
        <w:t xml:space="preserve"> fueron proporcionados por el Departamento de Estudios y Proyectos de </w:t>
      </w:r>
      <w:smartTag w:uri="urn:schemas-microsoft-com:office:smarttags" w:element="PersonName">
        <w:smartTagPr>
          <w:attr w:name="ProductID" w:val="la DGA-MOP"/>
        </w:smartTagPr>
        <w:r w:rsidRPr="000A582E">
          <w:rPr>
            <w:rFonts w:cs="Arial"/>
            <w:szCs w:val="22"/>
          </w:rPr>
          <w:t>la DGA-MOP</w:t>
        </w:r>
      </w:smartTag>
      <w:r w:rsidRPr="000A582E">
        <w:rPr>
          <w:rFonts w:cs="Arial"/>
          <w:szCs w:val="22"/>
        </w:rPr>
        <w:t>.</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La información disponible corresponde a la base cartográfica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representada como archivos geodatabase compatible con ArcGis.</w:t>
      </w:r>
    </w:p>
    <w:p w:rsidR="00D47B2F" w:rsidRPr="000A582E" w:rsidRDefault="00D47B2F" w:rsidP="00B51B51">
      <w:pPr>
        <w:widowControl w:val="0"/>
        <w:rPr>
          <w:rFonts w:cs="Arial"/>
          <w:szCs w:val="22"/>
        </w:rPr>
      </w:pPr>
    </w:p>
    <w:p w:rsidR="00D47B2F" w:rsidRDefault="00D47B2F" w:rsidP="00B51B51">
      <w:pPr>
        <w:widowControl w:val="0"/>
        <w:rPr>
          <w:rFonts w:cs="Arial"/>
          <w:szCs w:val="22"/>
        </w:rPr>
      </w:pPr>
      <w:r w:rsidRPr="000A582E">
        <w:rPr>
          <w:rFonts w:cs="Arial"/>
          <w:szCs w:val="22"/>
        </w:rPr>
        <w:t xml:space="preserve">Esta información tiene su origen en la cartografía IGM en escala 1:250.000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además de levantamientos propios que ha realizado esta institución.</w:t>
      </w:r>
    </w:p>
    <w:p w:rsidR="00B51B51" w:rsidRPr="000A582E" w:rsidRDefault="00B51B51"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Las coberturas de información disponibles se presentan en </w:t>
      </w:r>
      <w:smartTag w:uri="urn:schemas-microsoft-com:office:smarttags" w:element="PersonName">
        <w:smartTagPr>
          <w:attr w:name="ProductID" w:val="la ￼￼￼￼￼￼￼￼￼￼￼￼￼￼￼￼￼￼￼￼￼￼￼￼￼￼￼￼￼￼￼￼￼￼￼￼￼￼￼￼￼Tabla"/>
        </w:smartTagPr>
        <w:r w:rsidRPr="000A582E">
          <w:rPr>
            <w:rFonts w:cs="Arial"/>
            <w:szCs w:val="22"/>
          </w:rPr>
          <w:t xml:space="preserve">la </w:t>
        </w:r>
        <w:r w:rsidRPr="000A582E">
          <w:rPr>
            <w:rFonts w:cs="Arial"/>
            <w:szCs w:val="22"/>
          </w:rPr>
          <w:fldChar w:fldCharType="begin"/>
        </w:r>
        <w:r w:rsidRPr="000A582E">
          <w:rPr>
            <w:rFonts w:cs="Arial"/>
            <w:szCs w:val="22"/>
          </w:rPr>
          <w:instrText xml:space="preserve"> REF _Ref331492985 \h </w:instrText>
        </w:r>
        <w:r w:rsidRPr="000A582E">
          <w:rPr>
            <w:rFonts w:cs="Arial"/>
            <w:szCs w:val="22"/>
          </w:rPr>
        </w:r>
        <w:r>
          <w:rPr>
            <w:rFonts w:cs="Arial"/>
            <w:szCs w:val="22"/>
          </w:rPr>
          <w:instrText xml:space="preserve"> \* MERGEFORMAT </w:instrText>
        </w:r>
        <w:r w:rsidRPr="000A582E">
          <w:rPr>
            <w:rFonts w:cs="Arial"/>
            <w:szCs w:val="22"/>
          </w:rPr>
          <w:fldChar w:fldCharType="separate"/>
        </w:r>
        <w:r w:rsidR="00264070" w:rsidRPr="000A582E">
          <w:t>Tabla</w:t>
        </w:r>
      </w:smartTag>
      <w:r w:rsidR="00264070" w:rsidRPr="000A582E">
        <w:t xml:space="preserve"> </w:t>
      </w:r>
      <w:r w:rsidR="00264070">
        <w:rPr>
          <w:noProof/>
        </w:rPr>
        <w:t>2.1</w:t>
      </w:r>
      <w:r w:rsidRPr="000A582E">
        <w:rPr>
          <w:rFonts w:cs="Arial"/>
          <w:szCs w:val="22"/>
        </w:rPr>
        <w:fldChar w:fldCharType="end"/>
      </w:r>
      <w:r w:rsidRPr="000A582E">
        <w:rPr>
          <w:rFonts w:cs="Arial"/>
          <w:szCs w:val="22"/>
        </w:rPr>
        <w:t>.</w:t>
      </w:r>
    </w:p>
    <w:p w:rsidR="00D47B2F" w:rsidRPr="000A582E" w:rsidRDefault="00D47B2F" w:rsidP="00B51B51">
      <w:pPr>
        <w:pStyle w:val="Epgrafe"/>
        <w:widowControl w:val="0"/>
      </w:pPr>
      <w:bookmarkStart w:id="22" w:name="_Ref331492985"/>
      <w:r w:rsidRPr="000A582E">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bookmarkEnd w:id="22"/>
      <w:r w:rsidRPr="000A582E">
        <w:t xml:space="preserve"> Resumen de Coberturas de Información Cartográfica Disponible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tblGrid>
      <w:tr w:rsidR="00D47B2F" w:rsidRPr="00A2206C">
        <w:trPr>
          <w:jc w:val="center"/>
        </w:trPr>
        <w:tc>
          <w:tcPr>
            <w:tcW w:w="4503" w:type="dxa"/>
          </w:tcPr>
          <w:p w:rsidR="00D47B2F" w:rsidRPr="00A2206C" w:rsidRDefault="00D47B2F" w:rsidP="00B51B51">
            <w:pPr>
              <w:widowControl w:val="0"/>
              <w:jc w:val="center"/>
              <w:rPr>
                <w:rFonts w:cs="Arial"/>
                <w:sz w:val="20"/>
                <w:szCs w:val="20"/>
              </w:rPr>
            </w:pPr>
            <w:r w:rsidRPr="00A2206C">
              <w:rPr>
                <w:rFonts w:cs="Arial"/>
                <w:sz w:val="20"/>
                <w:szCs w:val="20"/>
              </w:rPr>
              <w:t>Cobertura de Información</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División política administrativa</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Ciudades y poblados</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Red Vial</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Red Hidrográfica</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Lagos</w:t>
            </w:r>
          </w:p>
        </w:tc>
      </w:tr>
      <w:tr w:rsidR="00D47B2F" w:rsidRPr="00A2206C">
        <w:trPr>
          <w:jc w:val="center"/>
        </w:trPr>
        <w:tc>
          <w:tcPr>
            <w:tcW w:w="4503" w:type="dxa"/>
          </w:tcPr>
          <w:p w:rsidR="00D47B2F" w:rsidRPr="00A2206C" w:rsidRDefault="00D47B2F" w:rsidP="00B51B51">
            <w:pPr>
              <w:widowControl w:val="0"/>
              <w:rPr>
                <w:rFonts w:cs="Arial"/>
                <w:sz w:val="20"/>
                <w:szCs w:val="20"/>
              </w:rPr>
            </w:pPr>
            <w:r w:rsidRPr="00A2206C">
              <w:rPr>
                <w:rFonts w:cs="Arial"/>
                <w:sz w:val="20"/>
                <w:szCs w:val="20"/>
              </w:rPr>
              <w:t>Imagen SRTM de Relieve</w:t>
            </w:r>
          </w:p>
        </w:tc>
      </w:tr>
    </w:tbl>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Todas estas coberturas se encuentran representadas en coordenadas UTM con </w:t>
      </w:r>
      <w:r>
        <w:rPr>
          <w:rFonts w:cs="Arial"/>
          <w:szCs w:val="22"/>
        </w:rPr>
        <w:t>origen el Datum WGS 1984 huso 19</w:t>
      </w:r>
      <w:r w:rsidRPr="000A582E">
        <w:rPr>
          <w:rFonts w:cs="Arial"/>
          <w:szCs w:val="22"/>
        </w:rPr>
        <w:t>.</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Pr>
          <w:rFonts w:cs="Arial"/>
          <w:szCs w:val="22"/>
        </w:rPr>
        <w:t>Junto con lo anterior, también se</w:t>
      </w:r>
      <w:r w:rsidRPr="000A582E">
        <w:rPr>
          <w:rFonts w:cs="Arial"/>
          <w:szCs w:val="22"/>
        </w:rPr>
        <w:t xml:space="preserve"> disponen de las coberturas SIG elaboradas por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siendo las de mayor interés las siguientes:</w:t>
      </w:r>
    </w:p>
    <w:p w:rsidR="00D47B2F" w:rsidRPr="000A582E" w:rsidRDefault="00D47B2F" w:rsidP="00B51B51">
      <w:pPr>
        <w:widowControl w:val="0"/>
        <w:rPr>
          <w:rFonts w:cs="Arial"/>
          <w:szCs w:val="22"/>
        </w:rPr>
      </w:pPr>
    </w:p>
    <w:p w:rsidR="00D47B2F" w:rsidRPr="000A582E" w:rsidRDefault="00D47B2F" w:rsidP="00145762">
      <w:pPr>
        <w:widowControl w:val="0"/>
        <w:numPr>
          <w:ilvl w:val="0"/>
          <w:numId w:val="21"/>
        </w:numPr>
        <w:rPr>
          <w:rFonts w:cs="Arial"/>
          <w:szCs w:val="22"/>
        </w:rPr>
      </w:pPr>
      <w:r w:rsidRPr="000A582E">
        <w:rPr>
          <w:rFonts w:cs="Arial"/>
          <w:szCs w:val="22"/>
        </w:rPr>
        <w:t>Áreas de restricción para nuevas extracciones de aguas su</w:t>
      </w:r>
      <w:r w:rsidR="00B75DDD">
        <w:rPr>
          <w:rFonts w:cs="Arial"/>
          <w:szCs w:val="22"/>
        </w:rPr>
        <w:t>bterráneas (versión junio 2012)</w:t>
      </w:r>
    </w:p>
    <w:p w:rsidR="00D47B2F" w:rsidRPr="000A582E" w:rsidRDefault="00D47B2F" w:rsidP="00145762">
      <w:pPr>
        <w:widowControl w:val="0"/>
        <w:numPr>
          <w:ilvl w:val="0"/>
          <w:numId w:val="21"/>
        </w:numPr>
        <w:rPr>
          <w:rFonts w:cs="Arial"/>
          <w:szCs w:val="22"/>
        </w:rPr>
      </w:pPr>
      <w:r w:rsidRPr="000A582E">
        <w:rPr>
          <w:rFonts w:cs="Arial"/>
          <w:szCs w:val="22"/>
        </w:rPr>
        <w:t>Red hidrométrica nacional</w:t>
      </w:r>
    </w:p>
    <w:p w:rsidR="00D47B2F" w:rsidRPr="000A582E" w:rsidRDefault="00D47B2F" w:rsidP="00145762">
      <w:pPr>
        <w:widowControl w:val="0"/>
        <w:numPr>
          <w:ilvl w:val="0"/>
          <w:numId w:val="21"/>
        </w:numPr>
        <w:rPr>
          <w:rFonts w:cs="Arial"/>
          <w:szCs w:val="22"/>
        </w:rPr>
      </w:pPr>
      <w:r w:rsidRPr="000A582E">
        <w:rPr>
          <w:rFonts w:cs="Arial"/>
          <w:szCs w:val="22"/>
        </w:rPr>
        <w:t>Publicación Mapa Hidrogeológico</w:t>
      </w:r>
    </w:p>
    <w:p w:rsidR="00D47B2F" w:rsidRPr="000A582E" w:rsidRDefault="00D47B2F" w:rsidP="00145762">
      <w:pPr>
        <w:widowControl w:val="0"/>
        <w:numPr>
          <w:ilvl w:val="0"/>
          <w:numId w:val="21"/>
        </w:numPr>
        <w:rPr>
          <w:rFonts w:cs="Arial"/>
          <w:szCs w:val="22"/>
        </w:rPr>
      </w:pPr>
      <w:r w:rsidRPr="000A582E">
        <w:rPr>
          <w:rFonts w:cs="Arial"/>
          <w:szCs w:val="22"/>
        </w:rPr>
        <w:t>Publicación Balance Hídrico</w:t>
      </w:r>
    </w:p>
    <w:p w:rsidR="00D47B2F" w:rsidRPr="000A582E" w:rsidRDefault="00D47B2F" w:rsidP="00145762">
      <w:pPr>
        <w:widowControl w:val="0"/>
        <w:numPr>
          <w:ilvl w:val="0"/>
          <w:numId w:val="21"/>
        </w:numPr>
        <w:rPr>
          <w:rFonts w:cs="Arial"/>
          <w:szCs w:val="22"/>
        </w:rPr>
      </w:pPr>
      <w:r w:rsidRPr="000A582E">
        <w:rPr>
          <w:rFonts w:cs="Arial"/>
          <w:szCs w:val="22"/>
        </w:rPr>
        <w:t>Inventario de obras hid</w:t>
      </w:r>
      <w:r w:rsidR="00B75DDD">
        <w:rPr>
          <w:rFonts w:cs="Arial"/>
          <w:szCs w:val="22"/>
        </w:rPr>
        <w:t>ráulicas (bocatomas y embalses)</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Esta información que será utilizada como base cartográfica del estudio, será exportada a archivos shapefiles compatible con ArcView ArcGis, adoptándose como referencia el mismo sistema de coordenadas. </w:t>
      </w:r>
    </w:p>
    <w:p w:rsidR="00D47B2F" w:rsidRPr="000A582E" w:rsidRDefault="00D47B2F" w:rsidP="00B51B51">
      <w:pPr>
        <w:widowControl w:val="0"/>
        <w:rPr>
          <w:rFonts w:cs="Arial"/>
          <w:szCs w:val="22"/>
        </w:rPr>
      </w:pPr>
    </w:p>
    <w:p w:rsidR="00D47B2F" w:rsidRPr="000A582E" w:rsidRDefault="00D47B2F" w:rsidP="00B51B51">
      <w:pPr>
        <w:widowControl w:val="0"/>
      </w:pPr>
      <w:r w:rsidRPr="000A582E">
        <w:t xml:space="preserve">Otro antecedente cartográfico y complementario de interés se dispone en el Sistema de Información Integral de Riego (SIIR) que administra </w:t>
      </w:r>
      <w:smartTag w:uri="urn:schemas-microsoft-com:office:smarttags" w:element="PersonName">
        <w:smartTagPr>
          <w:attr w:name="ProductID" w:val="la Comisión Nacional"/>
        </w:smartTagPr>
        <w:r w:rsidRPr="000A582E">
          <w:t>la Comisión Nacional</w:t>
        </w:r>
      </w:smartTag>
      <w:r w:rsidRPr="000A582E">
        <w:t xml:space="preserve"> de Riego (CNR).</w:t>
      </w:r>
    </w:p>
    <w:p w:rsidR="00D47B2F" w:rsidRPr="000A582E" w:rsidRDefault="00D47B2F" w:rsidP="00B51B51">
      <w:pPr>
        <w:widowControl w:val="0"/>
      </w:pPr>
    </w:p>
    <w:p w:rsidR="00D47B2F" w:rsidRPr="000A582E" w:rsidRDefault="00D47B2F" w:rsidP="00B51B51">
      <w:pPr>
        <w:widowControl w:val="0"/>
      </w:pPr>
      <w:r w:rsidRPr="000A582E">
        <w:t>La información disponible es la siguiente:</w:t>
      </w:r>
    </w:p>
    <w:p w:rsidR="00D47B2F" w:rsidRPr="000A582E" w:rsidRDefault="00D47B2F" w:rsidP="00B51B51">
      <w:pPr>
        <w:widowControl w:val="0"/>
      </w:pPr>
    </w:p>
    <w:p w:rsidR="00D47B2F" w:rsidRPr="000A582E" w:rsidRDefault="00B75DDD" w:rsidP="00145762">
      <w:pPr>
        <w:widowControl w:val="0"/>
        <w:numPr>
          <w:ilvl w:val="0"/>
          <w:numId w:val="21"/>
        </w:numPr>
        <w:rPr>
          <w:rFonts w:cs="Arial"/>
          <w:szCs w:val="22"/>
        </w:rPr>
      </w:pPr>
      <w:r>
        <w:rPr>
          <w:rFonts w:cs="Arial"/>
          <w:szCs w:val="22"/>
        </w:rPr>
        <w:t>Base cartográfica</w:t>
      </w:r>
    </w:p>
    <w:p w:rsidR="00D47B2F" w:rsidRPr="000A582E" w:rsidRDefault="00B75DDD" w:rsidP="00145762">
      <w:pPr>
        <w:widowControl w:val="0"/>
        <w:numPr>
          <w:ilvl w:val="0"/>
          <w:numId w:val="21"/>
        </w:numPr>
        <w:rPr>
          <w:rFonts w:cs="Arial"/>
          <w:szCs w:val="22"/>
        </w:rPr>
      </w:pPr>
      <w:r>
        <w:rPr>
          <w:rFonts w:cs="Arial"/>
          <w:szCs w:val="22"/>
        </w:rPr>
        <w:t>Información climática</w:t>
      </w:r>
    </w:p>
    <w:p w:rsidR="00D47B2F" w:rsidRPr="000A582E" w:rsidRDefault="00B75DDD" w:rsidP="00145762">
      <w:pPr>
        <w:widowControl w:val="0"/>
        <w:numPr>
          <w:ilvl w:val="0"/>
          <w:numId w:val="21"/>
        </w:numPr>
        <w:rPr>
          <w:rFonts w:cs="Arial"/>
          <w:szCs w:val="22"/>
        </w:rPr>
      </w:pPr>
      <w:r>
        <w:rPr>
          <w:rFonts w:cs="Arial"/>
          <w:szCs w:val="22"/>
        </w:rPr>
        <w:t>Medioambiente</w:t>
      </w:r>
    </w:p>
    <w:p w:rsidR="00D47B2F" w:rsidRPr="000A582E" w:rsidRDefault="00B75DDD" w:rsidP="00145762">
      <w:pPr>
        <w:widowControl w:val="0"/>
        <w:numPr>
          <w:ilvl w:val="0"/>
          <w:numId w:val="21"/>
        </w:numPr>
        <w:rPr>
          <w:rFonts w:cs="Arial"/>
          <w:szCs w:val="22"/>
        </w:rPr>
      </w:pPr>
      <w:r>
        <w:rPr>
          <w:rFonts w:cs="Arial"/>
          <w:szCs w:val="22"/>
        </w:rPr>
        <w:t>Suelos</w:t>
      </w:r>
    </w:p>
    <w:p w:rsidR="00D47B2F" w:rsidRPr="000A582E" w:rsidRDefault="00B75DDD" w:rsidP="00145762">
      <w:pPr>
        <w:widowControl w:val="0"/>
        <w:numPr>
          <w:ilvl w:val="0"/>
          <w:numId w:val="21"/>
        </w:numPr>
        <w:rPr>
          <w:rFonts w:cs="Arial"/>
          <w:szCs w:val="22"/>
        </w:rPr>
      </w:pPr>
      <w:r>
        <w:rPr>
          <w:rFonts w:cs="Arial"/>
          <w:szCs w:val="22"/>
        </w:rPr>
        <w:t>Recursos hídricos</w:t>
      </w:r>
    </w:p>
    <w:p w:rsidR="00D47B2F" w:rsidRPr="000A582E" w:rsidRDefault="00B75DDD" w:rsidP="00145762">
      <w:pPr>
        <w:widowControl w:val="0"/>
        <w:numPr>
          <w:ilvl w:val="0"/>
          <w:numId w:val="21"/>
        </w:numPr>
        <w:rPr>
          <w:rFonts w:cs="Arial"/>
          <w:szCs w:val="22"/>
        </w:rPr>
      </w:pPr>
      <w:r>
        <w:rPr>
          <w:rFonts w:cs="Arial"/>
          <w:szCs w:val="22"/>
        </w:rPr>
        <w:t>Infraestructura de riego</w:t>
      </w:r>
    </w:p>
    <w:p w:rsidR="00D47B2F" w:rsidRPr="000A582E" w:rsidRDefault="00D47B2F" w:rsidP="00145762">
      <w:pPr>
        <w:widowControl w:val="0"/>
        <w:numPr>
          <w:ilvl w:val="0"/>
          <w:numId w:val="21"/>
        </w:numPr>
        <w:rPr>
          <w:rFonts w:cs="Arial"/>
          <w:szCs w:val="22"/>
        </w:rPr>
      </w:pPr>
      <w:r w:rsidRPr="000A582E">
        <w:rPr>
          <w:rFonts w:cs="Arial"/>
          <w:szCs w:val="22"/>
        </w:rPr>
        <w:t>Iniciativas de</w:t>
      </w:r>
      <w:r w:rsidR="00B75DDD">
        <w:rPr>
          <w:rFonts w:cs="Arial"/>
          <w:szCs w:val="22"/>
        </w:rPr>
        <w:t xml:space="preserve"> inversión</w:t>
      </w:r>
    </w:p>
    <w:p w:rsidR="00D47B2F" w:rsidRPr="000A582E" w:rsidRDefault="00D47B2F" w:rsidP="00B51B51">
      <w:pPr>
        <w:widowControl w:val="0"/>
      </w:pPr>
    </w:p>
    <w:p w:rsidR="00D47B2F" w:rsidRPr="000A582E" w:rsidRDefault="00D47B2F" w:rsidP="00B51B51">
      <w:pPr>
        <w:widowControl w:val="0"/>
      </w:pPr>
      <w:r w:rsidRPr="000A582E">
        <w:t xml:space="preserve">Esta información permite la representación de las cuencas aportantes de </w:t>
      </w:r>
      <w:smartTag w:uri="urn:schemas-microsoft-com:office:smarttags" w:element="PersonName">
        <w:smartTagPr>
          <w:attr w:name="ProductID" w:val="la VI Región"/>
        </w:smartTagPr>
        <w:r w:rsidRPr="000A582E">
          <w:t>la VI Región</w:t>
        </w:r>
      </w:smartTag>
      <w:r>
        <w:t xml:space="preserve"> también en D</w:t>
      </w:r>
      <w:r w:rsidRPr="000A582E">
        <w:t>atum WGS 1984.</w:t>
      </w:r>
    </w:p>
    <w:p w:rsidR="00D47B2F" w:rsidRPr="000A582E" w:rsidRDefault="00D47B2F" w:rsidP="00B51B51">
      <w:pPr>
        <w:widowControl w:val="0"/>
        <w:rPr>
          <w:rFonts w:cs="Arial"/>
          <w:szCs w:val="22"/>
        </w:rPr>
      </w:pPr>
    </w:p>
    <w:p w:rsidR="00D47B2F" w:rsidRDefault="00D47B2F" w:rsidP="00B51B51">
      <w:pPr>
        <w:widowControl w:val="0"/>
        <w:rPr>
          <w:rFonts w:cs="Arial"/>
          <w:szCs w:val="22"/>
        </w:rPr>
      </w:pPr>
      <w:r w:rsidRPr="000A582E">
        <w:rPr>
          <w:rFonts w:cs="Arial"/>
          <w:szCs w:val="22"/>
        </w:rPr>
        <w:t>También se dispone de los archivos SIG del Catastro Frutícola de CIREN CORFO.</w:t>
      </w:r>
    </w:p>
    <w:p w:rsidR="00D47B2F" w:rsidRDefault="00D47B2F" w:rsidP="00B51B51">
      <w:pPr>
        <w:widowControl w:val="0"/>
        <w:rPr>
          <w:rFonts w:cs="Arial"/>
          <w:szCs w:val="22"/>
        </w:rPr>
      </w:pPr>
    </w:p>
    <w:p w:rsidR="00D47B2F" w:rsidRPr="000A582E" w:rsidRDefault="00D47B2F" w:rsidP="00B51B51">
      <w:pPr>
        <w:pStyle w:val="Ttulo2"/>
        <w:keepNext w:val="0"/>
      </w:pPr>
      <w:bookmarkStart w:id="23" w:name="_Toc338179082"/>
      <w:bookmarkStart w:id="24" w:name="_Toc344391733"/>
      <w:r w:rsidRPr="000A582E">
        <w:t>Antecedentes de Estaciones Hidrometeorológicas</w:t>
      </w:r>
      <w:bookmarkEnd w:id="23"/>
      <w:bookmarkEnd w:id="24"/>
    </w:p>
    <w:p w:rsidR="00D47B2F" w:rsidRPr="000A582E" w:rsidRDefault="00D47B2F" w:rsidP="00B51B51">
      <w:pPr>
        <w:widowControl w:val="0"/>
      </w:pPr>
    </w:p>
    <w:p w:rsidR="00D47B2F" w:rsidRDefault="00D47B2F" w:rsidP="00B51B51">
      <w:pPr>
        <w:widowControl w:val="0"/>
        <w:rPr>
          <w:rFonts w:cs="Arial"/>
          <w:szCs w:val="22"/>
        </w:rPr>
      </w:pPr>
      <w:r w:rsidRPr="000A582E">
        <w:rPr>
          <w:rFonts w:cs="Arial"/>
          <w:szCs w:val="22"/>
        </w:rPr>
        <w:t xml:space="preserve">En el Centro de Información de Recursos Hídricos (CIRH)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se efectuó una revisión de las estadísticas básicas que dispone este organismo a partir de las mediciones efectuadas por la red de estaciones instaladas en la </w:t>
      </w:r>
      <w:r>
        <w:rPr>
          <w:rFonts w:cs="Arial"/>
          <w:szCs w:val="22"/>
        </w:rPr>
        <w:t>región de O’Higgins</w:t>
      </w:r>
      <w:r w:rsidR="00D03638">
        <w:rPr>
          <w:rFonts w:cs="Arial"/>
          <w:szCs w:val="22"/>
        </w:rPr>
        <w:t>.</w:t>
      </w:r>
    </w:p>
    <w:p w:rsidR="00D03638" w:rsidRPr="000A582E" w:rsidRDefault="00D03638" w:rsidP="00B51B51">
      <w:pPr>
        <w:widowControl w:val="0"/>
        <w:rPr>
          <w:rFonts w:cs="Arial"/>
          <w:szCs w:val="22"/>
        </w:rPr>
      </w:pPr>
    </w:p>
    <w:p w:rsidR="00D47B2F" w:rsidRPr="000A582E" w:rsidRDefault="00D47B2F" w:rsidP="00B51B51">
      <w:pPr>
        <w:pStyle w:val="Ttulo3"/>
      </w:pPr>
      <w:bookmarkStart w:id="25" w:name="_Toc344391734"/>
      <w:r w:rsidRPr="000A582E">
        <w:lastRenderedPageBreak/>
        <w:t>Fluviometría</w:t>
      </w:r>
      <w:bookmarkEnd w:id="25"/>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Para disponer de los antecedentes de caudales en los principales cauces </w:t>
      </w:r>
      <w:r>
        <w:rPr>
          <w:rFonts w:cs="Arial"/>
          <w:szCs w:val="22"/>
        </w:rPr>
        <w:t xml:space="preserve">de </w:t>
      </w:r>
      <w:smartTag w:uri="urn:schemas-microsoft-com:office:smarttags" w:element="PersonName">
        <w:smartTagPr>
          <w:attr w:name="ProductID" w:val="la VI Región"/>
        </w:smartTagPr>
        <w:r>
          <w:rPr>
            <w:rFonts w:cs="Arial"/>
            <w:szCs w:val="22"/>
          </w:rPr>
          <w:t>la VI Región</w:t>
        </w:r>
      </w:smartTag>
      <w:r>
        <w:rPr>
          <w:rFonts w:cs="Arial"/>
          <w:szCs w:val="22"/>
        </w:rPr>
        <w:t xml:space="preserve">, </w:t>
      </w:r>
      <w:r w:rsidRPr="000A582E">
        <w:rPr>
          <w:rFonts w:cs="Arial"/>
          <w:szCs w:val="22"/>
        </w:rPr>
        <w:t xml:space="preserve">se solicitó a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los datos de las estaciones contenidas en </w:t>
      </w:r>
      <w:smartTag w:uri="urn:schemas-microsoft-com:office:smarttags" w:element="PersonName">
        <w:smartTagPr>
          <w:attr w:name="ProductID" w:val="la ￼￼￼￼￼￼￼￼￼￼￼￼￼￼￼￼￼￼￼￼￼￼￼￼￼￼￼￼￼￼￼￼￼￼￼￼￼￼￼￼￼Tabla"/>
        </w:smartTagPr>
        <w:r w:rsidRPr="000A582E">
          <w:rPr>
            <w:rFonts w:cs="Arial"/>
            <w:szCs w:val="22"/>
          </w:rPr>
          <w:t xml:space="preserve">la </w:t>
        </w:r>
        <w:r w:rsidRPr="000A582E">
          <w:rPr>
            <w:rFonts w:cs="Arial"/>
            <w:szCs w:val="22"/>
          </w:rPr>
          <w:fldChar w:fldCharType="begin"/>
        </w:r>
        <w:r w:rsidRPr="000A582E">
          <w:rPr>
            <w:rFonts w:cs="Arial"/>
            <w:szCs w:val="22"/>
          </w:rPr>
          <w:instrText xml:space="preserve"> REF _Ref331525542 \h </w:instrText>
        </w:r>
        <w:r w:rsidRPr="000A582E">
          <w:rPr>
            <w:rFonts w:cs="Arial"/>
            <w:szCs w:val="22"/>
          </w:rPr>
        </w:r>
        <w:r>
          <w:rPr>
            <w:rFonts w:cs="Arial"/>
            <w:szCs w:val="22"/>
          </w:rPr>
          <w:instrText xml:space="preserve"> \* MERGEFORMAT </w:instrText>
        </w:r>
        <w:r w:rsidRPr="000A582E">
          <w:rPr>
            <w:rFonts w:cs="Arial"/>
            <w:szCs w:val="22"/>
          </w:rPr>
          <w:fldChar w:fldCharType="separate"/>
        </w:r>
        <w:r w:rsidR="00264070" w:rsidRPr="000A582E">
          <w:t>Tabla</w:t>
        </w:r>
      </w:smartTag>
      <w:r w:rsidR="00264070" w:rsidRPr="000A582E">
        <w:t xml:space="preserve"> </w:t>
      </w:r>
      <w:r w:rsidR="00264070">
        <w:t>2.2</w:t>
      </w:r>
      <w:r w:rsidRPr="000A582E">
        <w:rPr>
          <w:rFonts w:cs="Arial"/>
          <w:szCs w:val="22"/>
        </w:rPr>
        <w:fldChar w:fldCharType="end"/>
      </w:r>
      <w:r w:rsidRPr="000A582E">
        <w:rPr>
          <w:rFonts w:cs="Arial"/>
          <w:szCs w:val="22"/>
        </w:rPr>
        <w:t xml:space="preserve">, las que además se presentan en </w:t>
      </w:r>
      <w:smartTag w:uri="urn:schemas-microsoft-com:office:smarttags" w:element="PersonName">
        <w:smartTagPr>
          <w:attr w:name="ProductID" w:val="la ￼￼￼￼￼￼￼￼￼￼￼￼￼￼￼￼￼￼￼￼￼￼￼￼￼Figura"/>
        </w:smartTagPr>
        <w:r w:rsidRPr="000A582E">
          <w:rPr>
            <w:rFonts w:cs="Arial"/>
            <w:szCs w:val="22"/>
          </w:rPr>
          <w:t>la</w:t>
        </w:r>
        <w:r>
          <w:rPr>
            <w:rFonts w:cs="Arial"/>
            <w:szCs w:val="22"/>
          </w:rPr>
          <w:t xml:space="preserve"> </w:t>
        </w:r>
        <w:r>
          <w:rPr>
            <w:rFonts w:cs="Arial"/>
            <w:szCs w:val="22"/>
          </w:rPr>
          <w:fldChar w:fldCharType="begin"/>
        </w:r>
        <w:r>
          <w:rPr>
            <w:rFonts w:cs="Arial"/>
            <w:szCs w:val="22"/>
          </w:rPr>
          <w:instrText xml:space="preserve"> REF _Ref331703202 \h </w:instrText>
        </w:r>
        <w:r w:rsidRPr="00A20215">
          <w:rPr>
            <w:rFonts w:cs="Arial"/>
            <w:szCs w:val="22"/>
          </w:rPr>
        </w:r>
        <w:r>
          <w:rPr>
            <w:rFonts w:cs="Arial"/>
            <w:szCs w:val="22"/>
          </w:rPr>
          <w:fldChar w:fldCharType="separate"/>
        </w:r>
        <w:r w:rsidR="00264070" w:rsidRPr="000A582E">
          <w:t>Figura</w:t>
        </w:r>
      </w:smartTag>
      <w:r w:rsidR="00264070" w:rsidRPr="000A582E">
        <w:t xml:space="preserve"> </w:t>
      </w:r>
      <w:r w:rsidR="00264070">
        <w:rPr>
          <w:noProof/>
        </w:rPr>
        <w:t>2</w:t>
      </w:r>
      <w:r w:rsidR="00264070">
        <w:t>.</w:t>
      </w:r>
      <w:r w:rsidR="00264070">
        <w:rPr>
          <w:noProof/>
        </w:rPr>
        <w:t>1</w:t>
      </w:r>
      <w:r>
        <w:rPr>
          <w:rFonts w:cs="Arial"/>
          <w:szCs w:val="22"/>
        </w:rPr>
        <w:fldChar w:fldCharType="end"/>
      </w:r>
      <w:r w:rsidRPr="000A582E">
        <w:rPr>
          <w:rFonts w:cs="Arial"/>
          <w:szCs w:val="22"/>
        </w:rPr>
        <w:t>.</w:t>
      </w:r>
      <w:r>
        <w:rPr>
          <w:rFonts w:cs="Arial"/>
          <w:szCs w:val="22"/>
        </w:rPr>
        <w:t xml:space="preserve"> Se solicitó también información perteneciente a </w:t>
      </w:r>
      <w:smartTag w:uri="urn:schemas-microsoft-com:office:smarttags" w:element="PersonName">
        <w:smartTagPr>
          <w:attr w:name="ProductID" w:val="la Región Metropolitana"/>
        </w:smartTagPr>
        <w:r>
          <w:rPr>
            <w:rFonts w:cs="Arial"/>
            <w:szCs w:val="22"/>
          </w:rPr>
          <w:t>la Región Metropolitana</w:t>
        </w:r>
      </w:smartTag>
      <w:r>
        <w:rPr>
          <w:rFonts w:cs="Arial"/>
          <w:szCs w:val="22"/>
        </w:rPr>
        <w:t>, la que se utilizará sólo en caso de que sea necesaria.</w:t>
      </w:r>
    </w:p>
    <w:p w:rsidR="00D47B2F" w:rsidRPr="000A582E" w:rsidRDefault="00D47B2F" w:rsidP="00B51B51">
      <w:pPr>
        <w:widowControl w:val="0"/>
      </w:pPr>
    </w:p>
    <w:p w:rsidR="00D47B2F" w:rsidRPr="000A582E" w:rsidRDefault="00D47B2F" w:rsidP="00B51B51">
      <w:pPr>
        <w:pStyle w:val="Epgrafe"/>
        <w:widowControl w:val="0"/>
      </w:pPr>
      <w:bookmarkStart w:id="26" w:name="_Ref331525542"/>
      <w:r w:rsidRPr="000A582E">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bookmarkEnd w:id="26"/>
      <w:r w:rsidRPr="000A582E">
        <w:t xml:space="preserve"> Listado de Estaciones de Monitoreo Fluviométricas DGA, Región VI </w:t>
      </w:r>
    </w:p>
    <w:tbl>
      <w:tblPr>
        <w:tblW w:w="8952" w:type="dxa"/>
        <w:jc w:val="center"/>
        <w:tblCellMar>
          <w:left w:w="70" w:type="dxa"/>
          <w:right w:w="70" w:type="dxa"/>
        </w:tblCellMar>
        <w:tblLook w:val="04A0" w:firstRow="1" w:lastRow="0" w:firstColumn="1" w:lastColumn="0" w:noHBand="0" w:noVBand="1"/>
      </w:tblPr>
      <w:tblGrid>
        <w:gridCol w:w="1200"/>
        <w:gridCol w:w="5260"/>
        <w:gridCol w:w="852"/>
        <w:gridCol w:w="820"/>
        <w:gridCol w:w="820"/>
      </w:tblGrid>
      <w:tr w:rsidR="00D47B2F" w:rsidRPr="000A582E">
        <w:trPr>
          <w:trHeight w:val="184"/>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Código BNA</w:t>
            </w:r>
          </w:p>
        </w:tc>
        <w:tc>
          <w:tcPr>
            <w:tcW w:w="5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Nombre Estación</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UTM Norte</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UTM Este</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Altitud msnm</w:t>
            </w:r>
          </w:p>
        </w:tc>
      </w:tr>
      <w:tr w:rsidR="00D47B2F" w:rsidRPr="000A582E">
        <w:trPr>
          <w:trHeight w:val="184"/>
          <w:jc w:val="center"/>
        </w:trPr>
        <w:tc>
          <w:tcPr>
            <w:tcW w:w="120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526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852"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8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8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06000001-8</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w:t>
            </w:r>
            <w:r>
              <w:rPr>
                <w:rFonts w:cs="Arial"/>
                <w:sz w:val="16"/>
                <w:szCs w:val="16"/>
                <w:lang w:val="es-CL" w:eastAsia="es-CL"/>
              </w:rPr>
              <w:t xml:space="preserve"> Las Leñ</w:t>
            </w:r>
            <w:r w:rsidRPr="000A582E">
              <w:rPr>
                <w:rFonts w:cs="Arial"/>
                <w:sz w:val="16"/>
                <w:szCs w:val="16"/>
                <w:lang w:val="es-CL" w:eastAsia="es-CL"/>
              </w:rPr>
              <w:t>as cota 2150</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6.190.519</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391.790</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06000003-4</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Las Leñas ante junta Río C</w:t>
            </w:r>
            <w:r w:rsidRPr="000A582E">
              <w:rPr>
                <w:rFonts w:cs="Arial"/>
                <w:sz w:val="16"/>
                <w:szCs w:val="16"/>
                <w:lang w:val="es-CL" w:eastAsia="es-CL"/>
              </w:rPr>
              <w:t>achapoal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6.196.471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379.738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1296</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06002001-9</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w:t>
            </w:r>
            <w:r w:rsidRPr="000A582E">
              <w:rPr>
                <w:rFonts w:cs="Arial"/>
                <w:sz w:val="16"/>
                <w:szCs w:val="16"/>
                <w:lang w:val="es-CL" w:eastAsia="es-CL"/>
              </w:rPr>
              <w:t>ortader</w:t>
            </w:r>
            <w:r>
              <w:rPr>
                <w:rFonts w:cs="Arial"/>
                <w:sz w:val="16"/>
                <w:szCs w:val="16"/>
                <w:lang w:val="es-CL" w:eastAsia="es-CL"/>
              </w:rPr>
              <w:t>al ante junta Rí</w:t>
            </w:r>
            <w:r w:rsidRPr="000A582E">
              <w:rPr>
                <w:rFonts w:cs="Arial"/>
                <w:sz w:val="16"/>
                <w:szCs w:val="16"/>
                <w:lang w:val="es-CL" w:eastAsia="es-CL"/>
              </w:rPr>
              <w:t>o Cachapoal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6.195.985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377.879</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1200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06003001-4</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w:t>
            </w:r>
            <w:r w:rsidRPr="000A582E">
              <w:rPr>
                <w:rFonts w:cs="Arial"/>
                <w:sz w:val="16"/>
                <w:szCs w:val="16"/>
                <w:lang w:val="es-CL" w:eastAsia="es-CL"/>
              </w:rPr>
              <w:t>ac</w:t>
            </w:r>
            <w:r>
              <w:rPr>
                <w:rFonts w:cs="Arial"/>
                <w:sz w:val="16"/>
                <w:szCs w:val="16"/>
                <w:lang w:val="es-CL" w:eastAsia="es-CL"/>
              </w:rPr>
              <w:t xml:space="preserve">hapoal </w:t>
            </w:r>
            <w:smartTag w:uri="urn:schemas-microsoft-com:office:smarttags" w:element="metricconverter">
              <w:smartTagPr>
                <w:attr w:name="ProductID" w:val="5 km"/>
              </w:smartTagPr>
              <w:r>
                <w:rPr>
                  <w:rFonts w:cs="Arial"/>
                  <w:sz w:val="16"/>
                  <w:szCs w:val="16"/>
                  <w:lang w:val="es-CL" w:eastAsia="es-CL"/>
                </w:rPr>
                <w:t>5 km</w:t>
              </w:r>
            </w:smartTag>
            <w:r>
              <w:rPr>
                <w:rFonts w:cs="Arial"/>
                <w:sz w:val="16"/>
                <w:szCs w:val="16"/>
                <w:lang w:val="es-CL" w:eastAsia="es-CL"/>
              </w:rPr>
              <w:t>. aguas abajo junta C</w:t>
            </w:r>
            <w:r w:rsidRPr="000A582E">
              <w:rPr>
                <w:rFonts w:cs="Arial"/>
                <w:sz w:val="16"/>
                <w:szCs w:val="16"/>
                <w:lang w:val="es-CL" w:eastAsia="es-CL"/>
              </w:rPr>
              <w:t>ortaderal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6.198.620</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373.393</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1127</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06006001-0</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P</w:t>
            </w:r>
            <w:r w:rsidRPr="000A582E">
              <w:rPr>
                <w:rFonts w:cs="Arial"/>
                <w:sz w:val="16"/>
                <w:szCs w:val="16"/>
                <w:lang w:val="es-CL" w:eastAsia="es-CL"/>
              </w:rPr>
              <w:t xml:space="preserve">angal en </w:t>
            </w:r>
            <w:r>
              <w:rPr>
                <w:rFonts w:cs="Arial"/>
                <w:sz w:val="16"/>
                <w:szCs w:val="16"/>
                <w:lang w:val="es-CL" w:eastAsia="es-CL"/>
              </w:rPr>
              <w:t>P</w:t>
            </w:r>
            <w:r w:rsidRPr="000A582E">
              <w:rPr>
                <w:rFonts w:cs="Arial"/>
                <w:sz w:val="16"/>
                <w:szCs w:val="16"/>
                <w:lang w:val="es-CL" w:eastAsia="es-CL"/>
              </w:rPr>
              <w:t>angal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6.209.295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377.180</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1500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06008001-1</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C</w:t>
            </w:r>
            <w:r w:rsidRPr="000A582E">
              <w:rPr>
                <w:rFonts w:cs="Arial"/>
                <w:sz w:val="16"/>
                <w:szCs w:val="16"/>
                <w:lang w:val="es-CL" w:eastAsia="es-CL"/>
              </w:rPr>
              <w:t>h</w:t>
            </w:r>
            <w:r w:rsidR="0024776B">
              <w:rPr>
                <w:rFonts w:cs="Arial"/>
                <w:sz w:val="16"/>
                <w:szCs w:val="16"/>
                <w:lang w:val="es-CL" w:eastAsia="es-CL"/>
              </w:rPr>
              <w:t>acaye</w:t>
            </w:r>
            <w:r w:rsidRPr="000A582E">
              <w:rPr>
                <w:rFonts w:cs="Arial"/>
                <w:sz w:val="16"/>
                <w:szCs w:val="16"/>
                <w:lang w:val="es-CL" w:eastAsia="es-CL"/>
              </w:rPr>
              <w:t>s</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6.210.485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355.504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06008002-K</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C</w:t>
            </w:r>
            <w:r w:rsidRPr="000A582E">
              <w:rPr>
                <w:rFonts w:cs="Arial"/>
                <w:sz w:val="16"/>
                <w:szCs w:val="16"/>
                <w:lang w:val="es-CL" w:eastAsia="es-CL"/>
              </w:rPr>
              <w:t>oya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6.212.381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358.547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06008003-8</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Coya en C</w:t>
            </w:r>
            <w:r w:rsidRPr="000A582E">
              <w:rPr>
                <w:rFonts w:cs="Arial"/>
                <w:sz w:val="16"/>
                <w:szCs w:val="16"/>
                <w:lang w:val="es-CL" w:eastAsia="es-CL"/>
              </w:rPr>
              <w:t>oya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6.212.381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358.547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06008005-4</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Puente Termas de C</w:t>
            </w:r>
            <w:r w:rsidRPr="000A582E">
              <w:rPr>
                <w:rFonts w:cs="Arial"/>
                <w:sz w:val="16"/>
                <w:szCs w:val="16"/>
                <w:lang w:val="es-CL" w:eastAsia="es-CL"/>
              </w:rPr>
              <w:t>auquenes</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6.208.637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355.532</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700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06008009-7</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Canal Sauzal en Puente T</w:t>
            </w:r>
            <w:r w:rsidRPr="000A582E">
              <w:rPr>
                <w:rFonts w:cs="Arial"/>
                <w:sz w:val="16"/>
                <w:szCs w:val="16"/>
                <w:lang w:val="es-CL" w:eastAsia="es-CL"/>
              </w:rPr>
              <w:t>ermas</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6.209.738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357.000</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750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06009001-7</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Claro en C</w:t>
            </w:r>
            <w:r w:rsidRPr="000A582E">
              <w:rPr>
                <w:rFonts w:cs="Arial"/>
                <w:sz w:val="16"/>
                <w:szCs w:val="16"/>
                <w:lang w:val="es-CL" w:eastAsia="es-CL"/>
              </w:rPr>
              <w:t>ampamento</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6.206.766</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354.027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664</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06011001-8</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 xml:space="preserve">Estero de </w:t>
            </w:r>
            <w:smartTag w:uri="urn:schemas-microsoft-com:office:smarttags" w:element="PersonName">
              <w:smartTagPr>
                <w:attr w:name="ProductID" w:val="La Cadena"/>
              </w:smartTagPr>
              <w:r>
                <w:rPr>
                  <w:rFonts w:cs="Arial"/>
                  <w:sz w:val="16"/>
                  <w:szCs w:val="16"/>
                  <w:lang w:val="es-CL" w:eastAsia="es-CL"/>
                </w:rPr>
                <w:t>La Cadena</w:t>
              </w:r>
            </w:smartTag>
            <w:r>
              <w:rPr>
                <w:rFonts w:cs="Arial"/>
                <w:sz w:val="16"/>
                <w:szCs w:val="16"/>
                <w:lang w:val="es-CL" w:eastAsia="es-CL"/>
              </w:rPr>
              <w:t xml:space="preserve"> antes junta R</w:t>
            </w:r>
            <w:r w:rsidRPr="000A582E">
              <w:rPr>
                <w:rFonts w:cs="Arial"/>
                <w:sz w:val="16"/>
                <w:szCs w:val="16"/>
                <w:lang w:val="es-CL" w:eastAsia="es-CL"/>
              </w:rPr>
              <w:t>ío Cachapoal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6.215.512</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329.897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440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06013001-9</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Claro en Hacienda Las N</w:t>
            </w:r>
            <w:r w:rsidRPr="000A582E">
              <w:rPr>
                <w:rFonts w:cs="Arial"/>
                <w:sz w:val="16"/>
                <w:szCs w:val="16"/>
                <w:lang w:val="es-CL" w:eastAsia="es-CL"/>
              </w:rPr>
              <w:t>ieves</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6.181.574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343.449</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720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06013002-7</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Canal Tipaume en P</w:t>
            </w:r>
            <w:r w:rsidRPr="000A582E">
              <w:rPr>
                <w:rFonts w:cs="Arial"/>
                <w:sz w:val="16"/>
                <w:szCs w:val="16"/>
                <w:lang w:val="es-CL" w:eastAsia="es-CL"/>
              </w:rPr>
              <w:t xml:space="preserve">uente </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6.193.522</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335.838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06015001-K</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rPr>
                <w:rFonts w:cs="Arial"/>
                <w:sz w:val="16"/>
                <w:szCs w:val="16"/>
                <w:lang w:val="es-CL" w:eastAsia="es-CL"/>
              </w:rPr>
            </w:pPr>
            <w:r>
              <w:rPr>
                <w:rFonts w:cs="Arial"/>
                <w:sz w:val="16"/>
                <w:szCs w:val="16"/>
                <w:lang w:val="es-CL" w:eastAsia="es-CL"/>
              </w:rPr>
              <w:t>Río Claro en T</w:t>
            </w:r>
            <w:r w:rsidRPr="000A582E">
              <w:rPr>
                <w:rFonts w:cs="Arial"/>
                <w:sz w:val="16"/>
                <w:szCs w:val="16"/>
                <w:lang w:val="es-CL" w:eastAsia="es-CL"/>
              </w:rPr>
              <w:t>unca</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6.193.089</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306.745</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480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06018001-6</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Estero Zamorano en Puente El N</w:t>
            </w:r>
            <w:r w:rsidRPr="000A582E">
              <w:rPr>
                <w:rFonts w:cs="Arial"/>
                <w:sz w:val="16"/>
                <w:szCs w:val="16"/>
                <w:lang w:val="es-CL" w:eastAsia="es-CL"/>
              </w:rPr>
              <w:t>iche</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6.187.534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300.578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900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06018002-4</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P</w:t>
            </w:r>
            <w:r w:rsidRPr="000A582E">
              <w:rPr>
                <w:rFonts w:cs="Arial"/>
                <w:sz w:val="16"/>
                <w:szCs w:val="16"/>
                <w:lang w:val="es-CL" w:eastAsia="es-CL"/>
              </w:rPr>
              <w:t>eumo (brazo # 1)</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6.189.204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303.734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06018003-2</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P</w:t>
            </w:r>
            <w:r w:rsidRPr="000A582E">
              <w:rPr>
                <w:rFonts w:cs="Arial"/>
                <w:sz w:val="16"/>
                <w:szCs w:val="16"/>
                <w:lang w:val="es-CL" w:eastAsia="es-CL"/>
              </w:rPr>
              <w:t>eumo (brazo # 2)</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6.189.204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303.734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06018004-0</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P</w:t>
            </w:r>
            <w:r w:rsidRPr="000A582E">
              <w:rPr>
                <w:rFonts w:cs="Arial"/>
                <w:sz w:val="16"/>
                <w:szCs w:val="16"/>
                <w:lang w:val="es-CL" w:eastAsia="es-CL"/>
              </w:rPr>
              <w:t>eumo (brazo # 3)</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6.190.154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355.818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06019003-8</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Cachapoal</w:t>
            </w:r>
            <w:r>
              <w:rPr>
                <w:rFonts w:cs="Arial"/>
                <w:sz w:val="16"/>
                <w:szCs w:val="16"/>
                <w:lang w:val="es-CL" w:eastAsia="es-CL"/>
              </w:rPr>
              <w:t xml:space="preserve"> en Puente A</w:t>
            </w:r>
            <w:r w:rsidRPr="000A582E">
              <w:rPr>
                <w:rFonts w:cs="Arial"/>
                <w:sz w:val="16"/>
                <w:szCs w:val="16"/>
                <w:lang w:val="es-CL" w:eastAsia="es-CL"/>
              </w:rPr>
              <w:t>rqueado (ca)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6.203.551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283.476</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06025001-4</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 xml:space="preserve">ío </w:t>
            </w:r>
            <w:r>
              <w:rPr>
                <w:rFonts w:cs="Arial"/>
                <w:sz w:val="16"/>
                <w:szCs w:val="16"/>
                <w:lang w:val="es-CL" w:eastAsia="es-CL"/>
              </w:rPr>
              <w:t xml:space="preserve">Tinguiririca aguas abajo junta </w:t>
            </w:r>
            <w:r w:rsidR="0024776B">
              <w:rPr>
                <w:rFonts w:cs="Arial"/>
                <w:sz w:val="16"/>
                <w:szCs w:val="16"/>
                <w:lang w:val="es-CL" w:eastAsia="es-CL"/>
              </w:rPr>
              <w:t>Río</w:t>
            </w:r>
            <w:r>
              <w:rPr>
                <w:rFonts w:cs="Arial"/>
                <w:sz w:val="16"/>
                <w:szCs w:val="16"/>
                <w:lang w:val="es-CL" w:eastAsia="es-CL"/>
              </w:rPr>
              <w:t xml:space="preserve"> A</w:t>
            </w:r>
            <w:r w:rsidRPr="000A582E">
              <w:rPr>
                <w:rFonts w:cs="Arial"/>
                <w:sz w:val="16"/>
                <w:szCs w:val="16"/>
                <w:lang w:val="es-CL" w:eastAsia="es-CL"/>
              </w:rPr>
              <w:t>zufre</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6.145.828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356.735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1024</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06027001-5</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Claro en El V</w:t>
            </w:r>
            <w:r w:rsidRPr="000A582E">
              <w:rPr>
                <w:rFonts w:cs="Arial"/>
                <w:sz w:val="16"/>
                <w:szCs w:val="16"/>
                <w:lang w:val="es-CL" w:eastAsia="es-CL"/>
              </w:rPr>
              <w:t>alle</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6.159.731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328.137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476</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06027002-3</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Claro en Puente N</w:t>
            </w:r>
            <w:r w:rsidRPr="000A582E">
              <w:rPr>
                <w:rFonts w:cs="Arial"/>
                <w:sz w:val="16"/>
                <w:szCs w:val="16"/>
                <w:lang w:val="es-CL" w:eastAsia="es-CL"/>
              </w:rPr>
              <w:t>egro</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6.152.910</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339.608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06028001-0</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Tinguiririca</w:t>
            </w:r>
            <w:r>
              <w:rPr>
                <w:rFonts w:cs="Arial"/>
                <w:sz w:val="16"/>
                <w:szCs w:val="16"/>
                <w:lang w:val="es-CL" w:eastAsia="es-CL"/>
              </w:rPr>
              <w:t xml:space="preserve"> en </w:t>
            </w:r>
            <w:r w:rsidR="0024776B">
              <w:rPr>
                <w:rFonts w:cs="Arial"/>
                <w:sz w:val="16"/>
                <w:szCs w:val="16"/>
                <w:lang w:val="es-CL" w:eastAsia="es-CL"/>
              </w:rPr>
              <w:t>B</w:t>
            </w:r>
            <w:r>
              <w:rPr>
                <w:rFonts w:cs="Arial"/>
                <w:sz w:val="16"/>
                <w:szCs w:val="16"/>
                <w:lang w:val="es-CL" w:eastAsia="es-CL"/>
              </w:rPr>
              <w:t>ajo L</w:t>
            </w:r>
            <w:r w:rsidRPr="000A582E">
              <w:rPr>
                <w:rFonts w:cs="Arial"/>
                <w:sz w:val="16"/>
                <w:szCs w:val="16"/>
                <w:lang w:val="es-CL" w:eastAsia="es-CL"/>
              </w:rPr>
              <w:t>os Briones</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6.156.761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332.806</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560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06033001-8</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Estero Chimbarongo en Convento V</w:t>
            </w:r>
            <w:r w:rsidRPr="000A582E">
              <w:rPr>
                <w:rFonts w:cs="Arial"/>
                <w:sz w:val="16"/>
                <w:szCs w:val="16"/>
                <w:lang w:val="es-CL" w:eastAsia="es-CL"/>
              </w:rPr>
              <w:t>iejo</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6.150.168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306.011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06033009-3</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w:t>
            </w:r>
            <w:r w:rsidRPr="000A582E">
              <w:rPr>
                <w:rFonts w:cs="Arial"/>
                <w:sz w:val="16"/>
                <w:szCs w:val="16"/>
                <w:lang w:val="es-CL" w:eastAsia="es-CL"/>
              </w:rPr>
              <w:t xml:space="preserve">anal Teno en </w:t>
            </w:r>
            <w:r>
              <w:rPr>
                <w:rFonts w:cs="Arial"/>
                <w:sz w:val="16"/>
                <w:szCs w:val="16"/>
                <w:lang w:val="es-CL" w:eastAsia="es-CL"/>
              </w:rPr>
              <w:t>K</w:t>
            </w:r>
            <w:r w:rsidRPr="000A582E">
              <w:rPr>
                <w:rFonts w:cs="Arial"/>
                <w:sz w:val="16"/>
                <w:szCs w:val="16"/>
                <w:lang w:val="es-CL" w:eastAsia="es-CL"/>
              </w:rPr>
              <w:t>m. 13.465</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6.145.179</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307.741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06033011-5</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Estero Chimbarongo en R</w:t>
            </w:r>
            <w:r w:rsidRPr="000A582E">
              <w:rPr>
                <w:rFonts w:cs="Arial"/>
                <w:sz w:val="16"/>
                <w:szCs w:val="16"/>
                <w:lang w:val="es-CL" w:eastAsia="es-CL"/>
              </w:rPr>
              <w:t>uta 5</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6.148.085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312.613</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275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06034001-3</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w:t>
            </w:r>
            <w:r w:rsidRPr="000A582E">
              <w:rPr>
                <w:rFonts w:cs="Arial"/>
                <w:sz w:val="16"/>
                <w:szCs w:val="16"/>
                <w:lang w:val="es-CL" w:eastAsia="es-CL"/>
              </w:rPr>
              <w:t>stero Chimbarongo</w:t>
            </w:r>
            <w:r>
              <w:rPr>
                <w:rFonts w:cs="Arial"/>
                <w:sz w:val="16"/>
                <w:szCs w:val="16"/>
                <w:lang w:val="es-CL" w:eastAsia="es-CL"/>
              </w:rPr>
              <w:t xml:space="preserve"> en Santa C</w:t>
            </w:r>
            <w:r w:rsidRPr="000A582E">
              <w:rPr>
                <w:rFonts w:cs="Arial"/>
                <w:sz w:val="16"/>
                <w:szCs w:val="16"/>
                <w:lang w:val="es-CL" w:eastAsia="es-CL"/>
              </w:rPr>
              <w:t>ruz</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6.165.468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284.234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225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06034022-6</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w:t>
            </w:r>
            <w:r w:rsidRPr="000A582E">
              <w:rPr>
                <w:rFonts w:cs="Arial"/>
                <w:sz w:val="16"/>
                <w:szCs w:val="16"/>
                <w:lang w:val="es-CL" w:eastAsia="es-CL"/>
              </w:rPr>
              <w:t>stero Chimbarongo</w:t>
            </w:r>
            <w:r>
              <w:rPr>
                <w:rFonts w:cs="Arial"/>
                <w:sz w:val="16"/>
                <w:szCs w:val="16"/>
                <w:lang w:val="es-CL" w:eastAsia="es-CL"/>
              </w:rPr>
              <w:t xml:space="preserve"> bajo embalse Convento V</w:t>
            </w:r>
            <w:r w:rsidRPr="000A582E">
              <w:rPr>
                <w:rFonts w:cs="Arial"/>
                <w:sz w:val="16"/>
                <w:szCs w:val="16"/>
                <w:lang w:val="es-CL" w:eastAsia="es-CL"/>
              </w:rPr>
              <w:t>iejo</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6.150.591</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304.194</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06035001-9</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ío Tinguiririca</w:t>
            </w:r>
            <w:r>
              <w:rPr>
                <w:rFonts w:cs="Arial"/>
                <w:sz w:val="16"/>
                <w:szCs w:val="16"/>
                <w:lang w:val="es-CL" w:eastAsia="es-CL"/>
              </w:rPr>
              <w:t xml:space="preserve"> en Los O</w:t>
            </w:r>
            <w:r w:rsidRPr="000A582E">
              <w:rPr>
                <w:rFonts w:cs="Arial"/>
                <w:sz w:val="16"/>
                <w:szCs w:val="16"/>
                <w:lang w:val="es-CL" w:eastAsia="es-CL"/>
              </w:rPr>
              <w:t>lmos (ca)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6.180.333</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281.897</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223</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06043001-2</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sidRPr="000A582E">
              <w:rPr>
                <w:rFonts w:cs="Arial"/>
                <w:sz w:val="16"/>
                <w:szCs w:val="16"/>
                <w:lang w:val="es-CL" w:eastAsia="es-CL"/>
              </w:rPr>
              <w:t>estero Alhué</w:t>
            </w:r>
            <w:r>
              <w:rPr>
                <w:rFonts w:cs="Arial"/>
                <w:sz w:val="16"/>
                <w:szCs w:val="16"/>
                <w:lang w:val="es-CL" w:eastAsia="es-CL"/>
              </w:rPr>
              <w:t xml:space="preserve"> en Q</w:t>
            </w:r>
            <w:r w:rsidRPr="000A582E">
              <w:rPr>
                <w:rFonts w:cs="Arial"/>
                <w:sz w:val="16"/>
                <w:szCs w:val="16"/>
                <w:lang w:val="es-CL" w:eastAsia="es-CL"/>
              </w:rPr>
              <w:t>uilamuta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6.228.362</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292.859</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130</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06056001-3</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 xml:space="preserve">ío </w:t>
            </w:r>
            <w:r>
              <w:rPr>
                <w:rFonts w:cs="Arial"/>
                <w:sz w:val="16"/>
                <w:szCs w:val="16"/>
                <w:lang w:val="es-CL" w:eastAsia="es-CL"/>
              </w:rPr>
              <w:t>R</w:t>
            </w:r>
            <w:r w:rsidRPr="000A582E">
              <w:rPr>
                <w:rFonts w:cs="Arial"/>
                <w:sz w:val="16"/>
                <w:szCs w:val="16"/>
                <w:lang w:val="es-CL" w:eastAsia="es-CL"/>
              </w:rPr>
              <w:t xml:space="preserve">apel en </w:t>
            </w:r>
            <w:r>
              <w:rPr>
                <w:rFonts w:cs="Arial"/>
                <w:sz w:val="16"/>
                <w:szCs w:val="16"/>
                <w:lang w:val="es-CL" w:eastAsia="es-CL"/>
              </w:rPr>
              <w:t>R</w:t>
            </w:r>
            <w:r w:rsidRPr="000A582E">
              <w:rPr>
                <w:rFonts w:cs="Arial"/>
                <w:sz w:val="16"/>
                <w:szCs w:val="16"/>
                <w:lang w:val="es-CL" w:eastAsia="es-CL"/>
              </w:rPr>
              <w:t>apel</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6.241.052</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245.616</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06132001-6</w:t>
            </w:r>
          </w:p>
        </w:tc>
        <w:tc>
          <w:tcPr>
            <w:tcW w:w="526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w:t>
            </w:r>
            <w:r w:rsidRPr="000A582E">
              <w:rPr>
                <w:rFonts w:cs="Arial"/>
                <w:sz w:val="16"/>
                <w:szCs w:val="16"/>
                <w:lang w:val="es-CL" w:eastAsia="es-CL"/>
              </w:rPr>
              <w:t>stero Nilahue</w:t>
            </w:r>
            <w:r>
              <w:rPr>
                <w:rFonts w:cs="Arial"/>
                <w:sz w:val="16"/>
                <w:szCs w:val="16"/>
                <w:lang w:val="es-CL" w:eastAsia="es-CL"/>
              </w:rPr>
              <w:t xml:space="preserve"> en Santa T</w:t>
            </w:r>
            <w:r w:rsidRPr="000A582E">
              <w:rPr>
                <w:rFonts w:cs="Arial"/>
                <w:sz w:val="16"/>
                <w:szCs w:val="16"/>
                <w:lang w:val="es-CL" w:eastAsia="es-CL"/>
              </w:rPr>
              <w:t>eresa</w:t>
            </w:r>
          </w:p>
        </w:tc>
        <w:tc>
          <w:tcPr>
            <w:tcW w:w="85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6.170.725</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243.768</w:t>
            </w:r>
          </w:p>
        </w:tc>
        <w:tc>
          <w:tcPr>
            <w:tcW w:w="8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50</w:t>
            </w:r>
          </w:p>
        </w:tc>
      </w:tr>
    </w:tbl>
    <w:p w:rsidR="00D47B2F" w:rsidRPr="000A582E" w:rsidRDefault="00D47B2F" w:rsidP="00B51B51">
      <w:pPr>
        <w:widowControl w:val="0"/>
      </w:pPr>
    </w:p>
    <w:p w:rsidR="00D47B2F" w:rsidRDefault="00D47B2F" w:rsidP="00B51B51">
      <w:pPr>
        <w:widowControl w:val="0"/>
      </w:pPr>
      <w:r w:rsidRPr="000A582E">
        <w:t>La información fluviométrica recabada correspondió a caudales medios mensuales.</w:t>
      </w:r>
    </w:p>
    <w:p w:rsidR="00481F49" w:rsidRDefault="00481F49" w:rsidP="00B51B51">
      <w:pPr>
        <w:widowControl w:val="0"/>
      </w:pPr>
    </w:p>
    <w:p w:rsidR="00481F49" w:rsidRDefault="00481F49" w:rsidP="00B51B51">
      <w:pPr>
        <w:widowControl w:val="0"/>
      </w:pPr>
      <w:r w:rsidRPr="000A582E">
        <w:t xml:space="preserve">En </w:t>
      </w:r>
      <w:smartTag w:uri="urn:schemas-microsoft-com:office:smarttags" w:element="PersonName">
        <w:smartTagPr>
          <w:attr w:name="ProductID" w:val="la ￼￼￼￼￼￼￼￼￼￼￼￼￼￼￼￼￼￼￼￼￼￼￼￼￼￼￼￼￼￼￼￼￼￼￼￼￼￼￼￼￼Tabla"/>
        </w:smartTagPr>
        <w:r w:rsidRPr="000A582E">
          <w:t xml:space="preserve">la </w:t>
        </w:r>
        <w:r w:rsidRPr="000A582E">
          <w:fldChar w:fldCharType="begin"/>
        </w:r>
        <w:r w:rsidRPr="000A582E">
          <w:instrText xml:space="preserve"> REF _Ref331525845 \h </w:instrText>
        </w:r>
        <w:r>
          <w:instrText xml:space="preserve"> \* MERGEFORMAT </w:instrText>
        </w:r>
        <w:r w:rsidRPr="000A582E">
          <w:fldChar w:fldCharType="separate"/>
        </w:r>
        <w:r w:rsidR="00264070" w:rsidRPr="000A582E">
          <w:t>Tabla</w:t>
        </w:r>
      </w:smartTag>
      <w:r w:rsidR="00264070" w:rsidRPr="000A582E">
        <w:t xml:space="preserve"> </w:t>
      </w:r>
      <w:r w:rsidR="00264070">
        <w:t>2.3</w:t>
      </w:r>
      <w:r w:rsidRPr="000A582E">
        <w:fldChar w:fldCharType="end"/>
      </w:r>
      <w:r w:rsidRPr="000A582E">
        <w:t>, se presenta el detalle de la información disponible, expresada en la cantidad de meses con registros a partir del año hidrológico 1950/51.</w:t>
      </w:r>
      <w:r>
        <w:t xml:space="preserve"> </w:t>
      </w:r>
    </w:p>
    <w:p w:rsidR="00481F49" w:rsidRPr="000A582E" w:rsidRDefault="00481F49" w:rsidP="00B51B51">
      <w:pPr>
        <w:widowControl w:val="0"/>
      </w:pPr>
    </w:p>
    <w:p w:rsidR="00481F49" w:rsidRDefault="00481F49" w:rsidP="00B51B51">
      <w:pPr>
        <w:widowControl w:val="0"/>
      </w:pPr>
    </w:p>
    <w:p w:rsidR="00481F49" w:rsidRDefault="00481F49" w:rsidP="00B51B51">
      <w:pPr>
        <w:widowControl w:val="0"/>
      </w:pPr>
    </w:p>
    <w:p w:rsidR="00481F49" w:rsidRDefault="00481F49" w:rsidP="00B51B51">
      <w:pPr>
        <w:widowControl w:val="0"/>
      </w:pPr>
    </w:p>
    <w:p w:rsidR="00D47B2F" w:rsidRPr="000A582E" w:rsidRDefault="00D47B2F" w:rsidP="00B51B51">
      <w:pPr>
        <w:pStyle w:val="Epgrafe"/>
        <w:widowControl w:val="0"/>
      </w:pPr>
      <w:bookmarkStart w:id="27" w:name="_Ref331526078"/>
      <w:r>
        <w:br w:type="page"/>
      </w:r>
      <w:bookmarkStart w:id="28" w:name="_Ref331703202"/>
      <w:r w:rsidRPr="000A582E">
        <w:lastRenderedPageBreak/>
        <w:t xml:space="preserve">Figura </w:t>
      </w:r>
      <w:r w:rsidR="00951FEC">
        <w:fldChar w:fldCharType="begin"/>
      </w:r>
      <w:r w:rsidR="00951FEC">
        <w:instrText xml:space="preserve"> STYLEREF 1 \s </w:instrText>
      </w:r>
      <w:r w:rsidR="00951FEC">
        <w:fldChar w:fldCharType="separate"/>
      </w:r>
      <w:r w:rsidR="00264070">
        <w:rPr>
          <w:noProof/>
        </w:rPr>
        <w:t>2</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w:t>
      </w:r>
      <w:r w:rsidR="00951FEC">
        <w:fldChar w:fldCharType="end"/>
      </w:r>
      <w:bookmarkEnd w:id="27"/>
      <w:bookmarkEnd w:id="28"/>
      <w:r w:rsidRPr="000A582E">
        <w:t xml:space="preserve"> Ubicación de Estaciones </w:t>
      </w:r>
      <w:r>
        <w:t>Fluviométricas</w:t>
      </w:r>
    </w:p>
    <w:p w:rsidR="00D47B2F" w:rsidRPr="000A582E" w:rsidRDefault="00D47B2F" w:rsidP="00B51B51">
      <w:pPr>
        <w:widowControl w:val="0"/>
      </w:pPr>
    </w:p>
    <w:p w:rsidR="00D47B2F" w:rsidRDefault="00481F49" w:rsidP="00B51B51">
      <w:pPr>
        <w:widowControl w:val="0"/>
      </w:pPr>
      <w:r w:rsidRPr="000A582E">
        <w:t xml:space="preserve"> </w:t>
      </w: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4C2FFA" w:rsidRDefault="004C2FFA" w:rsidP="00B51B51">
      <w:pPr>
        <w:widowControl w:val="0"/>
      </w:pPr>
    </w:p>
    <w:p w:rsidR="00D47B2F" w:rsidRPr="000A582E" w:rsidRDefault="00D47B2F" w:rsidP="00B51B51">
      <w:pPr>
        <w:pStyle w:val="Epgrafe"/>
        <w:widowControl w:val="0"/>
      </w:pPr>
      <w:bookmarkStart w:id="29" w:name="_Ref331525845"/>
      <w:r w:rsidRPr="000A582E">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bookmarkEnd w:id="29"/>
      <w:r w:rsidRPr="000A582E">
        <w:t xml:space="preserve"> Información Disponible de Caudales Medios Mensuales</w:t>
      </w:r>
    </w:p>
    <w:tbl>
      <w:tblPr>
        <w:tblW w:w="0" w:type="auto"/>
        <w:jc w:val="center"/>
        <w:tblLayout w:type="fixed"/>
        <w:tblCellMar>
          <w:left w:w="70" w:type="dxa"/>
          <w:right w:w="70" w:type="dxa"/>
        </w:tblCellMar>
        <w:tblLook w:val="0000" w:firstRow="0" w:lastRow="0" w:firstColumn="0" w:lastColumn="0" w:noHBand="0" w:noVBand="0"/>
      </w:tblPr>
      <w:tblGrid>
        <w:gridCol w:w="3969"/>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tblGrid>
      <w:tr w:rsidR="00D47B2F" w:rsidRPr="005E199D">
        <w:trPr>
          <w:trHeight w:val="534"/>
          <w:jc w:val="cent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5E199D" w:rsidRDefault="00D47B2F" w:rsidP="00B51B51">
            <w:pPr>
              <w:widowControl w:val="0"/>
              <w:jc w:val="center"/>
              <w:rPr>
                <w:rFonts w:cs="Arial"/>
                <w:sz w:val="14"/>
                <w:szCs w:val="14"/>
              </w:rPr>
            </w:pPr>
            <w:r w:rsidRPr="005E199D">
              <w:rPr>
                <w:rFonts w:cs="Arial"/>
                <w:sz w:val="14"/>
                <w:szCs w:val="14"/>
              </w:rPr>
              <w:t>Nombre</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1950/51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1951/52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1952/53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1953/54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1954/55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1955/56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1956/57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1957/58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1958/59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1959/60</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1960/61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1961/62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1962/63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1963/64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1964/65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1965/66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1966/67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1967/68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1968/69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1969/70</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1970/71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1971/72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1972/73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1973/74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1974/75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1975/76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1976/77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1977/78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1978/79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5E199D" w:rsidRDefault="00D47B2F" w:rsidP="00B51B51">
            <w:pPr>
              <w:widowControl w:val="0"/>
              <w:jc w:val="center"/>
              <w:rPr>
                <w:rFonts w:cs="Arial"/>
                <w:sz w:val="14"/>
                <w:szCs w:val="14"/>
              </w:rPr>
            </w:pPr>
            <w:r w:rsidRPr="005E199D">
              <w:rPr>
                <w:rFonts w:cs="Arial"/>
                <w:sz w:val="14"/>
                <w:szCs w:val="14"/>
              </w:rPr>
              <w:t>1979/80</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Las Leñas ante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Cortaderal ante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w:t>
            </w:r>
            <w:r w:rsidRPr="005E199D">
              <w:rPr>
                <w:rFonts w:cs="Arial"/>
                <w:sz w:val="14"/>
                <w:szCs w:val="14"/>
              </w:rPr>
              <w:t>ac</w:t>
            </w:r>
            <w:r>
              <w:rPr>
                <w:rFonts w:cs="Arial"/>
                <w:sz w:val="14"/>
                <w:szCs w:val="14"/>
              </w:rPr>
              <w:t xml:space="preserve">hapoal </w:t>
            </w:r>
            <w:smartTag w:uri="urn:schemas-microsoft-com:office:smarttags" w:element="metricconverter">
              <w:smartTagPr>
                <w:attr w:name="ProductID" w:val="5 km"/>
              </w:smartTagPr>
              <w:r>
                <w:rPr>
                  <w:rFonts w:cs="Arial"/>
                  <w:sz w:val="14"/>
                  <w:szCs w:val="14"/>
                </w:rPr>
                <w:t>5 km</w:t>
              </w:r>
            </w:smartTag>
            <w:r>
              <w:rPr>
                <w:rFonts w:cs="Arial"/>
                <w:sz w:val="14"/>
                <w:szCs w:val="14"/>
              </w:rPr>
              <w:t>. aguas abajo junta C</w:t>
            </w:r>
            <w:r w:rsidRPr="005E199D">
              <w:rPr>
                <w:rFonts w:cs="Arial"/>
                <w:sz w:val="14"/>
                <w:szCs w:val="14"/>
              </w:rPr>
              <w:t>ortaderal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Pangal en P</w:t>
            </w:r>
            <w:r w:rsidRPr="005E199D">
              <w:rPr>
                <w:rFonts w:cs="Arial"/>
                <w:sz w:val="14"/>
                <w:szCs w:val="14"/>
              </w:rPr>
              <w:t>angal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Cachapoal en Pte Termas de C</w:t>
            </w:r>
            <w:r w:rsidRPr="005E199D">
              <w:rPr>
                <w:rFonts w:cs="Arial"/>
                <w:sz w:val="14"/>
                <w:szCs w:val="14"/>
              </w:rPr>
              <w:t>auquenes</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Canal Sauzal en Puente T</w:t>
            </w:r>
            <w:r w:rsidRPr="005E199D">
              <w:rPr>
                <w:rFonts w:cs="Arial"/>
                <w:sz w:val="14"/>
                <w:szCs w:val="14"/>
              </w:rPr>
              <w:t>ermas</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 xml:space="preserve">Estero de </w:t>
            </w:r>
            <w:smartTag w:uri="urn:schemas-microsoft-com:office:smarttags" w:element="PersonName">
              <w:smartTagPr>
                <w:attr w:name="ProductID" w:val="La Cadena"/>
              </w:smartTagPr>
              <w:r>
                <w:rPr>
                  <w:rFonts w:cs="Arial"/>
                  <w:sz w:val="14"/>
                  <w:szCs w:val="14"/>
                </w:rPr>
                <w:t>La Cadena</w:t>
              </w:r>
            </w:smartTag>
            <w:r>
              <w:rPr>
                <w:rFonts w:cs="Arial"/>
                <w:sz w:val="14"/>
                <w:szCs w:val="14"/>
              </w:rPr>
              <w:t xml:space="preserve"> antes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Claro en Hacienda Las N</w:t>
            </w:r>
            <w:r w:rsidRPr="005E199D">
              <w:rPr>
                <w:rFonts w:cs="Arial"/>
                <w:sz w:val="14"/>
                <w:szCs w:val="14"/>
              </w:rPr>
              <w:t>ieves</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Claro en T</w:t>
            </w:r>
            <w:r w:rsidRPr="005E199D">
              <w:rPr>
                <w:rFonts w:cs="Arial"/>
                <w:sz w:val="14"/>
                <w:szCs w:val="14"/>
              </w:rPr>
              <w:t>unca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Zamorano en Puente El N</w:t>
            </w:r>
            <w:r w:rsidRPr="005E199D">
              <w:rPr>
                <w:rFonts w:cs="Arial"/>
                <w:sz w:val="14"/>
                <w:szCs w:val="14"/>
              </w:rPr>
              <w:t>iche</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Cachapoal en Puente A</w:t>
            </w:r>
            <w:r w:rsidRPr="005E199D">
              <w:rPr>
                <w:rFonts w:cs="Arial"/>
                <w:sz w:val="14"/>
                <w:szCs w:val="14"/>
              </w:rPr>
              <w:t>rqueado (ca)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aguas abajo junta Río A</w:t>
            </w:r>
            <w:r w:rsidRPr="005E199D">
              <w:rPr>
                <w:rFonts w:cs="Arial"/>
                <w:sz w:val="14"/>
                <w:szCs w:val="14"/>
              </w:rPr>
              <w:t>zufre</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Claro en El V</w:t>
            </w:r>
            <w:r w:rsidRPr="005E199D">
              <w:rPr>
                <w:rFonts w:cs="Arial"/>
                <w:sz w:val="14"/>
                <w:szCs w:val="14"/>
              </w:rPr>
              <w:t>alle</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bajo Los B</w:t>
            </w:r>
            <w:r w:rsidRPr="005E199D">
              <w:rPr>
                <w:rFonts w:cs="Arial"/>
                <w:sz w:val="14"/>
                <w:szCs w:val="14"/>
              </w:rPr>
              <w:t>riones</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3</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C</w:t>
            </w:r>
            <w:r w:rsidRPr="005E199D">
              <w:rPr>
                <w:rFonts w:cs="Arial"/>
                <w:sz w:val="14"/>
                <w:szCs w:val="14"/>
              </w:rPr>
              <w:t>himbarongo en</w:t>
            </w:r>
            <w:r>
              <w:rPr>
                <w:rFonts w:cs="Arial"/>
                <w:sz w:val="14"/>
                <w:szCs w:val="14"/>
              </w:rPr>
              <w:t xml:space="preserve"> Convento V</w:t>
            </w:r>
            <w:r w:rsidRPr="005E199D">
              <w:rPr>
                <w:rFonts w:cs="Arial"/>
                <w:sz w:val="14"/>
                <w:szCs w:val="14"/>
              </w:rPr>
              <w:t>iejo</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Canal T</w:t>
            </w:r>
            <w:r w:rsidRPr="005E199D">
              <w:rPr>
                <w:rFonts w:cs="Arial"/>
                <w:sz w:val="14"/>
                <w:szCs w:val="14"/>
              </w:rPr>
              <w:t>eno en km. 13.465</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Chimbarongo en Santa C</w:t>
            </w:r>
            <w:r w:rsidRPr="005E199D">
              <w:rPr>
                <w:rFonts w:cs="Arial"/>
                <w:sz w:val="14"/>
                <w:szCs w:val="14"/>
              </w:rPr>
              <w:t>ruz</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en Los O</w:t>
            </w:r>
            <w:r w:rsidRPr="005E199D">
              <w:rPr>
                <w:rFonts w:cs="Arial"/>
                <w:sz w:val="14"/>
                <w:szCs w:val="14"/>
              </w:rPr>
              <w:t>lmos (ca)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Alhué en Q</w:t>
            </w:r>
            <w:r w:rsidRPr="005E199D">
              <w:rPr>
                <w:rFonts w:cs="Arial"/>
                <w:sz w:val="14"/>
                <w:szCs w:val="14"/>
              </w:rPr>
              <w:t>uilamuta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Rapel en R</w:t>
            </w:r>
            <w:r w:rsidRPr="005E199D">
              <w:rPr>
                <w:rFonts w:cs="Arial"/>
                <w:sz w:val="14"/>
                <w:szCs w:val="14"/>
              </w:rPr>
              <w:t>apel</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r w:rsidR="00D47B2F" w:rsidRPr="005E199D">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Nilahue en Santa T</w:t>
            </w:r>
            <w:r w:rsidRPr="005E199D">
              <w:rPr>
                <w:rFonts w:cs="Arial"/>
                <w:sz w:val="14"/>
                <w:szCs w:val="14"/>
              </w:rPr>
              <w:t>eresa</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5E199D" w:rsidRDefault="00D47B2F" w:rsidP="00B51B51">
            <w:pPr>
              <w:widowControl w:val="0"/>
              <w:jc w:val="center"/>
              <w:rPr>
                <w:rFonts w:cs="Arial"/>
                <w:sz w:val="14"/>
                <w:szCs w:val="14"/>
              </w:rPr>
            </w:pPr>
            <w:r w:rsidRPr="005E199D">
              <w:rPr>
                <w:rFonts w:cs="Arial"/>
                <w:sz w:val="14"/>
                <w:szCs w:val="14"/>
              </w:rPr>
              <w:t> </w:t>
            </w:r>
          </w:p>
        </w:tc>
      </w:tr>
    </w:tbl>
    <w:p w:rsidR="00D47B2F" w:rsidRPr="000A582E" w:rsidRDefault="00D47B2F" w:rsidP="00B51B51">
      <w:pPr>
        <w:widowControl w:val="0"/>
      </w:pPr>
    </w:p>
    <w:p w:rsidR="00D47B2F" w:rsidRPr="000A582E" w:rsidRDefault="00D47B2F" w:rsidP="00B51B51">
      <w:pPr>
        <w:pStyle w:val="Epgrafe"/>
        <w:widowControl w:val="0"/>
      </w:pPr>
      <w:r w:rsidRPr="000A582E">
        <w:t xml:space="preserve">Tabla </w:t>
      </w:r>
      <w:r w:rsidRPr="000A582E">
        <w:fldChar w:fldCharType="begin"/>
      </w:r>
      <w:r w:rsidRPr="000A582E">
        <w:instrText xml:space="preserve"> STYLEREF 1 \s </w:instrText>
      </w:r>
      <w:r w:rsidRPr="000A582E">
        <w:fldChar w:fldCharType="separate"/>
      </w:r>
      <w:r w:rsidR="00264070">
        <w:rPr>
          <w:noProof/>
        </w:rPr>
        <w:t>2</w:t>
      </w:r>
      <w:r w:rsidRPr="000A582E">
        <w:fldChar w:fldCharType="end"/>
      </w:r>
      <w:r w:rsidRPr="000A582E">
        <w:t>.3 Información Disponible de Caudales Medios Mensuales (continuación)</w:t>
      </w:r>
    </w:p>
    <w:tbl>
      <w:tblPr>
        <w:tblW w:w="10293" w:type="dxa"/>
        <w:jc w:val="center"/>
        <w:tblLayout w:type="fixed"/>
        <w:tblCellMar>
          <w:left w:w="70" w:type="dxa"/>
          <w:right w:w="70" w:type="dxa"/>
        </w:tblCellMar>
        <w:tblLook w:val="0000" w:firstRow="0" w:lastRow="0" w:firstColumn="0" w:lastColumn="0" w:noHBand="0" w:noVBand="0"/>
      </w:tblPr>
      <w:tblGrid>
        <w:gridCol w:w="3969"/>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gridCol w:w="204"/>
      </w:tblGrid>
      <w:tr w:rsidR="00D47B2F" w:rsidRPr="00ED0B11">
        <w:trPr>
          <w:trHeight w:val="535"/>
          <w:jc w:val="cent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ED0B11" w:rsidRDefault="00D47B2F" w:rsidP="00B51B51">
            <w:pPr>
              <w:widowControl w:val="0"/>
              <w:jc w:val="center"/>
              <w:rPr>
                <w:rFonts w:cs="Arial"/>
                <w:sz w:val="14"/>
                <w:szCs w:val="14"/>
              </w:rPr>
            </w:pPr>
            <w:r>
              <w:rPr>
                <w:rFonts w:cs="Arial"/>
                <w:sz w:val="14"/>
                <w:szCs w:val="14"/>
              </w:rPr>
              <w:t>Nombre</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1980/81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1981/82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1982/83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1983/84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1984/85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1985/86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1986/87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1987/88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1988/89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1989/90</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1990/91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1991/92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1992/93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1993/94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1994/95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1995/96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1996/97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1997/98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1998/99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1999/00</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2000/01</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2001/02</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2002/03</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2003/04</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2004/05</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2005/06</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2006/07</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2007/08</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2008/09</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2009/10</w:t>
            </w:r>
          </w:p>
        </w:tc>
        <w:tc>
          <w:tcPr>
            <w:tcW w:w="204" w:type="dxa"/>
            <w:tcBorders>
              <w:top w:val="single" w:sz="4" w:space="0" w:color="auto"/>
              <w:left w:val="nil"/>
              <w:bottom w:val="single" w:sz="4" w:space="0" w:color="auto"/>
              <w:right w:val="single" w:sz="4" w:space="0" w:color="auto"/>
            </w:tcBorders>
            <w:shd w:val="clear" w:color="auto" w:fill="auto"/>
            <w:noWrap/>
            <w:textDirection w:val="btLr"/>
            <w:vAlign w:val="center"/>
          </w:tcPr>
          <w:p w:rsidR="00D47B2F" w:rsidRPr="00ED0B11" w:rsidRDefault="00D47B2F" w:rsidP="00B51B51">
            <w:pPr>
              <w:widowControl w:val="0"/>
              <w:jc w:val="center"/>
              <w:rPr>
                <w:rFonts w:cs="Arial"/>
                <w:sz w:val="14"/>
                <w:szCs w:val="14"/>
              </w:rPr>
            </w:pPr>
            <w:r w:rsidRPr="00ED0B11">
              <w:rPr>
                <w:rFonts w:cs="Arial"/>
                <w:sz w:val="14"/>
                <w:szCs w:val="14"/>
              </w:rPr>
              <w:t>2010/11</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Las Leñas ante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4</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Cortaderal ante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w:t>
            </w:r>
            <w:r w:rsidRPr="005E199D">
              <w:rPr>
                <w:rFonts w:cs="Arial"/>
                <w:sz w:val="14"/>
                <w:szCs w:val="14"/>
              </w:rPr>
              <w:t>ac</w:t>
            </w:r>
            <w:r>
              <w:rPr>
                <w:rFonts w:cs="Arial"/>
                <w:sz w:val="14"/>
                <w:szCs w:val="14"/>
              </w:rPr>
              <w:t xml:space="preserve">hapoal </w:t>
            </w:r>
            <w:smartTag w:uri="urn:schemas-microsoft-com:office:smarttags" w:element="metricconverter">
              <w:smartTagPr>
                <w:attr w:name="ProductID" w:val="5 km"/>
              </w:smartTagPr>
              <w:r>
                <w:rPr>
                  <w:rFonts w:cs="Arial"/>
                  <w:sz w:val="14"/>
                  <w:szCs w:val="14"/>
                </w:rPr>
                <w:t>5 km</w:t>
              </w:r>
            </w:smartTag>
            <w:r>
              <w:rPr>
                <w:rFonts w:cs="Arial"/>
                <w:sz w:val="14"/>
                <w:szCs w:val="14"/>
              </w:rPr>
              <w:t>. aguas abajo junta C</w:t>
            </w:r>
            <w:r w:rsidRPr="005E199D">
              <w:rPr>
                <w:rFonts w:cs="Arial"/>
                <w:sz w:val="14"/>
                <w:szCs w:val="14"/>
              </w:rPr>
              <w:t>ortaderal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4</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Pangal en P</w:t>
            </w:r>
            <w:r w:rsidRPr="005E199D">
              <w:rPr>
                <w:rFonts w:cs="Arial"/>
                <w:sz w:val="14"/>
                <w:szCs w:val="14"/>
              </w:rPr>
              <w:t>angal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Cachapoal en Pte Termas de C</w:t>
            </w:r>
            <w:r w:rsidRPr="005E199D">
              <w:rPr>
                <w:rFonts w:cs="Arial"/>
                <w:sz w:val="14"/>
                <w:szCs w:val="14"/>
              </w:rPr>
              <w:t>auquenes</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Canal Sauzal en Puente T</w:t>
            </w:r>
            <w:r w:rsidRPr="005E199D">
              <w:rPr>
                <w:rFonts w:cs="Arial"/>
                <w:sz w:val="14"/>
                <w:szCs w:val="14"/>
              </w:rPr>
              <w:t>ermas</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1</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 xml:space="preserve">Estero de </w:t>
            </w:r>
            <w:smartTag w:uri="urn:schemas-microsoft-com:office:smarttags" w:element="PersonName">
              <w:smartTagPr>
                <w:attr w:name="ProductID" w:val="La Cadena"/>
              </w:smartTagPr>
              <w:r>
                <w:rPr>
                  <w:rFonts w:cs="Arial"/>
                  <w:sz w:val="14"/>
                  <w:szCs w:val="14"/>
                </w:rPr>
                <w:t>La Cadena</w:t>
              </w:r>
            </w:smartTag>
            <w:r>
              <w:rPr>
                <w:rFonts w:cs="Arial"/>
                <w:sz w:val="14"/>
                <w:szCs w:val="14"/>
              </w:rPr>
              <w:t xml:space="preserve"> antes junta Río C</w:t>
            </w:r>
            <w:r w:rsidRPr="005E199D">
              <w:rPr>
                <w:rFonts w:cs="Arial"/>
                <w:sz w:val="14"/>
                <w:szCs w:val="14"/>
              </w:rPr>
              <w:t>achapoal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Claro en Hacienda Las N</w:t>
            </w:r>
            <w:r w:rsidRPr="005E199D">
              <w:rPr>
                <w:rFonts w:cs="Arial"/>
                <w:sz w:val="14"/>
                <w:szCs w:val="14"/>
              </w:rPr>
              <w:t>ieves</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3</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Claro en T</w:t>
            </w:r>
            <w:r w:rsidRPr="005E199D">
              <w:rPr>
                <w:rFonts w:cs="Arial"/>
                <w:sz w:val="14"/>
                <w:szCs w:val="14"/>
              </w:rPr>
              <w:t>unca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3</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Zamorano en Puente El N</w:t>
            </w:r>
            <w:r w:rsidRPr="005E199D">
              <w:rPr>
                <w:rFonts w:cs="Arial"/>
                <w:sz w:val="14"/>
                <w:szCs w:val="14"/>
              </w:rPr>
              <w:t>iche</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4</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Cachapoal en Puente A</w:t>
            </w:r>
            <w:r w:rsidRPr="005E199D">
              <w:rPr>
                <w:rFonts w:cs="Arial"/>
                <w:sz w:val="14"/>
                <w:szCs w:val="14"/>
              </w:rPr>
              <w:t>rqueado (ca)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aguas abajo junta Río A</w:t>
            </w:r>
            <w:r w:rsidRPr="005E199D">
              <w:rPr>
                <w:rFonts w:cs="Arial"/>
                <w:sz w:val="14"/>
                <w:szCs w:val="14"/>
              </w:rPr>
              <w:t>zufre</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3</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 xml:space="preserve">Río Claro en </w:t>
            </w:r>
            <w:r w:rsidR="0024776B">
              <w:rPr>
                <w:rFonts w:cs="Arial"/>
                <w:sz w:val="14"/>
                <w:szCs w:val="14"/>
              </w:rPr>
              <w:t>E</w:t>
            </w:r>
            <w:r>
              <w:rPr>
                <w:rFonts w:cs="Arial"/>
                <w:sz w:val="14"/>
                <w:szCs w:val="14"/>
              </w:rPr>
              <w:t>l V</w:t>
            </w:r>
            <w:r w:rsidRPr="005E199D">
              <w:rPr>
                <w:rFonts w:cs="Arial"/>
                <w:sz w:val="14"/>
                <w:szCs w:val="14"/>
              </w:rPr>
              <w:t>alle</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2</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bajo Los B</w:t>
            </w:r>
            <w:r w:rsidRPr="005E199D">
              <w:rPr>
                <w:rFonts w:cs="Arial"/>
                <w:sz w:val="14"/>
                <w:szCs w:val="14"/>
              </w:rPr>
              <w:t>riones</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4</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3</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C</w:t>
            </w:r>
            <w:r w:rsidRPr="005E199D">
              <w:rPr>
                <w:rFonts w:cs="Arial"/>
                <w:sz w:val="14"/>
                <w:szCs w:val="14"/>
              </w:rPr>
              <w:t>himbarongo en</w:t>
            </w:r>
            <w:r>
              <w:rPr>
                <w:rFonts w:cs="Arial"/>
                <w:sz w:val="14"/>
                <w:szCs w:val="14"/>
              </w:rPr>
              <w:t xml:space="preserve"> Convento V</w:t>
            </w:r>
            <w:r w:rsidRPr="005E199D">
              <w:rPr>
                <w:rFonts w:cs="Arial"/>
                <w:sz w:val="14"/>
                <w:szCs w:val="14"/>
              </w:rPr>
              <w:t>iejo</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Canal T</w:t>
            </w:r>
            <w:r w:rsidRPr="005E199D">
              <w:rPr>
                <w:rFonts w:cs="Arial"/>
                <w:sz w:val="14"/>
                <w:szCs w:val="14"/>
              </w:rPr>
              <w:t>eno en km. 13.465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5</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4</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6</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Chimbarongo en Santa C</w:t>
            </w:r>
            <w:r w:rsidRPr="005E199D">
              <w:rPr>
                <w:rFonts w:cs="Arial"/>
                <w:sz w:val="14"/>
                <w:szCs w:val="14"/>
              </w:rPr>
              <w:t>ruz</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Tinguiririca en Los O</w:t>
            </w:r>
            <w:r w:rsidRPr="005E199D">
              <w:rPr>
                <w:rFonts w:cs="Arial"/>
                <w:sz w:val="14"/>
                <w:szCs w:val="14"/>
              </w:rPr>
              <w:t>lmos (ca)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Alhué en Q</w:t>
            </w:r>
            <w:r w:rsidRPr="005E199D">
              <w:rPr>
                <w:rFonts w:cs="Arial"/>
                <w:sz w:val="14"/>
                <w:szCs w:val="14"/>
              </w:rPr>
              <w:t>uilamuta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8</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Río Rapel en R</w:t>
            </w:r>
            <w:r w:rsidRPr="005E199D">
              <w:rPr>
                <w:rFonts w:cs="Arial"/>
                <w:sz w:val="14"/>
                <w:szCs w:val="14"/>
              </w:rPr>
              <w:t>apel</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r>
      <w:tr w:rsidR="00D47B2F" w:rsidRPr="00ED0B11">
        <w:trPr>
          <w:jc w:val="center"/>
        </w:trPr>
        <w:tc>
          <w:tcPr>
            <w:tcW w:w="3969" w:type="dxa"/>
            <w:tcBorders>
              <w:top w:val="nil"/>
              <w:left w:val="single" w:sz="4" w:space="0" w:color="auto"/>
              <w:bottom w:val="single" w:sz="4" w:space="0" w:color="auto"/>
              <w:right w:val="single" w:sz="4" w:space="0" w:color="auto"/>
            </w:tcBorders>
            <w:shd w:val="clear" w:color="auto" w:fill="auto"/>
            <w:noWrap/>
            <w:vAlign w:val="bottom"/>
          </w:tcPr>
          <w:p w:rsidR="00D47B2F" w:rsidRPr="005E199D" w:rsidRDefault="00D47B2F" w:rsidP="00B51B51">
            <w:pPr>
              <w:widowControl w:val="0"/>
              <w:jc w:val="left"/>
              <w:rPr>
                <w:rFonts w:cs="Arial"/>
                <w:sz w:val="14"/>
                <w:szCs w:val="14"/>
              </w:rPr>
            </w:pPr>
            <w:r>
              <w:rPr>
                <w:rFonts w:cs="Arial"/>
                <w:sz w:val="14"/>
                <w:szCs w:val="14"/>
              </w:rPr>
              <w:t>Estero Nilahue en Santa T</w:t>
            </w:r>
            <w:r w:rsidRPr="005E199D">
              <w:rPr>
                <w:rFonts w:cs="Arial"/>
                <w:sz w:val="14"/>
                <w:szCs w:val="14"/>
              </w:rPr>
              <w:t>eresa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 </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b</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7</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a</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c</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c>
          <w:tcPr>
            <w:tcW w:w="204" w:type="dxa"/>
            <w:tcBorders>
              <w:top w:val="nil"/>
              <w:left w:val="nil"/>
              <w:bottom w:val="single" w:sz="4" w:space="0" w:color="auto"/>
              <w:right w:val="single" w:sz="4" w:space="0" w:color="auto"/>
            </w:tcBorders>
            <w:shd w:val="clear" w:color="auto" w:fill="auto"/>
            <w:noWrap/>
            <w:vAlign w:val="bottom"/>
          </w:tcPr>
          <w:p w:rsidR="00D47B2F" w:rsidRPr="00ED0B11" w:rsidRDefault="00D47B2F" w:rsidP="00B51B51">
            <w:pPr>
              <w:widowControl w:val="0"/>
              <w:jc w:val="center"/>
              <w:rPr>
                <w:rFonts w:cs="Arial"/>
                <w:sz w:val="14"/>
                <w:szCs w:val="14"/>
              </w:rPr>
            </w:pPr>
            <w:r w:rsidRPr="00ED0B11">
              <w:rPr>
                <w:rFonts w:cs="Arial"/>
                <w:sz w:val="14"/>
                <w:szCs w:val="14"/>
              </w:rPr>
              <w:t>9</w:t>
            </w:r>
          </w:p>
        </w:tc>
      </w:tr>
    </w:tbl>
    <w:p w:rsidR="00D47B2F" w:rsidRPr="000A582E" w:rsidRDefault="00D47B2F" w:rsidP="00B51B51">
      <w:pPr>
        <w:widowControl w:val="0"/>
        <w:rPr>
          <w:sz w:val="16"/>
          <w:szCs w:val="16"/>
        </w:rPr>
      </w:pPr>
      <w:r w:rsidRPr="000A582E">
        <w:rPr>
          <w:sz w:val="16"/>
          <w:szCs w:val="16"/>
        </w:rPr>
        <w:t>Nota:</w:t>
      </w:r>
    </w:p>
    <w:p w:rsidR="00D47B2F" w:rsidRPr="000A582E" w:rsidRDefault="00D47B2F" w:rsidP="00B51B51">
      <w:pPr>
        <w:widowControl w:val="0"/>
        <w:rPr>
          <w:sz w:val="16"/>
          <w:szCs w:val="16"/>
        </w:rPr>
      </w:pPr>
      <w:smartTag w:uri="urn:schemas-microsoft-com:office:smarttags" w:element="metricconverter">
        <w:smartTagPr>
          <w:attr w:name="ProductID" w:val="1 a"/>
        </w:smartTagPr>
        <w:r w:rsidRPr="000A582E">
          <w:rPr>
            <w:sz w:val="16"/>
            <w:szCs w:val="16"/>
          </w:rPr>
          <w:t>1 a</w:t>
        </w:r>
      </w:smartTag>
      <w:r w:rsidRPr="000A582E">
        <w:rPr>
          <w:sz w:val="16"/>
          <w:szCs w:val="16"/>
        </w:rPr>
        <w:t xml:space="preserve"> 9: cantidad de meses con registros</w:t>
      </w:r>
    </w:p>
    <w:p w:rsidR="00D47B2F" w:rsidRPr="000A582E" w:rsidRDefault="00D47B2F" w:rsidP="00B51B51">
      <w:pPr>
        <w:widowControl w:val="0"/>
        <w:rPr>
          <w:sz w:val="16"/>
          <w:szCs w:val="16"/>
        </w:rPr>
      </w:pPr>
      <w:r w:rsidRPr="000A582E">
        <w:rPr>
          <w:sz w:val="16"/>
          <w:szCs w:val="16"/>
        </w:rPr>
        <w:t>c: registro completo</w:t>
      </w:r>
    </w:p>
    <w:p w:rsidR="00D47B2F" w:rsidRPr="000A582E" w:rsidRDefault="00D47B2F" w:rsidP="00B51B51">
      <w:pPr>
        <w:widowControl w:val="0"/>
        <w:rPr>
          <w:sz w:val="16"/>
          <w:szCs w:val="16"/>
        </w:rPr>
      </w:pPr>
      <w:r w:rsidRPr="000A582E">
        <w:rPr>
          <w:sz w:val="16"/>
          <w:szCs w:val="16"/>
        </w:rPr>
        <w:t>b: 11 meses de registro</w:t>
      </w:r>
    </w:p>
    <w:p w:rsidR="00D47B2F" w:rsidRPr="000A582E" w:rsidRDefault="00D47B2F" w:rsidP="00B51B51">
      <w:pPr>
        <w:widowControl w:val="0"/>
        <w:rPr>
          <w:sz w:val="16"/>
          <w:szCs w:val="16"/>
        </w:rPr>
      </w:pPr>
      <w:r w:rsidRPr="000A582E">
        <w:rPr>
          <w:sz w:val="16"/>
          <w:szCs w:val="16"/>
        </w:rPr>
        <w:t>a:10 meses de registro</w:t>
      </w:r>
    </w:p>
    <w:p w:rsidR="00D47B2F" w:rsidRDefault="00D47B2F" w:rsidP="00B51B51">
      <w:pPr>
        <w:widowControl w:val="0"/>
        <w:rPr>
          <w:sz w:val="16"/>
          <w:szCs w:val="16"/>
        </w:rPr>
      </w:pPr>
      <w:r>
        <w:rPr>
          <w:sz w:val="16"/>
          <w:szCs w:val="16"/>
        </w:rPr>
        <w:t>Se incluyen en este listado aquellas estaciones con 5 o más años de información</w:t>
      </w:r>
    </w:p>
    <w:p w:rsidR="00D03638" w:rsidRPr="00D03638" w:rsidRDefault="00D03638" w:rsidP="00B51B51">
      <w:pPr>
        <w:widowControl w:val="0"/>
        <w:rPr>
          <w:szCs w:val="16"/>
        </w:rPr>
      </w:pPr>
    </w:p>
    <w:p w:rsidR="00D47B2F" w:rsidRPr="000A582E" w:rsidRDefault="00D47B2F" w:rsidP="00B51B51">
      <w:pPr>
        <w:pStyle w:val="Ttulo3"/>
      </w:pPr>
      <w:bookmarkStart w:id="30" w:name="_Toc344391735"/>
      <w:r w:rsidRPr="000A582E">
        <w:t>Pluviometría</w:t>
      </w:r>
      <w:bookmarkEnd w:id="30"/>
    </w:p>
    <w:p w:rsidR="00D47B2F" w:rsidRPr="00952865" w:rsidRDefault="00D47B2F" w:rsidP="00B51B51">
      <w:pPr>
        <w:widowControl w:val="0"/>
        <w:rPr>
          <w:sz w:val="14"/>
        </w:rPr>
      </w:pPr>
    </w:p>
    <w:p w:rsidR="00D47B2F" w:rsidRPr="000A582E" w:rsidRDefault="00D47B2F" w:rsidP="00B51B51">
      <w:pPr>
        <w:widowControl w:val="0"/>
        <w:rPr>
          <w:rFonts w:cs="Arial"/>
          <w:szCs w:val="22"/>
        </w:rPr>
      </w:pPr>
      <w:r w:rsidRPr="000A582E">
        <w:rPr>
          <w:rFonts w:cs="Arial"/>
          <w:szCs w:val="22"/>
        </w:rPr>
        <w:t xml:space="preserve">De las estaciones pluviométricas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se solicitó información de precipitaciones diarias y mensuales para las estaciones ubicadas en la región.</w:t>
      </w:r>
      <w:r>
        <w:rPr>
          <w:rFonts w:cs="Arial"/>
          <w:szCs w:val="22"/>
        </w:rPr>
        <w:t xml:space="preserve"> Se solicitó también información perteneciente a </w:t>
      </w:r>
      <w:smartTag w:uri="urn:schemas-microsoft-com:office:smarttags" w:element="PersonName">
        <w:smartTagPr>
          <w:attr w:name="ProductID" w:val="la Región Metropolitana"/>
        </w:smartTagPr>
        <w:r>
          <w:rPr>
            <w:rFonts w:cs="Arial"/>
            <w:szCs w:val="22"/>
          </w:rPr>
          <w:t>la Región Metropolitana</w:t>
        </w:r>
      </w:smartTag>
      <w:r>
        <w:rPr>
          <w:rFonts w:cs="Arial"/>
          <w:szCs w:val="22"/>
        </w:rPr>
        <w:t>, la que se utilizará sólo en caso de que sea necesaria.</w:t>
      </w:r>
    </w:p>
    <w:p w:rsidR="00D47B2F" w:rsidRPr="000A582E" w:rsidRDefault="00D47B2F" w:rsidP="00B51B51">
      <w:pPr>
        <w:widowControl w:val="0"/>
        <w:rPr>
          <w:rFonts w:cs="Arial"/>
          <w:szCs w:val="22"/>
        </w:rPr>
      </w:pPr>
    </w:p>
    <w:p w:rsidR="00D47B2F" w:rsidRDefault="00D47B2F" w:rsidP="00B51B51">
      <w:pPr>
        <w:widowControl w:val="0"/>
        <w:rPr>
          <w:rFonts w:cs="Arial"/>
          <w:szCs w:val="22"/>
        </w:rPr>
      </w:pPr>
      <w:r w:rsidRPr="000A582E">
        <w:rPr>
          <w:rFonts w:cs="Arial"/>
        </w:rPr>
        <w:t xml:space="preserve">En </w:t>
      </w:r>
      <w:smartTag w:uri="urn:schemas-microsoft-com:office:smarttags" w:element="PersonName">
        <w:smartTagPr>
          <w:attr w:name="ProductID" w:val="la ￼￼￼￼￼￼￼￼￼￼￼￼￼￼￼￼￼￼￼￼￼￼￼￼￼￼￼￼￼￼￼￼￼￼￼￼￼￼￼￼￼Tabla"/>
        </w:smartTagPr>
        <w:r w:rsidRPr="000A582E">
          <w:rPr>
            <w:rFonts w:cs="Arial"/>
          </w:rPr>
          <w:t xml:space="preserve">la </w:t>
        </w:r>
        <w:r w:rsidRPr="000A582E">
          <w:rPr>
            <w:rFonts w:cs="Arial"/>
          </w:rPr>
          <w:fldChar w:fldCharType="begin"/>
        </w:r>
        <w:r w:rsidRPr="000A582E">
          <w:rPr>
            <w:rFonts w:cs="Arial"/>
          </w:rPr>
          <w:instrText xml:space="preserve"> REF _Ref331526306 \h </w:instrText>
        </w:r>
        <w:r w:rsidRPr="000A582E">
          <w:rPr>
            <w:rFonts w:cs="Arial"/>
          </w:rPr>
        </w:r>
        <w:r>
          <w:rPr>
            <w:rFonts w:cs="Arial"/>
          </w:rPr>
          <w:instrText xml:space="preserve"> \* MERGEFORMAT </w:instrText>
        </w:r>
        <w:r w:rsidRPr="000A582E">
          <w:rPr>
            <w:rFonts w:cs="Arial"/>
          </w:rPr>
          <w:fldChar w:fldCharType="separate"/>
        </w:r>
        <w:r w:rsidR="00264070" w:rsidRPr="000A582E">
          <w:t>Tabla</w:t>
        </w:r>
      </w:smartTag>
      <w:r w:rsidR="00264070" w:rsidRPr="000A582E">
        <w:t xml:space="preserve"> </w:t>
      </w:r>
      <w:r w:rsidR="00264070">
        <w:t>2.4</w:t>
      </w:r>
      <w:r w:rsidRPr="000A582E">
        <w:rPr>
          <w:rFonts w:cs="Arial"/>
        </w:rPr>
        <w:fldChar w:fldCharType="end"/>
      </w:r>
      <w:r w:rsidRPr="000A582E">
        <w:rPr>
          <w:rFonts w:cs="Arial"/>
        </w:rPr>
        <w:t xml:space="preserve"> se presentan las estaciones de interés indican</w:t>
      </w:r>
      <w:r>
        <w:rPr>
          <w:rFonts w:cs="Arial"/>
        </w:rPr>
        <w:t>do</w:t>
      </w:r>
      <w:r w:rsidRPr="000A582E">
        <w:rPr>
          <w:rFonts w:cs="Arial"/>
        </w:rPr>
        <w:t xml:space="preserve"> los períodos de registro disponibles, las que a su vez se encuentran representadas en </w:t>
      </w:r>
      <w:smartTag w:uri="urn:schemas-microsoft-com:office:smarttags" w:element="PersonName">
        <w:smartTagPr>
          <w:attr w:name="ProductID" w:val="la ￼￼￼￼￼￼￼￼￼￼￼￼￼￼￼￼￼￼￼￼￼￼￼￼￼Figura"/>
        </w:smartTagPr>
        <w:r>
          <w:rPr>
            <w:rFonts w:cs="Arial"/>
          </w:rPr>
          <w:t xml:space="preserve">la </w:t>
        </w:r>
        <w:r>
          <w:rPr>
            <w:rFonts w:cs="Arial"/>
          </w:rPr>
          <w:fldChar w:fldCharType="begin"/>
        </w:r>
        <w:r>
          <w:rPr>
            <w:rFonts w:cs="Arial"/>
          </w:rPr>
          <w:instrText xml:space="preserve"> REF _Ref338234720 \h </w:instrText>
        </w:r>
        <w:r w:rsidRPr="00604CB0">
          <w:rPr>
            <w:rFonts w:cs="Arial"/>
          </w:rPr>
        </w:r>
        <w:r>
          <w:rPr>
            <w:rFonts w:cs="Arial"/>
          </w:rPr>
          <w:fldChar w:fldCharType="separate"/>
        </w:r>
        <w:r w:rsidR="00264070" w:rsidRPr="000A582E">
          <w:t>Figura</w:t>
        </w:r>
      </w:smartTag>
      <w:r w:rsidR="00264070" w:rsidRPr="000A582E">
        <w:t xml:space="preserve"> </w:t>
      </w:r>
      <w:r w:rsidR="00264070">
        <w:rPr>
          <w:noProof/>
        </w:rPr>
        <w:t>2</w:t>
      </w:r>
      <w:r w:rsidR="00264070">
        <w:t>.</w:t>
      </w:r>
      <w:r w:rsidR="00264070">
        <w:rPr>
          <w:noProof/>
        </w:rPr>
        <w:t>2</w:t>
      </w:r>
      <w:r>
        <w:rPr>
          <w:rFonts w:cs="Arial"/>
          <w:szCs w:val="22"/>
        </w:rPr>
        <w:fldChar w:fldCharType="end"/>
      </w:r>
      <w:r>
        <w:rPr>
          <w:rFonts w:cs="Arial"/>
          <w:szCs w:val="22"/>
        </w:rPr>
        <w:t>.</w:t>
      </w:r>
    </w:p>
    <w:p w:rsidR="00D47B2F" w:rsidRPr="000A582E" w:rsidRDefault="00D47B2F" w:rsidP="00B51B51">
      <w:pPr>
        <w:pStyle w:val="Epgrafe"/>
        <w:widowControl w:val="0"/>
      </w:pPr>
      <w:bookmarkStart w:id="31" w:name="_Ref331526306"/>
      <w:r w:rsidRPr="000A582E">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bookmarkEnd w:id="31"/>
      <w:r w:rsidRPr="000A582E">
        <w:t xml:space="preserve"> Listado de Estaciones de Monitoreo de Precipitaciones DGA</w:t>
      </w:r>
    </w:p>
    <w:tbl>
      <w:tblPr>
        <w:tblW w:w="9031" w:type="dxa"/>
        <w:tblCellMar>
          <w:left w:w="70" w:type="dxa"/>
          <w:right w:w="70" w:type="dxa"/>
        </w:tblCellMar>
        <w:tblLook w:val="04A0" w:firstRow="1" w:lastRow="0" w:firstColumn="1" w:lastColumn="0" w:noHBand="0" w:noVBand="1"/>
      </w:tblPr>
      <w:tblGrid>
        <w:gridCol w:w="1200"/>
        <w:gridCol w:w="3190"/>
        <w:gridCol w:w="1012"/>
        <w:gridCol w:w="968"/>
        <w:gridCol w:w="821"/>
        <w:gridCol w:w="920"/>
        <w:gridCol w:w="920"/>
      </w:tblGrid>
      <w:tr w:rsidR="00D47B2F" w:rsidRPr="000A582E">
        <w:trPr>
          <w:trHeight w:val="184"/>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Código BNA</w:t>
            </w:r>
          </w:p>
        </w:tc>
        <w:tc>
          <w:tcPr>
            <w:tcW w:w="319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Nombre</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UTM Norte</w:t>
            </w:r>
          </w:p>
        </w:tc>
        <w:tc>
          <w:tcPr>
            <w:tcW w:w="9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Default="00952865" w:rsidP="00B51B51">
            <w:pPr>
              <w:widowControl w:val="0"/>
              <w:jc w:val="center"/>
              <w:rPr>
                <w:rFonts w:cs="Arial"/>
                <w:sz w:val="16"/>
                <w:szCs w:val="16"/>
                <w:lang w:val="es-CL" w:eastAsia="es-CL"/>
              </w:rPr>
            </w:pPr>
            <w:r>
              <w:rPr>
                <w:rFonts w:cs="Arial"/>
                <w:sz w:val="16"/>
                <w:szCs w:val="16"/>
                <w:lang w:val="es-CL" w:eastAsia="es-CL"/>
              </w:rPr>
              <w:t>UTM</w:t>
            </w:r>
          </w:p>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Este</w:t>
            </w:r>
          </w:p>
        </w:tc>
        <w:tc>
          <w:tcPr>
            <w:tcW w:w="8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 xml:space="preserve">Altitud </w:t>
            </w:r>
          </w:p>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msnm</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Inicio</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Término</w:t>
            </w:r>
          </w:p>
        </w:tc>
      </w:tr>
      <w:tr w:rsidR="00D47B2F" w:rsidRPr="000A582E">
        <w:trPr>
          <w:trHeight w:val="184"/>
        </w:trPr>
        <w:tc>
          <w:tcPr>
            <w:tcW w:w="120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319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1012"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68"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821"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06003001-4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 xml:space="preserve">Río Cachapoal </w:t>
            </w:r>
            <w:smartTag w:uri="urn:schemas-microsoft-com:office:smarttags" w:element="metricconverter">
              <w:smartTagPr>
                <w:attr w:name="ProductID" w:val="5 km"/>
              </w:smartTagPr>
              <w:r>
                <w:rPr>
                  <w:rFonts w:cs="Arial"/>
                  <w:sz w:val="16"/>
                  <w:szCs w:val="16"/>
                  <w:lang w:val="es-CL" w:eastAsia="es-CL"/>
                </w:rPr>
                <w:t>5 km</w:t>
              </w:r>
            </w:smartTag>
            <w:r>
              <w:rPr>
                <w:rFonts w:cs="Arial"/>
                <w:sz w:val="16"/>
                <w:szCs w:val="16"/>
                <w:lang w:val="es-CL" w:eastAsia="es-CL"/>
              </w:rPr>
              <w:t xml:space="preserve"> bajo junta C</w:t>
            </w:r>
            <w:r w:rsidRPr="000A582E">
              <w:rPr>
                <w:rFonts w:cs="Arial"/>
                <w:sz w:val="16"/>
                <w:szCs w:val="16"/>
                <w:lang w:val="es-CL" w:eastAsia="es-CL"/>
              </w:rPr>
              <w:t>ortaderal</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6.198.202</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373.199</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1127</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Mar-99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06006001-0</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Pangal en P</w:t>
            </w:r>
            <w:r w:rsidRPr="000A582E">
              <w:rPr>
                <w:rFonts w:cs="Arial"/>
                <w:sz w:val="16"/>
                <w:szCs w:val="16"/>
                <w:lang w:val="es-CL" w:eastAsia="es-CL"/>
              </w:rPr>
              <w:t>angal</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6.209.295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377.180</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1500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Nov-01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06008009-7</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Canal Sauzal Pte. T</w:t>
            </w:r>
            <w:r w:rsidRPr="000A582E">
              <w:rPr>
                <w:rFonts w:cs="Arial"/>
                <w:sz w:val="16"/>
                <w:szCs w:val="16"/>
                <w:lang w:val="es-CL" w:eastAsia="es-CL"/>
              </w:rPr>
              <w:t>ermas</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6.210.166</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356.789</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750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Ago-05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06010014-4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ancagua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6.217.865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340.107</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510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Ago-78</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06010015-2</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Rancagua (C</w:t>
            </w:r>
            <w:r w:rsidRPr="000A582E">
              <w:rPr>
                <w:rFonts w:cs="Arial"/>
                <w:sz w:val="16"/>
                <w:szCs w:val="16"/>
                <w:lang w:val="es-CL" w:eastAsia="es-CL"/>
              </w:rPr>
              <w:t>achapoal) - dcp</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6.215.308</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338.646</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520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Oct-78</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06010016-0</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S</w:t>
            </w:r>
            <w:r w:rsidRPr="000A582E">
              <w:rPr>
                <w:rFonts w:cs="Arial"/>
                <w:sz w:val="16"/>
                <w:szCs w:val="16"/>
                <w:lang w:val="es-CL" w:eastAsia="es-CL"/>
              </w:rPr>
              <w:t>auzal</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6.208.565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350.928</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700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Jul-99</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06011003-4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G</w:t>
            </w:r>
            <w:r w:rsidRPr="000A582E">
              <w:rPr>
                <w:rFonts w:cs="Arial"/>
                <w:sz w:val="16"/>
                <w:szCs w:val="16"/>
                <w:lang w:val="es-CL" w:eastAsia="es-CL"/>
              </w:rPr>
              <w:t>raneros</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6.230.525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342.138</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500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Jun-98</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06012003-K</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w:t>
            </w:r>
            <w:r w:rsidRPr="000A582E">
              <w:rPr>
                <w:rFonts w:cs="Arial"/>
                <w:sz w:val="16"/>
                <w:szCs w:val="16"/>
                <w:lang w:val="es-CL" w:eastAsia="es-CL"/>
              </w:rPr>
              <w:t>oltauco</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6.205.503</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311.372</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Oct-78</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06013005-1</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opeta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6.187.622</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336.295</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480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06013006-K</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Central Las N</w:t>
            </w:r>
            <w:r w:rsidRPr="000A582E">
              <w:rPr>
                <w:rFonts w:cs="Arial"/>
                <w:sz w:val="16"/>
                <w:szCs w:val="16"/>
                <w:lang w:val="es-CL" w:eastAsia="es-CL"/>
              </w:rPr>
              <w:t>ieves</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6.181.767</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343.115</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700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Oct-05</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06015003-6</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engo</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6.189.340</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328.281</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06016004-K</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San F</w:t>
            </w:r>
            <w:r w:rsidRPr="000A582E">
              <w:rPr>
                <w:rFonts w:cs="Arial"/>
                <w:sz w:val="16"/>
                <w:szCs w:val="16"/>
                <w:lang w:val="es-CL" w:eastAsia="es-CL"/>
              </w:rPr>
              <w:t>ernando - dcp</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6.169.437</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319.585</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350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06018009-1</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61726C" w:rsidP="00B51B51">
            <w:pPr>
              <w:widowControl w:val="0"/>
              <w:jc w:val="left"/>
              <w:rPr>
                <w:rFonts w:cs="Arial"/>
                <w:sz w:val="16"/>
                <w:szCs w:val="16"/>
                <w:lang w:val="es-CL" w:eastAsia="es-CL"/>
              </w:rPr>
            </w:pPr>
            <w:r>
              <w:rPr>
                <w:rFonts w:cs="Arial"/>
                <w:sz w:val="16"/>
                <w:szCs w:val="16"/>
                <w:lang w:val="es-CL" w:eastAsia="es-CL"/>
              </w:rPr>
              <w:t>Viñ</w:t>
            </w:r>
            <w:r w:rsidR="00D47B2F">
              <w:rPr>
                <w:rFonts w:cs="Arial"/>
                <w:sz w:val="16"/>
                <w:szCs w:val="16"/>
                <w:lang w:val="es-CL" w:eastAsia="es-CL"/>
              </w:rPr>
              <w:t>a V</w:t>
            </w:r>
            <w:r w:rsidR="00D47B2F" w:rsidRPr="000A582E">
              <w:rPr>
                <w:rFonts w:cs="Arial"/>
                <w:sz w:val="16"/>
                <w:szCs w:val="16"/>
                <w:lang w:val="es-CL" w:eastAsia="es-CL"/>
              </w:rPr>
              <w:t>ieja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6.185.535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311.428</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220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Ene-58</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Jul-03</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06018010-5</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sidRPr="000A582E">
              <w:rPr>
                <w:rFonts w:cs="Arial"/>
                <w:sz w:val="16"/>
                <w:szCs w:val="16"/>
                <w:lang w:val="es-CL" w:eastAsia="es-CL"/>
              </w:rPr>
              <w:t>Millahue</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6.176.931</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296.606</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220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Ene-72</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06019003-8</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Cachapoal en  Pte. A</w:t>
            </w:r>
            <w:r w:rsidRPr="000A582E">
              <w:rPr>
                <w:rFonts w:cs="Arial"/>
                <w:sz w:val="16"/>
                <w:szCs w:val="16"/>
                <w:lang w:val="es-CL" w:eastAsia="es-CL"/>
              </w:rPr>
              <w:t>rqueado</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6.204.686</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281.462</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Oct-02</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06019005-4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ichidegua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6.203.053</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278.357</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125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06027003-1</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La R</w:t>
            </w:r>
            <w:r w:rsidRPr="000A582E">
              <w:rPr>
                <w:rFonts w:cs="Arial"/>
                <w:sz w:val="16"/>
                <w:szCs w:val="16"/>
                <w:lang w:val="es-CL" w:eastAsia="es-CL"/>
              </w:rPr>
              <w:t>ufina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6.154.120</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339.602</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735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May-29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06028001-0</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Río Tinguiririca  en Bajo Los B</w:t>
            </w:r>
            <w:r w:rsidRPr="000A582E">
              <w:rPr>
                <w:rFonts w:cs="Arial"/>
                <w:sz w:val="16"/>
                <w:szCs w:val="16"/>
                <w:lang w:val="es-CL" w:eastAsia="es-CL"/>
              </w:rPr>
              <w:t>riones</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6.156.358</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332.572</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560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Mar-99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06034003-K</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Convento V</w:t>
            </w:r>
            <w:r w:rsidRPr="000A582E">
              <w:rPr>
                <w:rFonts w:cs="Arial"/>
                <w:sz w:val="16"/>
                <w:szCs w:val="16"/>
                <w:lang w:val="es-CL" w:eastAsia="es-CL"/>
              </w:rPr>
              <w:t>iejo</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6.150.426</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304.773</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06034004-8</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aniahue</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6.166.579</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284.333</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170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Ago-88</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06036001-4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La C</w:t>
            </w:r>
            <w:r w:rsidRPr="000A582E">
              <w:rPr>
                <w:rFonts w:cs="Arial"/>
                <w:sz w:val="16"/>
                <w:szCs w:val="16"/>
                <w:lang w:val="es-CL" w:eastAsia="es-CL"/>
              </w:rPr>
              <w:t>andelaria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6.148.587</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279.127</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May-74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06044001-8</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w:t>
            </w:r>
            <w:r w:rsidRPr="000A582E">
              <w:rPr>
                <w:rFonts w:cs="Arial"/>
                <w:sz w:val="16"/>
                <w:szCs w:val="16"/>
                <w:lang w:val="es-CL" w:eastAsia="es-CL"/>
              </w:rPr>
              <w:t>ocalán</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6.212.629</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290.055</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130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Nov-78</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06055003-4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L</w:t>
            </w:r>
            <w:r w:rsidRPr="000A582E">
              <w:rPr>
                <w:rFonts w:cs="Arial"/>
                <w:sz w:val="16"/>
                <w:szCs w:val="16"/>
                <w:lang w:val="es-CL" w:eastAsia="es-CL"/>
              </w:rPr>
              <w:t>itueche</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6.220.795</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248.396</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06056003-K</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apel</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6.240.129</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247.163</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Jul-40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06120001-0</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ichilemu</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6.190.998</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223.685</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Jul-80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06130001-5</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El M</w:t>
            </w:r>
            <w:r w:rsidRPr="000A582E">
              <w:rPr>
                <w:rFonts w:cs="Arial"/>
                <w:sz w:val="16"/>
                <w:szCs w:val="16"/>
                <w:lang w:val="es-CL" w:eastAsia="es-CL"/>
              </w:rPr>
              <w:t>embrillo</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6.145.280</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259.567</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May-81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06130002-3</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anguili</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6.138.254</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248.700</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130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May-81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06132002-4</w:t>
            </w:r>
          </w:p>
        </w:tc>
        <w:tc>
          <w:tcPr>
            <w:tcW w:w="319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Nilahue B</w:t>
            </w:r>
            <w:r w:rsidRPr="000A582E">
              <w:rPr>
                <w:rFonts w:cs="Arial"/>
                <w:sz w:val="16"/>
                <w:szCs w:val="16"/>
                <w:lang w:val="es-CL" w:eastAsia="es-CL"/>
              </w:rPr>
              <w:t>arahona</w:t>
            </w:r>
          </w:p>
        </w:tc>
        <w:tc>
          <w:tcPr>
            <w:tcW w:w="1012"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6.170.723</w:t>
            </w:r>
          </w:p>
        </w:tc>
        <w:tc>
          <w:tcPr>
            <w:tcW w:w="968"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246.224</w:t>
            </w:r>
          </w:p>
        </w:tc>
        <w:tc>
          <w:tcPr>
            <w:tcW w:w="821"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90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Ene-69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bl>
    <w:p w:rsidR="00952865" w:rsidRPr="00D03638" w:rsidRDefault="00952865" w:rsidP="00B51B51">
      <w:pPr>
        <w:widowControl w:val="0"/>
      </w:pPr>
    </w:p>
    <w:p w:rsidR="00952865" w:rsidRPr="000A582E" w:rsidRDefault="00952865" w:rsidP="00B51B51">
      <w:pPr>
        <w:pStyle w:val="Ttulo3"/>
      </w:pPr>
      <w:bookmarkStart w:id="32" w:name="_Toc344391736"/>
      <w:r w:rsidRPr="000A582E">
        <w:t>Temperaturas</w:t>
      </w:r>
      <w:bookmarkEnd w:id="32"/>
    </w:p>
    <w:p w:rsidR="00952865" w:rsidRPr="00952865" w:rsidRDefault="00952865" w:rsidP="00B51B51">
      <w:pPr>
        <w:widowControl w:val="0"/>
        <w:rPr>
          <w:rFonts w:cs="Arial"/>
          <w:sz w:val="10"/>
          <w:szCs w:val="22"/>
        </w:rPr>
      </w:pPr>
    </w:p>
    <w:p w:rsidR="00952865" w:rsidRDefault="00952865" w:rsidP="00B51B51">
      <w:pPr>
        <w:widowControl w:val="0"/>
        <w:rPr>
          <w:rFonts w:cs="Arial"/>
          <w:szCs w:val="22"/>
        </w:rPr>
      </w:pPr>
      <w:r w:rsidRPr="000A582E">
        <w:rPr>
          <w:rFonts w:cs="Arial"/>
          <w:szCs w:val="22"/>
        </w:rPr>
        <w:t>Las estaciones con registros de temper</w:t>
      </w:r>
      <w:r>
        <w:rPr>
          <w:rFonts w:cs="Arial"/>
          <w:szCs w:val="22"/>
        </w:rPr>
        <w:t xml:space="preserve">aturas para las cuales se recabaron estadísticas </w:t>
      </w:r>
      <w:r w:rsidRPr="000A582E">
        <w:rPr>
          <w:rFonts w:cs="Arial"/>
          <w:szCs w:val="22"/>
        </w:rPr>
        <w:t xml:space="preserve">se presentan en </w:t>
      </w:r>
      <w:smartTag w:uri="urn:schemas-microsoft-com:office:smarttags" w:element="PersonName">
        <w:smartTagPr>
          <w:attr w:name="ProductID" w:val="la ￼￼￼￼￼￼￼￼￼￼￼￼￼￼￼￼￼￼￼￼￼￼￼￼￼￼￼￼￼￼￼￼￼￼￼￼￼￼￼￼￼Tabla"/>
        </w:smartTagPr>
        <w:r w:rsidRPr="000A582E">
          <w:rPr>
            <w:rFonts w:cs="Arial"/>
            <w:szCs w:val="22"/>
          </w:rPr>
          <w:t xml:space="preserve">la </w:t>
        </w:r>
        <w:r>
          <w:rPr>
            <w:rFonts w:cs="Arial"/>
            <w:szCs w:val="22"/>
          </w:rPr>
          <w:fldChar w:fldCharType="begin"/>
        </w:r>
        <w:r>
          <w:rPr>
            <w:rFonts w:cs="Arial"/>
            <w:szCs w:val="22"/>
          </w:rPr>
          <w:instrText xml:space="preserve"> REF _Ref331754930 \h </w:instrText>
        </w:r>
        <w:r>
          <w:rPr>
            <w:rFonts w:cs="Arial"/>
            <w:szCs w:val="22"/>
          </w:rPr>
        </w:r>
        <w:r>
          <w:rPr>
            <w:rFonts w:cs="Arial"/>
            <w:szCs w:val="22"/>
          </w:rPr>
          <w:fldChar w:fldCharType="separate"/>
        </w:r>
        <w:r w:rsidR="00264070" w:rsidRPr="000A582E">
          <w:t>Tabla</w:t>
        </w:r>
      </w:smartTag>
      <w:r w:rsidR="00264070" w:rsidRPr="000A582E">
        <w:t xml:space="preserve"> </w:t>
      </w:r>
      <w:r w:rsidR="00264070">
        <w:rPr>
          <w:noProof/>
        </w:rPr>
        <w:t>2</w:t>
      </w:r>
      <w:r w:rsidR="00264070">
        <w:t>.</w:t>
      </w:r>
      <w:r w:rsidR="00264070">
        <w:rPr>
          <w:noProof/>
        </w:rPr>
        <w:t>5</w:t>
      </w:r>
      <w:r>
        <w:rPr>
          <w:rFonts w:cs="Arial"/>
          <w:szCs w:val="22"/>
        </w:rPr>
        <w:fldChar w:fldCharType="end"/>
      </w:r>
      <w:r>
        <w:rPr>
          <w:rFonts w:cs="Arial"/>
          <w:szCs w:val="22"/>
        </w:rPr>
        <w:t>.</w:t>
      </w:r>
    </w:p>
    <w:p w:rsidR="00952865" w:rsidRDefault="00952865" w:rsidP="00B51B51">
      <w:pPr>
        <w:widowControl w:val="0"/>
        <w:rPr>
          <w:rFonts w:cs="Arial"/>
          <w:szCs w:val="22"/>
        </w:rPr>
      </w:pPr>
    </w:p>
    <w:p w:rsidR="00952865" w:rsidRPr="000A582E" w:rsidRDefault="00952865" w:rsidP="00B51B51">
      <w:pPr>
        <w:pStyle w:val="Epgrafe"/>
        <w:widowControl w:val="0"/>
      </w:pPr>
      <w:bookmarkStart w:id="33" w:name="_Ref331754930"/>
      <w:r w:rsidRPr="000A582E">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5</w:t>
      </w:r>
      <w:r w:rsidR="007F3102">
        <w:fldChar w:fldCharType="end"/>
      </w:r>
      <w:bookmarkEnd w:id="33"/>
      <w:r w:rsidRPr="000A582E">
        <w:t xml:space="preserve"> Listado de Estaciones de Monitoreo de Temperatura DGA</w:t>
      </w:r>
    </w:p>
    <w:tbl>
      <w:tblPr>
        <w:tblW w:w="8977" w:type="dxa"/>
        <w:jc w:val="center"/>
        <w:tblLayout w:type="fixed"/>
        <w:tblCellMar>
          <w:left w:w="70" w:type="dxa"/>
          <w:right w:w="70" w:type="dxa"/>
        </w:tblCellMar>
        <w:tblLook w:val="04A0" w:firstRow="1" w:lastRow="0" w:firstColumn="1" w:lastColumn="0" w:noHBand="0" w:noVBand="1"/>
      </w:tblPr>
      <w:tblGrid>
        <w:gridCol w:w="1228"/>
        <w:gridCol w:w="1838"/>
        <w:gridCol w:w="1228"/>
        <w:gridCol w:w="1228"/>
        <w:gridCol w:w="1228"/>
        <w:gridCol w:w="1113"/>
        <w:gridCol w:w="1114"/>
      </w:tblGrid>
      <w:tr w:rsidR="00952865" w:rsidRPr="000A582E">
        <w:trPr>
          <w:trHeight w:val="184"/>
          <w:jc w:val="center"/>
        </w:trPr>
        <w:tc>
          <w:tcPr>
            <w:tcW w:w="12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Código BNA</w:t>
            </w:r>
          </w:p>
        </w:tc>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Nombre</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UTM Norte</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UTM Este</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Altitud msnm</w:t>
            </w:r>
          </w:p>
        </w:tc>
        <w:tc>
          <w:tcPr>
            <w:tcW w:w="11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Inicio</w:t>
            </w:r>
          </w:p>
        </w:tc>
        <w:tc>
          <w:tcPr>
            <w:tcW w:w="11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Término</w:t>
            </w:r>
          </w:p>
        </w:tc>
      </w:tr>
      <w:tr w:rsidR="00952865" w:rsidRPr="000A582E">
        <w:trPr>
          <w:trHeight w:val="184"/>
          <w:jc w:val="center"/>
        </w:trPr>
        <w:tc>
          <w:tcPr>
            <w:tcW w:w="1228"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838"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228"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228"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228"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c>
          <w:tcPr>
            <w:tcW w:w="1114" w:type="dxa"/>
            <w:vMerge/>
            <w:tcBorders>
              <w:top w:val="single" w:sz="4" w:space="0" w:color="auto"/>
              <w:left w:val="single" w:sz="4" w:space="0" w:color="auto"/>
              <w:bottom w:val="single" w:sz="4" w:space="0" w:color="auto"/>
              <w:right w:val="single" w:sz="4" w:space="0" w:color="auto"/>
            </w:tcBorders>
            <w:vAlign w:val="center"/>
          </w:tcPr>
          <w:p w:rsidR="00952865" w:rsidRPr="000A582E" w:rsidRDefault="00952865" w:rsidP="00B51B51">
            <w:pPr>
              <w:widowControl w:val="0"/>
              <w:jc w:val="left"/>
              <w:rPr>
                <w:rFonts w:cs="Arial"/>
                <w:sz w:val="16"/>
                <w:szCs w:val="16"/>
                <w:lang w:val="es-CL" w:eastAsia="es-CL"/>
              </w:rPr>
            </w:pPr>
          </w:p>
        </w:tc>
      </w:tr>
      <w:tr w:rsidR="00952865" w:rsidRPr="000A582E">
        <w:trPr>
          <w:jc w:val="center"/>
        </w:trPr>
        <w:tc>
          <w:tcPr>
            <w:tcW w:w="1228" w:type="dxa"/>
            <w:tcBorders>
              <w:top w:val="nil"/>
              <w:left w:val="single" w:sz="4" w:space="0" w:color="auto"/>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06011003-4</w:t>
            </w:r>
          </w:p>
        </w:tc>
        <w:tc>
          <w:tcPr>
            <w:tcW w:w="183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left"/>
              <w:rPr>
                <w:rFonts w:cs="Arial"/>
                <w:sz w:val="16"/>
                <w:szCs w:val="16"/>
                <w:lang w:val="es-CL" w:eastAsia="es-CL"/>
              </w:rPr>
            </w:pPr>
            <w:r>
              <w:rPr>
                <w:rFonts w:cs="Arial"/>
                <w:sz w:val="16"/>
                <w:szCs w:val="16"/>
                <w:lang w:val="es-CL" w:eastAsia="es-CL"/>
              </w:rPr>
              <w:t>G</w:t>
            </w:r>
            <w:r w:rsidRPr="000A582E">
              <w:rPr>
                <w:rFonts w:cs="Arial"/>
                <w:sz w:val="16"/>
                <w:szCs w:val="16"/>
                <w:lang w:val="es-CL" w:eastAsia="es-CL"/>
              </w:rPr>
              <w:t>raneros</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6.230.525</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342.138</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500</w:t>
            </w:r>
          </w:p>
        </w:tc>
        <w:tc>
          <w:tcPr>
            <w:tcW w:w="1113"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Abr-79</w:t>
            </w:r>
          </w:p>
        </w:tc>
        <w:tc>
          <w:tcPr>
            <w:tcW w:w="1114"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Jun-98</w:t>
            </w:r>
          </w:p>
        </w:tc>
      </w:tr>
      <w:tr w:rsidR="00952865" w:rsidRPr="000A582E">
        <w:trPr>
          <w:jc w:val="center"/>
        </w:trPr>
        <w:tc>
          <w:tcPr>
            <w:tcW w:w="1228" w:type="dxa"/>
            <w:tcBorders>
              <w:top w:val="nil"/>
              <w:left w:val="single" w:sz="4" w:space="0" w:color="auto"/>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06013005-1</w:t>
            </w:r>
          </w:p>
        </w:tc>
        <w:tc>
          <w:tcPr>
            <w:tcW w:w="183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opeta</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6.187.622</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336.295</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480</w:t>
            </w:r>
          </w:p>
        </w:tc>
        <w:tc>
          <w:tcPr>
            <w:tcW w:w="1113"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Mar-70</w:t>
            </w:r>
          </w:p>
        </w:tc>
        <w:tc>
          <w:tcPr>
            <w:tcW w:w="1114"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May-75</w:t>
            </w:r>
          </w:p>
        </w:tc>
      </w:tr>
      <w:tr w:rsidR="00952865" w:rsidRPr="000A582E">
        <w:trPr>
          <w:jc w:val="center"/>
        </w:trPr>
        <w:tc>
          <w:tcPr>
            <w:tcW w:w="1228" w:type="dxa"/>
            <w:tcBorders>
              <w:top w:val="nil"/>
              <w:left w:val="single" w:sz="4" w:space="0" w:color="auto"/>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06015003-6</w:t>
            </w:r>
          </w:p>
        </w:tc>
        <w:tc>
          <w:tcPr>
            <w:tcW w:w="183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engo</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6.189.340</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328.281</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310</w:t>
            </w:r>
          </w:p>
        </w:tc>
        <w:tc>
          <w:tcPr>
            <w:tcW w:w="1113"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Ene-70</w:t>
            </w:r>
          </w:p>
        </w:tc>
        <w:tc>
          <w:tcPr>
            <w:tcW w:w="1114"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Pr>
                <w:rFonts w:cs="Arial"/>
                <w:sz w:val="16"/>
                <w:szCs w:val="16"/>
                <w:lang w:val="es-CL" w:eastAsia="es-CL"/>
              </w:rPr>
              <w:t>VIGENTE</w:t>
            </w:r>
          </w:p>
        </w:tc>
      </w:tr>
      <w:tr w:rsidR="00952865" w:rsidRPr="000A582E">
        <w:trPr>
          <w:jc w:val="center"/>
        </w:trPr>
        <w:tc>
          <w:tcPr>
            <w:tcW w:w="1228" w:type="dxa"/>
            <w:tcBorders>
              <w:top w:val="nil"/>
              <w:left w:val="single" w:sz="4" w:space="0" w:color="auto"/>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06020001-7</w:t>
            </w:r>
          </w:p>
        </w:tc>
        <w:tc>
          <w:tcPr>
            <w:tcW w:w="183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left"/>
              <w:rPr>
                <w:rFonts w:cs="Arial"/>
                <w:sz w:val="16"/>
                <w:szCs w:val="16"/>
                <w:lang w:val="es-CL" w:eastAsia="es-CL"/>
              </w:rPr>
            </w:pPr>
            <w:r>
              <w:rPr>
                <w:rFonts w:cs="Arial"/>
                <w:sz w:val="16"/>
                <w:szCs w:val="16"/>
                <w:lang w:val="es-CL" w:eastAsia="es-CL"/>
              </w:rPr>
              <w:t>Termas del F</w:t>
            </w:r>
            <w:r w:rsidRPr="000A582E">
              <w:rPr>
                <w:rFonts w:cs="Arial"/>
                <w:sz w:val="16"/>
                <w:szCs w:val="16"/>
                <w:lang w:val="es-CL" w:eastAsia="es-CL"/>
              </w:rPr>
              <w:t>laco - dcp</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6.137.793</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378.044</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2650</w:t>
            </w:r>
          </w:p>
        </w:tc>
        <w:tc>
          <w:tcPr>
            <w:tcW w:w="1113"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Jun-99</w:t>
            </w:r>
          </w:p>
        </w:tc>
        <w:tc>
          <w:tcPr>
            <w:tcW w:w="1114"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Abr-05</w:t>
            </w:r>
          </w:p>
        </w:tc>
      </w:tr>
      <w:tr w:rsidR="00952865" w:rsidRPr="000A582E">
        <w:trPr>
          <w:jc w:val="center"/>
        </w:trPr>
        <w:tc>
          <w:tcPr>
            <w:tcW w:w="1228" w:type="dxa"/>
            <w:tcBorders>
              <w:top w:val="nil"/>
              <w:left w:val="single" w:sz="4" w:space="0" w:color="auto"/>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06034003-K</w:t>
            </w:r>
          </w:p>
        </w:tc>
        <w:tc>
          <w:tcPr>
            <w:tcW w:w="183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left"/>
              <w:rPr>
                <w:rFonts w:cs="Arial"/>
                <w:sz w:val="16"/>
                <w:szCs w:val="16"/>
                <w:lang w:val="es-CL" w:eastAsia="es-CL"/>
              </w:rPr>
            </w:pPr>
            <w:r>
              <w:rPr>
                <w:rFonts w:cs="Arial"/>
                <w:sz w:val="16"/>
                <w:szCs w:val="16"/>
                <w:lang w:val="es-CL" w:eastAsia="es-CL"/>
              </w:rPr>
              <w:t>Convento V</w:t>
            </w:r>
            <w:r w:rsidRPr="000A582E">
              <w:rPr>
                <w:rFonts w:cs="Arial"/>
                <w:sz w:val="16"/>
                <w:szCs w:val="16"/>
                <w:lang w:val="es-CL" w:eastAsia="es-CL"/>
              </w:rPr>
              <w:t>iejo</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6.150.426</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304.773</w:t>
            </w:r>
          </w:p>
        </w:tc>
        <w:tc>
          <w:tcPr>
            <w:tcW w:w="1228"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250</w:t>
            </w:r>
          </w:p>
        </w:tc>
        <w:tc>
          <w:tcPr>
            <w:tcW w:w="1113"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sidRPr="000A582E">
              <w:rPr>
                <w:rFonts w:cs="Arial"/>
                <w:sz w:val="16"/>
                <w:szCs w:val="16"/>
                <w:lang w:val="es-CL" w:eastAsia="es-CL"/>
              </w:rPr>
              <w:t>Ago-71</w:t>
            </w:r>
          </w:p>
        </w:tc>
        <w:tc>
          <w:tcPr>
            <w:tcW w:w="1114" w:type="dxa"/>
            <w:tcBorders>
              <w:top w:val="nil"/>
              <w:left w:val="nil"/>
              <w:bottom w:val="single" w:sz="4" w:space="0" w:color="auto"/>
              <w:right w:val="single" w:sz="4" w:space="0" w:color="auto"/>
            </w:tcBorders>
            <w:shd w:val="clear" w:color="auto" w:fill="auto"/>
            <w:noWrap/>
            <w:vAlign w:val="bottom"/>
          </w:tcPr>
          <w:p w:rsidR="00952865" w:rsidRPr="000A582E" w:rsidRDefault="00952865" w:rsidP="00B51B51">
            <w:pPr>
              <w:widowControl w:val="0"/>
              <w:jc w:val="center"/>
              <w:rPr>
                <w:rFonts w:cs="Arial"/>
                <w:sz w:val="16"/>
                <w:szCs w:val="16"/>
                <w:lang w:val="es-CL" w:eastAsia="es-CL"/>
              </w:rPr>
            </w:pPr>
            <w:r>
              <w:rPr>
                <w:rFonts w:cs="Arial"/>
                <w:sz w:val="16"/>
                <w:szCs w:val="16"/>
                <w:lang w:val="es-CL" w:eastAsia="es-CL"/>
              </w:rPr>
              <w:t>VIGENTE</w:t>
            </w:r>
          </w:p>
        </w:tc>
      </w:tr>
    </w:tbl>
    <w:p w:rsidR="00952865" w:rsidRDefault="00952865" w:rsidP="00B51B51">
      <w:pPr>
        <w:widowControl w:val="0"/>
        <w:jc w:val="left"/>
        <w:rPr>
          <w:rFonts w:cs="Arial"/>
          <w:szCs w:val="22"/>
        </w:rPr>
      </w:pPr>
    </w:p>
    <w:p w:rsidR="009356E4" w:rsidRDefault="00952865" w:rsidP="00B51B51">
      <w:pPr>
        <w:widowControl w:val="0"/>
      </w:pPr>
      <w:r>
        <w:rPr>
          <w:rFonts w:cs="Arial"/>
        </w:rPr>
        <w:t xml:space="preserve">En </w:t>
      </w:r>
      <w:smartTag w:uri="urn:schemas-microsoft-com:office:smarttags" w:element="PersonName">
        <w:smartTagPr>
          <w:attr w:name="ProductID" w:val="la ￼￼￼￼￼￼￼￼￼￼￼￼￼￼￼￼￼￼￼￼￼￼￼￼￼Figura"/>
        </w:smartTagPr>
        <w:r>
          <w:rPr>
            <w:rFonts w:cs="Arial"/>
          </w:rPr>
          <w:t xml:space="preserve">la </w:t>
        </w:r>
        <w:r>
          <w:rPr>
            <w:rFonts w:cs="Arial"/>
          </w:rPr>
          <w:fldChar w:fldCharType="begin"/>
        </w:r>
        <w:r>
          <w:rPr>
            <w:rFonts w:cs="Arial"/>
          </w:rPr>
          <w:instrText xml:space="preserve"> REF _Ref338234720 \h </w:instrText>
        </w:r>
        <w:r w:rsidRPr="00604CB0">
          <w:rPr>
            <w:rFonts w:cs="Arial"/>
          </w:rPr>
        </w:r>
        <w:r>
          <w:rPr>
            <w:rFonts w:cs="Arial"/>
          </w:rPr>
          <w:fldChar w:fldCharType="separate"/>
        </w:r>
        <w:r w:rsidR="00264070" w:rsidRPr="000A582E">
          <w:t>Figura</w:t>
        </w:r>
      </w:smartTag>
      <w:r w:rsidR="00264070" w:rsidRPr="000A582E">
        <w:t xml:space="preserve"> </w:t>
      </w:r>
      <w:r w:rsidR="00264070">
        <w:rPr>
          <w:noProof/>
        </w:rPr>
        <w:t>2</w:t>
      </w:r>
      <w:r w:rsidR="00264070">
        <w:t>.</w:t>
      </w:r>
      <w:r w:rsidR="00264070">
        <w:rPr>
          <w:noProof/>
        </w:rPr>
        <w:t>2</w:t>
      </w:r>
      <w:r>
        <w:rPr>
          <w:rFonts w:cs="Arial"/>
          <w:szCs w:val="22"/>
        </w:rPr>
        <w:fldChar w:fldCharType="end"/>
      </w:r>
      <w:r>
        <w:rPr>
          <w:rFonts w:cs="Arial"/>
          <w:szCs w:val="22"/>
        </w:rPr>
        <w:t xml:space="preserve"> se entrega la ubicación de estas estaciones.</w:t>
      </w:r>
    </w:p>
    <w:p w:rsidR="009356E4" w:rsidRDefault="009356E4" w:rsidP="00B51B51">
      <w:pPr>
        <w:widowControl w:val="0"/>
      </w:pPr>
    </w:p>
    <w:p w:rsidR="00481F49" w:rsidRPr="000A582E" w:rsidRDefault="00481F49" w:rsidP="00B51B51">
      <w:pPr>
        <w:pStyle w:val="Ttulo3"/>
      </w:pPr>
      <w:bookmarkStart w:id="34" w:name="_Toc344391737"/>
      <w:r w:rsidRPr="000A582E">
        <w:t>Evaporación</w:t>
      </w:r>
      <w:bookmarkEnd w:id="34"/>
    </w:p>
    <w:p w:rsidR="00481F49" w:rsidRPr="000A582E" w:rsidRDefault="00481F49" w:rsidP="00B51B51">
      <w:pPr>
        <w:widowControl w:val="0"/>
      </w:pPr>
    </w:p>
    <w:p w:rsidR="00481F49" w:rsidRDefault="00481F49" w:rsidP="00B51B51">
      <w:pPr>
        <w:widowControl w:val="0"/>
        <w:rPr>
          <w:rFonts w:cs="Arial"/>
          <w:szCs w:val="22"/>
        </w:rPr>
      </w:pPr>
      <w:r w:rsidRPr="000A582E">
        <w:rPr>
          <w:rFonts w:cs="Arial"/>
          <w:szCs w:val="22"/>
        </w:rPr>
        <w:t xml:space="preserve">Para disponer de los antecedentes de evaporación se solicitó a </w:t>
      </w:r>
      <w:smartTag w:uri="urn:schemas-microsoft-com:office:smarttags" w:element="PersonName">
        <w:smartTagPr>
          <w:attr w:name="ProductID" w:val="la Dirección General"/>
        </w:smartTagPr>
        <w:r w:rsidRPr="000A582E">
          <w:rPr>
            <w:rFonts w:cs="Arial"/>
            <w:szCs w:val="22"/>
          </w:rPr>
          <w:t>la Dirección General</w:t>
        </w:r>
      </w:smartTag>
      <w:r w:rsidRPr="000A582E">
        <w:rPr>
          <w:rFonts w:cs="Arial"/>
          <w:szCs w:val="22"/>
        </w:rPr>
        <w:t xml:space="preserve"> de Aguas los datos de evaporación de las estaciones contenidas en </w:t>
      </w:r>
      <w:smartTag w:uri="urn:schemas-microsoft-com:office:smarttags" w:element="PersonName">
        <w:smartTagPr>
          <w:attr w:name="ProductID" w:val="la ￼￼￼￼￼￼￼￼￼￼￼￼￼￼￼￼￼￼￼￼￼￼￼￼￼￼￼￼￼￼￼￼￼￼￼￼￼￼￼￼￼ Tabla"/>
        </w:smartTagPr>
        <w:r w:rsidRPr="000A582E">
          <w:rPr>
            <w:rFonts w:cs="Arial"/>
            <w:szCs w:val="22"/>
          </w:rPr>
          <w:t xml:space="preserve">la </w:t>
        </w:r>
        <w:r w:rsidRPr="000A582E">
          <w:rPr>
            <w:rFonts w:cs="Arial"/>
            <w:szCs w:val="22"/>
          </w:rPr>
          <w:fldChar w:fldCharType="begin"/>
        </w:r>
        <w:r w:rsidRPr="000A582E">
          <w:rPr>
            <w:rFonts w:cs="Arial"/>
            <w:szCs w:val="22"/>
          </w:rPr>
          <w:instrText xml:space="preserve"> REF _Ref331526799 \h </w:instrText>
        </w:r>
        <w:r w:rsidRPr="000A582E">
          <w:rPr>
            <w:rFonts w:cs="Arial"/>
            <w:szCs w:val="22"/>
          </w:rPr>
        </w:r>
        <w:r>
          <w:rPr>
            <w:rFonts w:cs="Arial"/>
            <w:szCs w:val="22"/>
          </w:rPr>
          <w:instrText xml:space="preserve"> \* MERGEFORMAT </w:instrText>
        </w:r>
        <w:r w:rsidRPr="000A582E">
          <w:rPr>
            <w:rFonts w:cs="Arial"/>
            <w:szCs w:val="22"/>
          </w:rPr>
          <w:fldChar w:fldCharType="separate"/>
        </w:r>
        <w:r w:rsidR="00264070" w:rsidRPr="000A582E">
          <w:t xml:space="preserve"> Tabla</w:t>
        </w:r>
      </w:smartTag>
      <w:r w:rsidR="00264070" w:rsidRPr="000A582E">
        <w:t xml:space="preserve"> </w:t>
      </w:r>
      <w:r w:rsidR="00264070">
        <w:rPr>
          <w:noProof/>
        </w:rPr>
        <w:t>2.6</w:t>
      </w:r>
      <w:r w:rsidRPr="000A582E">
        <w:rPr>
          <w:rFonts w:cs="Arial"/>
          <w:szCs w:val="22"/>
        </w:rPr>
        <w:fldChar w:fldCharType="end"/>
      </w:r>
      <w:r w:rsidRPr="000A582E">
        <w:rPr>
          <w:rFonts w:cs="Arial"/>
          <w:szCs w:val="22"/>
        </w:rPr>
        <w:t xml:space="preserve">, en la cual se indican los períodos de registro disponibles. </w:t>
      </w:r>
      <w:r>
        <w:rPr>
          <w:rFonts w:cs="Arial"/>
          <w:szCs w:val="22"/>
        </w:rPr>
        <w:t xml:space="preserve">Se solicitó también información perteneciente a </w:t>
      </w:r>
      <w:smartTag w:uri="urn:schemas-microsoft-com:office:smarttags" w:element="PersonName">
        <w:smartTagPr>
          <w:attr w:name="ProductID" w:val="la Región Metropolitana"/>
        </w:smartTagPr>
        <w:r>
          <w:rPr>
            <w:rFonts w:cs="Arial"/>
            <w:szCs w:val="22"/>
          </w:rPr>
          <w:t>la Región Metropolitana</w:t>
        </w:r>
      </w:smartTag>
      <w:r>
        <w:rPr>
          <w:rFonts w:cs="Arial"/>
          <w:szCs w:val="22"/>
        </w:rPr>
        <w:t>, la que se utilizará sólo en caso de que sea necesaria.</w:t>
      </w:r>
    </w:p>
    <w:p w:rsidR="004C2FFA" w:rsidRDefault="004C2FFA" w:rsidP="00B51B51">
      <w:pPr>
        <w:widowControl w:val="0"/>
        <w:rPr>
          <w:rFonts w:cs="Arial"/>
          <w:szCs w:val="22"/>
        </w:rPr>
      </w:pPr>
    </w:p>
    <w:p w:rsidR="004C2FFA" w:rsidRDefault="004C2FFA" w:rsidP="00B51B51">
      <w:pPr>
        <w:widowControl w:val="0"/>
        <w:rPr>
          <w:rFonts w:cs="Arial"/>
          <w:szCs w:val="22"/>
        </w:rPr>
      </w:pPr>
    </w:p>
    <w:p w:rsidR="00E073DC" w:rsidRDefault="00E073DC" w:rsidP="00B51B51">
      <w:pPr>
        <w:widowControl w:val="0"/>
        <w:rPr>
          <w:rFonts w:cs="Arial"/>
          <w:szCs w:val="22"/>
        </w:rPr>
      </w:pPr>
    </w:p>
    <w:p w:rsidR="00E073DC" w:rsidRDefault="00E073DC" w:rsidP="00B51B51">
      <w:pPr>
        <w:widowControl w:val="0"/>
        <w:rPr>
          <w:rFonts w:cs="Arial"/>
          <w:szCs w:val="22"/>
        </w:rPr>
      </w:pPr>
    </w:p>
    <w:p w:rsidR="00E073DC" w:rsidRDefault="00E073DC" w:rsidP="00B51B51">
      <w:pPr>
        <w:widowControl w:val="0"/>
        <w:rPr>
          <w:rFonts w:cs="Arial"/>
          <w:szCs w:val="22"/>
        </w:rPr>
      </w:pPr>
    </w:p>
    <w:p w:rsidR="00D47B2F" w:rsidRPr="000A582E" w:rsidRDefault="00D47B2F" w:rsidP="00B51B51">
      <w:pPr>
        <w:pStyle w:val="Epgrafe"/>
        <w:widowControl w:val="0"/>
      </w:pPr>
      <w:bookmarkStart w:id="35" w:name="_Ref338234720"/>
      <w:r w:rsidRPr="000A582E">
        <w:lastRenderedPageBreak/>
        <w:t xml:space="preserve">Figura </w:t>
      </w:r>
      <w:r w:rsidR="00951FEC">
        <w:fldChar w:fldCharType="begin"/>
      </w:r>
      <w:r w:rsidR="00951FEC">
        <w:instrText xml:space="preserve"> STYLEREF 1 \s </w:instrText>
      </w:r>
      <w:r w:rsidR="00951FEC">
        <w:fldChar w:fldCharType="separate"/>
      </w:r>
      <w:r w:rsidR="00264070">
        <w:rPr>
          <w:noProof/>
        </w:rPr>
        <w:t>2</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w:t>
      </w:r>
      <w:r w:rsidR="00951FEC">
        <w:fldChar w:fldCharType="end"/>
      </w:r>
      <w:bookmarkEnd w:id="35"/>
      <w:r w:rsidRPr="000A582E">
        <w:t xml:space="preserve"> Ubicación de Estaciones </w:t>
      </w:r>
      <w:r>
        <w:t>Meteorológicas</w:t>
      </w:r>
    </w:p>
    <w:p w:rsidR="00D47B2F" w:rsidRDefault="00D47B2F" w:rsidP="00B51B51">
      <w:pPr>
        <w:pStyle w:val="Epgrafe"/>
        <w:widowControl w:val="0"/>
      </w:pPr>
    </w:p>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E073DC" w:rsidRDefault="00E073DC" w:rsidP="00E073DC"/>
    <w:p w:rsidR="00D47B2F" w:rsidRPr="000A582E" w:rsidRDefault="00481F49" w:rsidP="00B51B51">
      <w:pPr>
        <w:pStyle w:val="Epgrafe"/>
        <w:widowControl w:val="0"/>
      </w:pPr>
      <w:bookmarkStart w:id="36" w:name="_Ref331526799"/>
      <w:r w:rsidRPr="000A582E">
        <w:lastRenderedPageBreak/>
        <w:t xml:space="preserve"> </w:t>
      </w:r>
      <w:r w:rsidR="00D47B2F" w:rsidRPr="000A582E">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bookmarkEnd w:id="36"/>
      <w:r w:rsidR="00D47B2F" w:rsidRPr="000A582E">
        <w:t xml:space="preserve"> Listado de Estaciones de Monitoreo de Evaporación DGA</w:t>
      </w:r>
    </w:p>
    <w:tbl>
      <w:tblPr>
        <w:tblW w:w="9740" w:type="dxa"/>
        <w:jc w:val="center"/>
        <w:tblCellMar>
          <w:left w:w="70" w:type="dxa"/>
          <w:right w:w="70" w:type="dxa"/>
        </w:tblCellMar>
        <w:tblLook w:val="04A0" w:firstRow="1" w:lastRow="0" w:firstColumn="1" w:lastColumn="0" w:noHBand="0" w:noVBand="1"/>
      </w:tblPr>
      <w:tblGrid>
        <w:gridCol w:w="1200"/>
        <w:gridCol w:w="3940"/>
        <w:gridCol w:w="920"/>
        <w:gridCol w:w="770"/>
        <w:gridCol w:w="1070"/>
        <w:gridCol w:w="920"/>
        <w:gridCol w:w="920"/>
      </w:tblGrid>
      <w:tr w:rsidR="00D47B2F" w:rsidRPr="000A582E">
        <w:trPr>
          <w:trHeight w:val="184"/>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Código BNA</w:t>
            </w:r>
          </w:p>
        </w:tc>
        <w:tc>
          <w:tcPr>
            <w:tcW w:w="39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Nombre</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UTM Norte</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 xml:space="preserve">UTM Este  </w:t>
            </w:r>
          </w:p>
        </w:tc>
        <w:tc>
          <w:tcPr>
            <w:tcW w:w="10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 xml:space="preserve">Altitud </w:t>
            </w:r>
          </w:p>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msnm</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Inicio</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Término</w:t>
            </w:r>
          </w:p>
        </w:tc>
      </w:tr>
      <w:tr w:rsidR="00D47B2F" w:rsidRPr="000A582E">
        <w:trPr>
          <w:trHeight w:val="184"/>
          <w:jc w:val="center"/>
        </w:trPr>
        <w:tc>
          <w:tcPr>
            <w:tcW w:w="120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394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77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107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c>
          <w:tcPr>
            <w:tcW w:w="920" w:type="dxa"/>
            <w:vMerge/>
            <w:tcBorders>
              <w:top w:val="single" w:sz="4" w:space="0" w:color="auto"/>
              <w:left w:val="single" w:sz="4" w:space="0" w:color="auto"/>
              <w:bottom w:val="single" w:sz="4" w:space="0" w:color="auto"/>
              <w:right w:val="single" w:sz="4" w:space="0" w:color="auto"/>
            </w:tcBorders>
            <w:vAlign w:val="center"/>
          </w:tcPr>
          <w:p w:rsidR="00D47B2F" w:rsidRPr="000A582E" w:rsidRDefault="00D47B2F" w:rsidP="00B51B51">
            <w:pPr>
              <w:widowControl w:val="0"/>
              <w:jc w:val="left"/>
              <w:rPr>
                <w:rFonts w:cs="Arial"/>
                <w:sz w:val="16"/>
                <w:szCs w:val="16"/>
                <w:lang w:val="es-CL" w:eastAsia="es-CL"/>
              </w:rPr>
            </w:pP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06011003-4</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G</w:t>
            </w:r>
            <w:r w:rsidRPr="000A582E">
              <w:rPr>
                <w:rFonts w:cs="Arial"/>
                <w:sz w:val="16"/>
                <w:szCs w:val="16"/>
                <w:lang w:val="es-CL" w:eastAsia="es-CL"/>
              </w:rPr>
              <w:t>raneros</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6.230.525</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342.138</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500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Abr-79</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Jun-98</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06013005-1</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P</w:t>
            </w:r>
            <w:r w:rsidRPr="000A582E">
              <w:rPr>
                <w:rFonts w:cs="Arial"/>
                <w:sz w:val="16"/>
                <w:szCs w:val="16"/>
                <w:lang w:val="es-CL" w:eastAsia="es-CL"/>
              </w:rPr>
              <w:t>opeta</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6.187.622</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336.295</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480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May-75</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06015003-6</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engo</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6.189.340</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328.281</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310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Ene-71</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06034003-K</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Convento V</w:t>
            </w:r>
            <w:r w:rsidRPr="000A582E">
              <w:rPr>
                <w:rFonts w:cs="Arial"/>
                <w:sz w:val="16"/>
                <w:szCs w:val="16"/>
                <w:lang w:val="es-CL" w:eastAsia="es-CL"/>
              </w:rPr>
              <w:t>iejo</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6.150.426</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304.773</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Ene-74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06036001-4</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La C</w:t>
            </w:r>
            <w:r w:rsidRPr="000A582E">
              <w:rPr>
                <w:rFonts w:cs="Arial"/>
                <w:sz w:val="16"/>
                <w:szCs w:val="16"/>
                <w:lang w:val="es-CL" w:eastAsia="es-CL"/>
              </w:rPr>
              <w:t>andelaria</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6.148.587</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279.127</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320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Sep-84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06130001-5</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El M</w:t>
            </w:r>
            <w:r w:rsidRPr="000A582E">
              <w:rPr>
                <w:rFonts w:cs="Arial"/>
                <w:sz w:val="16"/>
                <w:szCs w:val="16"/>
                <w:lang w:val="es-CL" w:eastAsia="es-CL"/>
              </w:rPr>
              <w:t>embrillo</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6.145.280</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259.567</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110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Sep-84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Sep-01</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06130002-3</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R</w:t>
            </w:r>
            <w:r w:rsidRPr="000A582E">
              <w:rPr>
                <w:rFonts w:cs="Arial"/>
                <w:sz w:val="16"/>
                <w:szCs w:val="16"/>
                <w:lang w:val="es-CL" w:eastAsia="es-CL"/>
              </w:rPr>
              <w:t>anguili</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6.138.254</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248.700</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130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Sep-84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r w:rsidR="00D47B2F" w:rsidRPr="000A582E">
        <w:trPr>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06132002-4</w:t>
            </w:r>
          </w:p>
        </w:tc>
        <w:tc>
          <w:tcPr>
            <w:tcW w:w="394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left"/>
              <w:rPr>
                <w:rFonts w:cs="Arial"/>
                <w:sz w:val="16"/>
                <w:szCs w:val="16"/>
                <w:lang w:val="es-CL" w:eastAsia="es-CL"/>
              </w:rPr>
            </w:pPr>
            <w:r>
              <w:rPr>
                <w:rFonts w:cs="Arial"/>
                <w:sz w:val="16"/>
                <w:szCs w:val="16"/>
                <w:lang w:val="es-CL" w:eastAsia="es-CL"/>
              </w:rPr>
              <w:t>Nilahue B</w:t>
            </w:r>
            <w:r w:rsidRPr="000A582E">
              <w:rPr>
                <w:rFonts w:cs="Arial"/>
                <w:sz w:val="16"/>
                <w:szCs w:val="16"/>
                <w:lang w:val="es-CL" w:eastAsia="es-CL"/>
              </w:rPr>
              <w:t>arahona</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6.170.723</w:t>
            </w:r>
          </w:p>
        </w:tc>
        <w:tc>
          <w:tcPr>
            <w:tcW w:w="7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246.224</w:t>
            </w:r>
          </w:p>
        </w:tc>
        <w:tc>
          <w:tcPr>
            <w:tcW w:w="107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90</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sidRPr="000A582E">
              <w:rPr>
                <w:rFonts w:cs="Arial"/>
                <w:sz w:val="16"/>
                <w:szCs w:val="16"/>
                <w:lang w:val="es-CL" w:eastAsia="es-CL"/>
              </w:rPr>
              <w:t>Sep-84</w:t>
            </w:r>
          </w:p>
        </w:tc>
        <w:tc>
          <w:tcPr>
            <w:tcW w:w="920" w:type="dxa"/>
            <w:tcBorders>
              <w:top w:val="nil"/>
              <w:left w:val="nil"/>
              <w:bottom w:val="single" w:sz="4" w:space="0" w:color="auto"/>
              <w:right w:val="single" w:sz="4" w:space="0" w:color="auto"/>
            </w:tcBorders>
            <w:shd w:val="clear" w:color="auto" w:fill="auto"/>
            <w:noWrap/>
            <w:vAlign w:val="bottom"/>
          </w:tcPr>
          <w:p w:rsidR="00D47B2F" w:rsidRPr="000A582E" w:rsidRDefault="00D47B2F" w:rsidP="00B51B51">
            <w:pPr>
              <w:widowControl w:val="0"/>
              <w:jc w:val="center"/>
              <w:rPr>
                <w:rFonts w:cs="Arial"/>
                <w:sz w:val="16"/>
                <w:szCs w:val="16"/>
                <w:lang w:val="es-CL" w:eastAsia="es-CL"/>
              </w:rPr>
            </w:pPr>
            <w:r>
              <w:rPr>
                <w:rFonts w:cs="Arial"/>
                <w:sz w:val="16"/>
                <w:szCs w:val="16"/>
                <w:lang w:val="es-CL" w:eastAsia="es-CL"/>
              </w:rPr>
              <w:t>VIGENTE</w:t>
            </w:r>
          </w:p>
        </w:tc>
      </w:tr>
    </w:tbl>
    <w:p w:rsidR="00D47B2F" w:rsidRPr="000A582E" w:rsidRDefault="00D47B2F" w:rsidP="00B51B51">
      <w:pPr>
        <w:widowControl w:val="0"/>
      </w:pPr>
      <w:bookmarkStart w:id="37" w:name="_Ref331526668"/>
    </w:p>
    <w:p w:rsidR="00D47B2F" w:rsidRPr="000A582E" w:rsidRDefault="00D47B2F" w:rsidP="00B51B51">
      <w:pPr>
        <w:pStyle w:val="Ttulo2"/>
        <w:keepNext w:val="0"/>
      </w:pPr>
      <w:bookmarkStart w:id="38" w:name="_Toc338179083"/>
      <w:bookmarkStart w:id="39" w:name="_Toc344391738"/>
      <w:bookmarkEnd w:id="37"/>
      <w:r w:rsidRPr="000A582E">
        <w:t>Antecedentes de Derechos de Aguas</w:t>
      </w:r>
      <w:bookmarkEnd w:id="38"/>
      <w:bookmarkEnd w:id="39"/>
    </w:p>
    <w:p w:rsidR="00D47B2F" w:rsidRPr="000A582E" w:rsidRDefault="00D47B2F" w:rsidP="00B51B51">
      <w:pPr>
        <w:widowControl w:val="0"/>
      </w:pPr>
    </w:p>
    <w:p w:rsidR="00D47B2F" w:rsidRPr="000A582E" w:rsidRDefault="00D47B2F" w:rsidP="00B51B51">
      <w:pPr>
        <w:widowControl w:val="0"/>
      </w:pPr>
      <w:r w:rsidRPr="000A582E">
        <w:t>Se efectuó una recopilación de los derechos de aprovechamientos</w:t>
      </w:r>
      <w:r>
        <w:t xml:space="preserve"> tanto de aguas  superficiales </w:t>
      </w:r>
      <w:r w:rsidRPr="000A582E">
        <w:t xml:space="preserve">como subterráneas que se encuentran constituidos, así como aquellos en trámite que son administrados por el Catastro Público de Aguas (CPA) de </w:t>
      </w:r>
      <w:smartTag w:uri="urn:schemas-microsoft-com:office:smarttags" w:element="PersonName">
        <w:smartTagPr>
          <w:attr w:name="ProductID" w:val="la DGA-MOP"/>
        </w:smartTagPr>
        <w:r w:rsidRPr="000A582E">
          <w:t>la DGA-MOP</w:t>
        </w:r>
      </w:smartTag>
      <w:r w:rsidRPr="000A582E">
        <w:t>.</w:t>
      </w:r>
    </w:p>
    <w:p w:rsidR="00D47B2F" w:rsidRPr="000A582E" w:rsidRDefault="00D47B2F" w:rsidP="00B51B51">
      <w:pPr>
        <w:widowControl w:val="0"/>
      </w:pPr>
    </w:p>
    <w:p w:rsidR="00D47B2F" w:rsidRPr="000A582E" w:rsidRDefault="00D47B2F" w:rsidP="00B51B51">
      <w:pPr>
        <w:widowControl w:val="0"/>
      </w:pPr>
      <w:r w:rsidRPr="000A582E">
        <w:t>La información recabada de los derechos de aprovechamiento da cuenta de la información del titular, ubicación del punto de captación y características principales del derecho entre otros.</w:t>
      </w:r>
    </w:p>
    <w:p w:rsidR="00D47B2F" w:rsidRDefault="00D47B2F" w:rsidP="00B51B51">
      <w:pPr>
        <w:widowControl w:val="0"/>
      </w:pPr>
    </w:p>
    <w:p w:rsidR="00D47B2F" w:rsidRDefault="00D47B2F" w:rsidP="00B51B51">
      <w:pPr>
        <w:widowControl w:val="0"/>
      </w:pPr>
      <w:r>
        <w:t>En lo que sigue se presenta un análisis de los antecedentes disponibles.</w:t>
      </w:r>
    </w:p>
    <w:p w:rsidR="00D03638" w:rsidRDefault="00D03638" w:rsidP="00B51B51">
      <w:pPr>
        <w:widowControl w:val="0"/>
      </w:pPr>
    </w:p>
    <w:p w:rsidR="00D47B2F" w:rsidRDefault="00D47B2F" w:rsidP="00B51B51">
      <w:pPr>
        <w:pStyle w:val="Ttulo3"/>
      </w:pPr>
      <w:bookmarkStart w:id="40" w:name="_Toc344391739"/>
      <w:r>
        <w:t>Aguas Subterráneas</w:t>
      </w:r>
      <w:bookmarkEnd w:id="40"/>
    </w:p>
    <w:p w:rsidR="00D47B2F" w:rsidRDefault="00D47B2F" w:rsidP="00B51B51">
      <w:pPr>
        <w:widowControl w:val="0"/>
      </w:pPr>
    </w:p>
    <w:p w:rsidR="00D47B2F" w:rsidRDefault="00D47B2F" w:rsidP="00B51B51">
      <w:pPr>
        <w:widowControl w:val="0"/>
      </w:pPr>
      <w:r>
        <w:t>A partir de la información contenida en el listado de derechos otorgados, se realizó un trabajo de ordenamiento y sistematización de los antecedentes allí contenidos, con el objeto de conocer, en esta primera etapa, el detalle y consistencia de la información entregada. En primera instancia los derechos otorgados se separaron, por comuna, de acuerdo a:</w:t>
      </w:r>
    </w:p>
    <w:p w:rsidR="00D47B2F" w:rsidRDefault="00D47B2F" w:rsidP="00B51B51">
      <w:pPr>
        <w:widowControl w:val="0"/>
      </w:pPr>
      <w:r>
        <w:t xml:space="preserve"> </w:t>
      </w:r>
    </w:p>
    <w:p w:rsidR="00D47B2F" w:rsidRPr="0061726C" w:rsidRDefault="00D47B2F" w:rsidP="00145762">
      <w:pPr>
        <w:widowControl w:val="0"/>
        <w:numPr>
          <w:ilvl w:val="0"/>
          <w:numId w:val="21"/>
        </w:numPr>
        <w:rPr>
          <w:rFonts w:cs="Arial"/>
          <w:szCs w:val="22"/>
        </w:rPr>
      </w:pPr>
      <w:r w:rsidRPr="0061726C">
        <w:rPr>
          <w:rFonts w:cs="Arial"/>
          <w:szCs w:val="22"/>
        </w:rPr>
        <w:t xml:space="preserve">Derechos con información de coordenadas </w:t>
      </w:r>
    </w:p>
    <w:p w:rsidR="00D47B2F" w:rsidRPr="0061726C" w:rsidRDefault="00D47B2F" w:rsidP="00145762">
      <w:pPr>
        <w:widowControl w:val="0"/>
        <w:numPr>
          <w:ilvl w:val="0"/>
          <w:numId w:val="21"/>
        </w:numPr>
        <w:rPr>
          <w:rFonts w:cs="Arial"/>
          <w:szCs w:val="22"/>
        </w:rPr>
      </w:pPr>
      <w:r w:rsidRPr="0061726C">
        <w:rPr>
          <w:rFonts w:cs="Arial"/>
          <w:szCs w:val="22"/>
        </w:rPr>
        <w:t>Derechos sin información de coordenadas</w:t>
      </w:r>
    </w:p>
    <w:p w:rsidR="00D47B2F" w:rsidRDefault="00D47B2F" w:rsidP="00B51B51">
      <w:pPr>
        <w:widowControl w:val="0"/>
      </w:pPr>
    </w:p>
    <w:p w:rsidR="00D47B2F" w:rsidRDefault="00D47B2F" w:rsidP="00B51B51">
      <w:pPr>
        <w:widowControl w:val="0"/>
      </w:pPr>
      <w:r>
        <w:t>Esta primera clasificación permite conocer y cuantificar, a nivel comunal y regional, el grado de precisión con el cual se trabajará en las siguientes etapas del estudio, en relación a la ubicación de las captaciones subterráneas y como consecuencia en las tareas de balance hídrico por cuencas y/o acuíferos.</w:t>
      </w:r>
    </w:p>
    <w:p w:rsidR="00D47B2F" w:rsidRDefault="00D47B2F" w:rsidP="00B51B51">
      <w:pPr>
        <w:widowControl w:val="0"/>
      </w:pPr>
    </w:p>
    <w:p w:rsidR="00D47B2F" w:rsidRDefault="00D47B2F" w:rsidP="00B51B51">
      <w:pPr>
        <w:widowControl w:val="0"/>
      </w:pPr>
      <w:r>
        <w:t xml:space="preserve">Efectuada la clasificación antes mencionada, se procedió a separar, definir y/o determinar el uso de cada uno de los derechos. Cabe señalar que esta información (uso del derecho) sólo en algunos casos (aproximadamente el 5% del total) se indica expresamente en los listados de derechos entregados por </w:t>
      </w:r>
      <w:smartTag w:uri="urn:schemas-microsoft-com:office:smarttags" w:element="PersonName">
        <w:smartTagPr>
          <w:attr w:name="ProductID" w:val="la DGA"/>
        </w:smartTagPr>
        <w:r>
          <w:t>la DGA</w:t>
        </w:r>
      </w:smartTag>
      <w:r>
        <w:t>; para el resto de los derechos en los cuales no se señala el uso, se  procedió de la siguiente manera:</w:t>
      </w:r>
    </w:p>
    <w:p w:rsidR="00D47B2F" w:rsidRDefault="00D47B2F" w:rsidP="00B51B51">
      <w:pPr>
        <w:widowControl w:val="0"/>
      </w:pPr>
    </w:p>
    <w:p w:rsidR="00D47B2F" w:rsidRDefault="00D47B2F" w:rsidP="00B51B51">
      <w:pPr>
        <w:widowControl w:val="0"/>
      </w:pPr>
      <w:r>
        <w:t>En primera instancia se clasificó su uso según el caudal otorgado, luego de acuerdo al nombre del propietario y/o indicación  (observación) incluida en listado entregado. Específicamente se utilizó los siguientes criterios:</w:t>
      </w:r>
    </w:p>
    <w:p w:rsidR="00D47B2F" w:rsidRDefault="00D47B2F" w:rsidP="00B51B51">
      <w:pPr>
        <w:widowControl w:val="0"/>
      </w:pPr>
    </w:p>
    <w:p w:rsidR="00D47B2F" w:rsidRDefault="004D69DE" w:rsidP="00145762">
      <w:pPr>
        <w:widowControl w:val="0"/>
        <w:numPr>
          <w:ilvl w:val="1"/>
          <w:numId w:val="22"/>
        </w:numPr>
      </w:pPr>
      <w:r>
        <w:t>Caudales menores a 0,</w:t>
      </w:r>
      <w:r w:rsidR="00D47B2F">
        <w:t xml:space="preserve">5 l/s </w:t>
      </w:r>
      <w:r w:rsidR="00D47B2F">
        <w:sym w:font="Wingdings" w:char="F0E8"/>
      </w:r>
      <w:r w:rsidR="00D47B2F">
        <w:t xml:space="preserve"> Uso doméstico (es decir agua potable y riego particular).</w:t>
      </w:r>
    </w:p>
    <w:p w:rsidR="00D47B2F" w:rsidRDefault="00D47B2F" w:rsidP="00145762">
      <w:pPr>
        <w:widowControl w:val="0"/>
        <w:numPr>
          <w:ilvl w:val="1"/>
          <w:numId w:val="22"/>
        </w:numPr>
      </w:pPr>
      <w:r>
        <w:t xml:space="preserve">Uso Potable </w:t>
      </w:r>
      <w:r>
        <w:sym w:font="Wingdings" w:char="F0E8"/>
      </w:r>
      <w:r>
        <w:t xml:space="preserve"> Empresas Sanitarias y Sistemas de Agua Potable Rural</w:t>
      </w:r>
    </w:p>
    <w:p w:rsidR="00D47B2F" w:rsidRDefault="00D47B2F" w:rsidP="00145762">
      <w:pPr>
        <w:widowControl w:val="0"/>
        <w:numPr>
          <w:ilvl w:val="1"/>
          <w:numId w:val="22"/>
        </w:numPr>
      </w:pPr>
      <w:r>
        <w:lastRenderedPageBreak/>
        <w:t xml:space="preserve">Uso Industrial </w:t>
      </w:r>
      <w:r>
        <w:sym w:font="Wingdings" w:char="F0E8"/>
      </w:r>
      <w:r>
        <w:t xml:space="preserve"> Industrias, Forestales, Ganaderas, etc. </w:t>
      </w:r>
    </w:p>
    <w:p w:rsidR="00D47B2F" w:rsidRDefault="00D47B2F" w:rsidP="00145762">
      <w:pPr>
        <w:widowControl w:val="0"/>
        <w:numPr>
          <w:ilvl w:val="1"/>
          <w:numId w:val="22"/>
        </w:numPr>
      </w:pPr>
      <w:r>
        <w:t>Uso Riego</w:t>
      </w:r>
      <w:r>
        <w:sym w:font="Wingdings" w:char="F0E8"/>
      </w:r>
      <w:r>
        <w:t xml:space="preserve"> Particulares, Agrícolas, Inversiones, etc.</w:t>
      </w:r>
    </w:p>
    <w:p w:rsidR="00D47B2F" w:rsidRDefault="00D47B2F" w:rsidP="00145762">
      <w:pPr>
        <w:widowControl w:val="0"/>
        <w:numPr>
          <w:ilvl w:val="1"/>
          <w:numId w:val="22"/>
        </w:numPr>
      </w:pPr>
      <w:r>
        <w:t xml:space="preserve">Otros Usos (Recreacional, Turísticos, Deportivos) </w:t>
      </w:r>
      <w:r>
        <w:sym w:font="Wingdings" w:char="F0E8"/>
      </w:r>
      <w:r>
        <w:t xml:space="preserve"> Bancos, Universidades, Sociedades Turísticas, Clubes Deportivos, etc.</w:t>
      </w:r>
    </w:p>
    <w:p w:rsidR="00D47B2F" w:rsidRDefault="00D47B2F" w:rsidP="00B51B51">
      <w:pPr>
        <w:widowControl w:val="0"/>
        <w:ind w:left="1080"/>
      </w:pPr>
    </w:p>
    <w:p w:rsidR="00D47B2F" w:rsidRDefault="00D47B2F" w:rsidP="00B51B51">
      <w:pPr>
        <w:widowControl w:val="0"/>
      </w:pPr>
      <w:r>
        <w:t xml:space="preserve">Cabe recordar que los listados de derechos de aguas subterráneas no incluyen información a cerca del tipo de captación  (pozo, punteras, noria, drenes, etc.) con la cual se extraerá el derecho. </w:t>
      </w:r>
    </w:p>
    <w:p w:rsidR="00D47B2F" w:rsidRDefault="00D47B2F" w:rsidP="00B51B51">
      <w:pPr>
        <w:widowControl w:val="0"/>
      </w:pPr>
    </w:p>
    <w:p w:rsidR="00D47B2F" w:rsidRDefault="00D47B2F" w:rsidP="00B51B51">
      <w:pPr>
        <w:widowControl w:val="0"/>
      </w:pPr>
      <w:r>
        <w:t>En las Tablas siguientes se muestra y resume el número de derechos (expedientes) con y sin información de coordenadas y su uso por comuna:</w:t>
      </w:r>
    </w:p>
    <w:p w:rsidR="00D47B2F" w:rsidRDefault="00D47B2F" w:rsidP="00B51B51">
      <w:pPr>
        <w:widowControl w:val="0"/>
      </w:pPr>
    </w:p>
    <w:p w:rsidR="00D47B2F" w:rsidRPr="00FB4FEE" w:rsidRDefault="00D47B2F" w:rsidP="00B51B51">
      <w:pPr>
        <w:pStyle w:val="Epgrafe"/>
        <w:widowControl w:val="0"/>
      </w:pPr>
      <w:r w:rsidRPr="00FB4FEE">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r w:rsidRPr="00FB4FEE">
        <w:t xml:space="preserve"> </w:t>
      </w:r>
      <w:r w:rsidRPr="00FB4FEE">
        <w:rPr>
          <w:rFonts w:cs="Arial"/>
          <w:lang w:val="es-CL"/>
        </w:rPr>
        <w:t>Derechos de Aguas con Coordenadas por Comuna y Uso</w:t>
      </w:r>
    </w:p>
    <w:tbl>
      <w:tblPr>
        <w:tblW w:w="6482" w:type="dxa"/>
        <w:jc w:val="center"/>
        <w:tblCellMar>
          <w:left w:w="70" w:type="dxa"/>
          <w:right w:w="70" w:type="dxa"/>
        </w:tblCellMar>
        <w:tblLook w:val="0000" w:firstRow="0" w:lastRow="0" w:firstColumn="0" w:lastColumn="0" w:noHBand="0" w:noVBand="0"/>
      </w:tblPr>
      <w:tblGrid>
        <w:gridCol w:w="1480"/>
        <w:gridCol w:w="1060"/>
        <w:gridCol w:w="641"/>
        <w:gridCol w:w="1000"/>
        <w:gridCol w:w="1100"/>
        <w:gridCol w:w="621"/>
        <w:gridCol w:w="580"/>
      </w:tblGrid>
      <w:tr w:rsidR="00D47B2F" w:rsidRPr="009D4B42">
        <w:trPr>
          <w:trHeight w:val="20"/>
          <w:jc w:val="center"/>
        </w:trPr>
        <w:tc>
          <w:tcPr>
            <w:tcW w:w="1480" w:type="dxa"/>
            <w:vMerge w:val="restart"/>
            <w:tcBorders>
              <w:top w:val="single" w:sz="4" w:space="0" w:color="auto"/>
              <w:left w:val="single" w:sz="4" w:space="0" w:color="auto"/>
              <w:right w:val="single" w:sz="4" w:space="0" w:color="auto"/>
            </w:tcBorders>
            <w:shd w:val="clear" w:color="auto" w:fill="auto"/>
            <w:noWrap/>
            <w:vAlign w:val="center"/>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 </w:t>
            </w:r>
          </w:p>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Comuna</w:t>
            </w:r>
          </w:p>
        </w:tc>
        <w:tc>
          <w:tcPr>
            <w:tcW w:w="5002" w:type="dxa"/>
            <w:gridSpan w:val="6"/>
            <w:tcBorders>
              <w:top w:val="single" w:sz="4" w:space="0" w:color="auto"/>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Usos </w:t>
            </w:r>
          </w:p>
        </w:tc>
      </w:tr>
      <w:tr w:rsidR="00D47B2F" w:rsidRPr="009D4B42">
        <w:trPr>
          <w:trHeight w:val="20"/>
          <w:jc w:val="center"/>
        </w:trPr>
        <w:tc>
          <w:tcPr>
            <w:tcW w:w="1480" w:type="dxa"/>
            <w:vMerge/>
            <w:tcBorders>
              <w:left w:val="single" w:sz="4" w:space="0" w:color="auto"/>
              <w:bottom w:val="single" w:sz="4" w:space="0" w:color="auto"/>
              <w:right w:val="single" w:sz="4" w:space="0" w:color="auto"/>
            </w:tcBorders>
            <w:shd w:val="clear" w:color="auto" w:fill="auto"/>
            <w:noWrap/>
            <w:vAlign w:val="center"/>
          </w:tcPr>
          <w:p w:rsidR="00D47B2F" w:rsidRPr="009D4B42" w:rsidRDefault="00D47B2F" w:rsidP="00B51B51">
            <w:pPr>
              <w:widowControl w:val="0"/>
              <w:jc w:val="center"/>
              <w:rPr>
                <w:rFonts w:cs="Arial"/>
                <w:bCs/>
                <w:color w:val="000000"/>
                <w:sz w:val="18"/>
                <w:szCs w:val="18"/>
              </w:rPr>
            </w:pPr>
          </w:p>
        </w:tc>
        <w:tc>
          <w:tcPr>
            <w:tcW w:w="1060" w:type="dxa"/>
            <w:tcBorders>
              <w:top w:val="nil"/>
              <w:left w:val="nil"/>
              <w:bottom w:val="single" w:sz="4" w:space="0" w:color="auto"/>
              <w:right w:val="single" w:sz="4" w:space="0" w:color="auto"/>
            </w:tcBorders>
            <w:shd w:val="clear" w:color="auto" w:fill="auto"/>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A. Potable (P)</w:t>
            </w:r>
          </w:p>
        </w:tc>
        <w:tc>
          <w:tcPr>
            <w:tcW w:w="641" w:type="dxa"/>
            <w:tcBorders>
              <w:top w:val="nil"/>
              <w:left w:val="nil"/>
              <w:bottom w:val="single" w:sz="4" w:space="0" w:color="auto"/>
              <w:right w:val="single" w:sz="4" w:space="0" w:color="auto"/>
            </w:tcBorders>
            <w:shd w:val="clear" w:color="auto" w:fill="auto"/>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Riego (R )</w:t>
            </w:r>
          </w:p>
        </w:tc>
        <w:tc>
          <w:tcPr>
            <w:tcW w:w="1000" w:type="dxa"/>
            <w:tcBorders>
              <w:top w:val="nil"/>
              <w:left w:val="nil"/>
              <w:bottom w:val="single" w:sz="4" w:space="0" w:color="auto"/>
              <w:right w:val="single" w:sz="4" w:space="0" w:color="auto"/>
            </w:tcBorders>
            <w:shd w:val="clear" w:color="auto" w:fill="auto"/>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Industrial (I)</w:t>
            </w:r>
          </w:p>
        </w:tc>
        <w:tc>
          <w:tcPr>
            <w:tcW w:w="1100" w:type="dxa"/>
            <w:tcBorders>
              <w:top w:val="nil"/>
              <w:left w:val="nil"/>
              <w:bottom w:val="single" w:sz="4" w:space="0" w:color="auto"/>
              <w:right w:val="single" w:sz="4" w:space="0" w:color="auto"/>
            </w:tcBorders>
            <w:shd w:val="clear" w:color="auto" w:fill="auto"/>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Doméstico (D)</w:t>
            </w:r>
          </w:p>
        </w:tc>
        <w:tc>
          <w:tcPr>
            <w:tcW w:w="621" w:type="dxa"/>
            <w:tcBorders>
              <w:top w:val="nil"/>
              <w:left w:val="nil"/>
              <w:bottom w:val="single" w:sz="4" w:space="0" w:color="auto"/>
              <w:right w:val="single" w:sz="4" w:space="0" w:color="auto"/>
            </w:tcBorders>
            <w:shd w:val="clear" w:color="auto" w:fill="auto"/>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Otros (O)</w:t>
            </w:r>
          </w:p>
        </w:tc>
        <w:tc>
          <w:tcPr>
            <w:tcW w:w="580" w:type="dxa"/>
            <w:tcBorders>
              <w:top w:val="nil"/>
              <w:left w:val="nil"/>
              <w:bottom w:val="single" w:sz="4" w:space="0" w:color="auto"/>
              <w:right w:val="single" w:sz="4" w:space="0" w:color="auto"/>
            </w:tcBorders>
            <w:shd w:val="clear" w:color="auto" w:fill="auto"/>
            <w:noWrap/>
            <w:vAlign w:val="center"/>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Total</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Pr>
                <w:rFonts w:cs="Arial"/>
                <w:color w:val="000000"/>
                <w:sz w:val="18"/>
                <w:szCs w:val="18"/>
              </w:rPr>
              <w:t>Ché</w:t>
            </w:r>
            <w:r w:rsidRPr="009D4B42">
              <w:rPr>
                <w:rFonts w:cs="Arial"/>
                <w:color w:val="000000"/>
                <w:sz w:val="18"/>
                <w:szCs w:val="18"/>
              </w:rPr>
              <w:t>pica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9</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101</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225</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Chimbarongo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75</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142</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Codegua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30</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43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Coinco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18</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38</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Coltauco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92</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57</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163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Doñihue</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9</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35</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Graneros</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32</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61</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La Estrella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82</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190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283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Las Cabras</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76</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75</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183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Litueche</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113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192</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315</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Lolol</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109</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173</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324</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Pr>
                <w:rFonts w:cs="Arial"/>
                <w:color w:val="000000"/>
                <w:sz w:val="18"/>
                <w:szCs w:val="18"/>
              </w:rPr>
              <w:t>Machalí</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18</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Malloa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45</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91</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Marchigue</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284</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154</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48</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494</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Mostazal</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37</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24</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76</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Nancagua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57</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126</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203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Navidad</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76</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Olivar</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Palmilla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87</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59</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20</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174</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Paredones</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58</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226</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293</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Peralillo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20</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276</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62</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370</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Peumo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9</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89</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65</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171</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Pichidegua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64</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50</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139</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Pichilemu</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40</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103</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198</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Placilla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5</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61</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36</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105</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Pumanque</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115</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71</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35</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235</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Qta. de Tilcoco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41</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52</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Rancagua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6</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12</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54</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Rengo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14</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91</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13</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35</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160</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Requinoa</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13</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 </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29</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San Fernando</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14</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44</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4</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81</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San Vicente</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29</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155</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2</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85</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15</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286</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color w:val="000000"/>
                <w:sz w:val="18"/>
                <w:szCs w:val="18"/>
              </w:rPr>
            </w:pPr>
            <w:r w:rsidRPr="009D4B42">
              <w:rPr>
                <w:rFonts w:cs="Arial"/>
                <w:color w:val="000000"/>
                <w:sz w:val="18"/>
                <w:szCs w:val="18"/>
              </w:rPr>
              <w:t>Santa Cruz</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7</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140</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142</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color w:val="000000"/>
                <w:sz w:val="18"/>
                <w:szCs w:val="18"/>
              </w:rPr>
            </w:pPr>
            <w:r w:rsidRPr="009D4B42">
              <w:rPr>
                <w:rFonts w:cs="Arial"/>
                <w:color w:val="000000"/>
                <w:sz w:val="18"/>
                <w:szCs w:val="18"/>
              </w:rPr>
              <w:t>17</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307</w:t>
            </w:r>
          </w:p>
        </w:tc>
      </w:tr>
      <w:tr w:rsidR="00D47B2F" w:rsidRPr="009D4B42">
        <w:trPr>
          <w:trHeight w:val="20"/>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D47B2F" w:rsidRPr="009D4B42" w:rsidRDefault="00D47B2F" w:rsidP="00B51B51">
            <w:pPr>
              <w:widowControl w:val="0"/>
              <w:jc w:val="left"/>
              <w:rPr>
                <w:rFonts w:cs="Arial"/>
                <w:bCs/>
                <w:color w:val="000000"/>
                <w:sz w:val="18"/>
                <w:szCs w:val="18"/>
              </w:rPr>
            </w:pPr>
            <w:r w:rsidRPr="009D4B42">
              <w:rPr>
                <w:rFonts w:cs="Arial"/>
                <w:bCs/>
                <w:color w:val="000000"/>
                <w:sz w:val="18"/>
                <w:szCs w:val="18"/>
              </w:rPr>
              <w:t>Total</w:t>
            </w:r>
          </w:p>
        </w:tc>
        <w:tc>
          <w:tcPr>
            <w:tcW w:w="106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302</w:t>
            </w:r>
          </w:p>
        </w:tc>
        <w:tc>
          <w:tcPr>
            <w:tcW w:w="64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2461</w:t>
            </w:r>
          </w:p>
        </w:tc>
        <w:tc>
          <w:tcPr>
            <w:tcW w:w="10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131</w:t>
            </w:r>
          </w:p>
        </w:tc>
        <w:tc>
          <w:tcPr>
            <w:tcW w:w="110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2197</w:t>
            </w:r>
          </w:p>
        </w:tc>
        <w:tc>
          <w:tcPr>
            <w:tcW w:w="621"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346</w:t>
            </w:r>
          </w:p>
        </w:tc>
        <w:tc>
          <w:tcPr>
            <w:tcW w:w="580" w:type="dxa"/>
            <w:tcBorders>
              <w:top w:val="nil"/>
              <w:left w:val="nil"/>
              <w:bottom w:val="single" w:sz="4" w:space="0" w:color="auto"/>
              <w:right w:val="single" w:sz="4" w:space="0" w:color="auto"/>
            </w:tcBorders>
            <w:shd w:val="clear" w:color="auto" w:fill="auto"/>
            <w:noWrap/>
            <w:vAlign w:val="bottom"/>
          </w:tcPr>
          <w:p w:rsidR="00D47B2F" w:rsidRPr="009D4B42" w:rsidRDefault="00D47B2F" w:rsidP="00B51B51">
            <w:pPr>
              <w:widowControl w:val="0"/>
              <w:jc w:val="center"/>
              <w:rPr>
                <w:rFonts w:cs="Arial"/>
                <w:bCs/>
                <w:color w:val="000000"/>
                <w:sz w:val="18"/>
                <w:szCs w:val="18"/>
              </w:rPr>
            </w:pPr>
            <w:r w:rsidRPr="009D4B42">
              <w:rPr>
                <w:rFonts w:cs="Arial"/>
                <w:bCs/>
                <w:color w:val="000000"/>
                <w:sz w:val="18"/>
                <w:szCs w:val="18"/>
              </w:rPr>
              <w:t>5437</w:t>
            </w:r>
          </w:p>
        </w:tc>
      </w:tr>
    </w:tbl>
    <w:p w:rsidR="00D47B2F" w:rsidRDefault="00D47B2F" w:rsidP="00B51B51">
      <w:pPr>
        <w:widowControl w:val="0"/>
        <w:jc w:val="center"/>
        <w:rPr>
          <w:lang w:val="es-CL"/>
        </w:rPr>
      </w:pPr>
    </w:p>
    <w:p w:rsidR="00D47B2F" w:rsidRDefault="00D47B2F" w:rsidP="00B51B51">
      <w:pPr>
        <w:widowControl w:val="0"/>
        <w:jc w:val="center"/>
        <w:rPr>
          <w:lang w:val="es-CL"/>
        </w:rPr>
      </w:pPr>
    </w:p>
    <w:p w:rsidR="00D47B2F" w:rsidRDefault="00D47B2F" w:rsidP="00B51B51">
      <w:pPr>
        <w:widowControl w:val="0"/>
        <w:jc w:val="center"/>
        <w:rPr>
          <w:lang w:val="es-CL"/>
        </w:rPr>
      </w:pPr>
    </w:p>
    <w:p w:rsidR="00145D43" w:rsidRDefault="00145D43" w:rsidP="00B51B51">
      <w:pPr>
        <w:widowControl w:val="0"/>
        <w:jc w:val="center"/>
        <w:rPr>
          <w:lang w:val="es-CL"/>
        </w:rPr>
      </w:pPr>
    </w:p>
    <w:p w:rsidR="00D47B2F" w:rsidRDefault="00D47B2F" w:rsidP="00B51B51">
      <w:pPr>
        <w:widowControl w:val="0"/>
        <w:jc w:val="center"/>
        <w:rPr>
          <w:lang w:val="es-CL"/>
        </w:rPr>
      </w:pPr>
    </w:p>
    <w:p w:rsidR="00D47B2F" w:rsidRDefault="00D47B2F" w:rsidP="00B51B51">
      <w:pPr>
        <w:pStyle w:val="Epgrafe"/>
        <w:widowControl w:val="0"/>
      </w:pPr>
      <w:r>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r>
        <w:t xml:space="preserve"> </w:t>
      </w:r>
      <w:r w:rsidRPr="00FB4FEE">
        <w:t>Derechos de Aguas sin Coordenadas por Comuna y Uso</w:t>
      </w:r>
    </w:p>
    <w:tbl>
      <w:tblPr>
        <w:tblW w:w="8165" w:type="dxa"/>
        <w:jc w:val="center"/>
        <w:tblInd w:w="-237" w:type="dxa"/>
        <w:tblCellMar>
          <w:left w:w="70" w:type="dxa"/>
          <w:right w:w="70" w:type="dxa"/>
        </w:tblCellMar>
        <w:tblLook w:val="0000" w:firstRow="0" w:lastRow="0" w:firstColumn="0" w:lastColumn="0" w:noHBand="0" w:noVBand="0"/>
      </w:tblPr>
      <w:tblGrid>
        <w:gridCol w:w="1566"/>
        <w:gridCol w:w="1271"/>
        <w:gridCol w:w="1059"/>
        <w:gridCol w:w="1074"/>
        <w:gridCol w:w="1252"/>
        <w:gridCol w:w="896"/>
        <w:gridCol w:w="1047"/>
      </w:tblGrid>
      <w:tr w:rsidR="00D47B2F" w:rsidRPr="00145D43">
        <w:trPr>
          <w:jc w:val="center"/>
        </w:trPr>
        <w:tc>
          <w:tcPr>
            <w:tcW w:w="1566" w:type="dxa"/>
            <w:vMerge w:val="restart"/>
            <w:tcBorders>
              <w:top w:val="single" w:sz="4" w:space="0" w:color="auto"/>
              <w:left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 </w:t>
            </w:r>
          </w:p>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Comuna</w:t>
            </w:r>
          </w:p>
        </w:tc>
        <w:tc>
          <w:tcPr>
            <w:tcW w:w="6599" w:type="dxa"/>
            <w:gridSpan w:val="6"/>
            <w:tcBorders>
              <w:top w:val="single" w:sz="4" w:space="0" w:color="auto"/>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Usos</w:t>
            </w:r>
          </w:p>
        </w:tc>
      </w:tr>
      <w:tr w:rsidR="00D47B2F" w:rsidRPr="00145D43">
        <w:trPr>
          <w:jc w:val="center"/>
        </w:trPr>
        <w:tc>
          <w:tcPr>
            <w:tcW w:w="1566" w:type="dxa"/>
            <w:vMerge/>
            <w:tcBorders>
              <w:left w:val="single" w:sz="4" w:space="0" w:color="auto"/>
              <w:bottom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p>
        </w:tc>
        <w:tc>
          <w:tcPr>
            <w:tcW w:w="1271"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A. Potable (P)</w:t>
            </w:r>
          </w:p>
        </w:tc>
        <w:tc>
          <w:tcPr>
            <w:tcW w:w="1059"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Riego (R )</w:t>
            </w:r>
          </w:p>
        </w:tc>
        <w:tc>
          <w:tcPr>
            <w:tcW w:w="1074"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Industrial (I)</w:t>
            </w:r>
          </w:p>
        </w:tc>
        <w:tc>
          <w:tcPr>
            <w:tcW w:w="1252"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Doméstico (D)</w:t>
            </w:r>
          </w:p>
        </w:tc>
        <w:tc>
          <w:tcPr>
            <w:tcW w:w="896"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Otros (O)</w:t>
            </w:r>
          </w:p>
        </w:tc>
        <w:tc>
          <w:tcPr>
            <w:tcW w:w="1047" w:type="dxa"/>
            <w:tcBorders>
              <w:top w:val="nil"/>
              <w:left w:val="nil"/>
              <w:bottom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Total</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Chépica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7</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Chimbarongo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Codegua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7</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9</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Coinco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Coltauco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Doñihue</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9</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12</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Graneros</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7</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9</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La Estrella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Las Cabras</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5</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8</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Litueche</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7</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Lolol</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Machalí</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Malloa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5</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Marchigue</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Mostazal</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Nancagua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Navidad</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Olivar</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Palmilla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Paredones</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Peralillo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7</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13</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Peumo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3</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Pichidegua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Pichilemu</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Placilla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Pumanque</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Qta. de Tilcoco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Rancagua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14</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19</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Rengo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8</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8</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17</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Requinoa</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5</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11</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San Fernando</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San Vicente</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8</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5</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15</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Santa Cruz</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15</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19</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color w:val="000000"/>
                <w:sz w:val="16"/>
                <w:szCs w:val="16"/>
              </w:rPr>
            </w:pPr>
            <w:r w:rsidRPr="00145D43">
              <w:rPr>
                <w:rFonts w:cs="Arial"/>
                <w:color w:val="000000"/>
                <w:sz w:val="16"/>
                <w:szCs w:val="16"/>
              </w:rPr>
              <w:t>Sin Información</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 </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0</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6</w:t>
            </w:r>
          </w:p>
        </w:tc>
      </w:tr>
      <w:tr w:rsidR="00D47B2F" w:rsidRPr="00145D43">
        <w:trPr>
          <w:jc w:val="center"/>
        </w:trPr>
        <w:tc>
          <w:tcPr>
            <w:tcW w:w="1566"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jc w:val="left"/>
              <w:rPr>
                <w:rFonts w:cs="Arial"/>
                <w:bCs/>
                <w:color w:val="000000"/>
                <w:sz w:val="16"/>
                <w:szCs w:val="16"/>
              </w:rPr>
            </w:pPr>
            <w:r w:rsidRPr="00145D43">
              <w:rPr>
                <w:rFonts w:cs="Arial"/>
                <w:bCs/>
                <w:color w:val="000000"/>
                <w:sz w:val="16"/>
                <w:szCs w:val="16"/>
              </w:rPr>
              <w:t>Total</w:t>
            </w:r>
          </w:p>
        </w:tc>
        <w:tc>
          <w:tcPr>
            <w:tcW w:w="1271"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84</w:t>
            </w:r>
          </w:p>
        </w:tc>
        <w:tc>
          <w:tcPr>
            <w:tcW w:w="1059"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138</w:t>
            </w:r>
          </w:p>
        </w:tc>
        <w:tc>
          <w:tcPr>
            <w:tcW w:w="1074"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24</w:t>
            </w:r>
          </w:p>
        </w:tc>
        <w:tc>
          <w:tcPr>
            <w:tcW w:w="1252"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7</w:t>
            </w:r>
          </w:p>
        </w:tc>
        <w:tc>
          <w:tcPr>
            <w:tcW w:w="89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19</w:t>
            </w:r>
          </w:p>
        </w:tc>
        <w:tc>
          <w:tcPr>
            <w:tcW w:w="1047"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272</w:t>
            </w:r>
          </w:p>
        </w:tc>
      </w:tr>
    </w:tbl>
    <w:p w:rsidR="00D47B2F" w:rsidRDefault="00D47B2F" w:rsidP="00B51B51">
      <w:pPr>
        <w:widowControl w:val="0"/>
      </w:pPr>
    </w:p>
    <w:p w:rsidR="00D47B2F" w:rsidRDefault="00D47B2F" w:rsidP="00B51B51">
      <w:pPr>
        <w:pStyle w:val="Epgrafe"/>
        <w:widowControl w:val="0"/>
      </w:pPr>
      <w:r>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r>
        <w:t xml:space="preserve"> </w:t>
      </w:r>
      <w:r w:rsidRPr="00FB4FEE">
        <w:t xml:space="preserve">Resumen Número de Derechos de Aguas con y sin Coordenadas por Uso y Caudal Otorgado en </w:t>
      </w:r>
      <w:smartTag w:uri="urn:schemas-microsoft-com:office:smarttags" w:element="PersonName">
        <w:smartTagPr>
          <w:attr w:name="ProductID" w:val="la VI Región"/>
        </w:smartTagPr>
        <w:r w:rsidRPr="00C216EC">
          <w:rPr>
            <w:rFonts w:cs="Arial"/>
            <w:lang w:val="es-CL"/>
          </w:rPr>
          <w:t>la VI Región</w:t>
        </w:r>
      </w:smartTag>
    </w:p>
    <w:tbl>
      <w:tblPr>
        <w:tblW w:w="8732" w:type="dxa"/>
        <w:jc w:val="center"/>
        <w:tblInd w:w="269" w:type="dxa"/>
        <w:tblLayout w:type="fixed"/>
        <w:tblCellMar>
          <w:left w:w="70" w:type="dxa"/>
          <w:right w:w="70" w:type="dxa"/>
        </w:tblCellMar>
        <w:tblLook w:val="0000" w:firstRow="0" w:lastRow="0" w:firstColumn="0" w:lastColumn="0" w:noHBand="0" w:noVBand="0"/>
      </w:tblPr>
      <w:tblGrid>
        <w:gridCol w:w="1960"/>
        <w:gridCol w:w="960"/>
        <w:gridCol w:w="960"/>
        <w:gridCol w:w="960"/>
        <w:gridCol w:w="960"/>
        <w:gridCol w:w="960"/>
        <w:gridCol w:w="986"/>
        <w:gridCol w:w="986"/>
      </w:tblGrid>
      <w:tr w:rsidR="00D47B2F" w:rsidRPr="00145D43">
        <w:trPr>
          <w:jc w:val="center"/>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Descripción</w:t>
            </w:r>
          </w:p>
        </w:tc>
        <w:tc>
          <w:tcPr>
            <w:tcW w:w="4800" w:type="dxa"/>
            <w:gridSpan w:val="5"/>
            <w:tcBorders>
              <w:top w:val="single" w:sz="4" w:space="0" w:color="auto"/>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Usos</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Total</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Porcentaje</w:t>
            </w:r>
          </w:p>
        </w:tc>
      </w:tr>
      <w:tr w:rsidR="00D47B2F" w:rsidRPr="00145D43">
        <w:trPr>
          <w:jc w:val="center"/>
        </w:trPr>
        <w:tc>
          <w:tcPr>
            <w:tcW w:w="1960" w:type="dxa"/>
            <w:vMerge/>
            <w:tcBorders>
              <w:top w:val="single" w:sz="4" w:space="0" w:color="auto"/>
              <w:left w:val="single" w:sz="4" w:space="0" w:color="auto"/>
              <w:bottom w:val="single" w:sz="4" w:space="0" w:color="auto"/>
              <w:right w:val="single" w:sz="4" w:space="0" w:color="auto"/>
            </w:tcBorders>
            <w:vAlign w:val="center"/>
          </w:tcPr>
          <w:p w:rsidR="00D47B2F" w:rsidRPr="00145D43" w:rsidRDefault="00D47B2F" w:rsidP="00B51B51">
            <w:pPr>
              <w:widowControl w:val="0"/>
              <w:jc w:val="left"/>
              <w:rPr>
                <w:rFonts w:cs="Arial"/>
                <w:bCs/>
                <w:color w:val="000000"/>
                <w:sz w:val="16"/>
                <w:szCs w:val="16"/>
              </w:rPr>
            </w:pPr>
          </w:p>
        </w:tc>
        <w:tc>
          <w:tcPr>
            <w:tcW w:w="960"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A. Potable (P)</w:t>
            </w:r>
          </w:p>
        </w:tc>
        <w:tc>
          <w:tcPr>
            <w:tcW w:w="960"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Riego (R)</w:t>
            </w:r>
          </w:p>
        </w:tc>
        <w:tc>
          <w:tcPr>
            <w:tcW w:w="960" w:type="dxa"/>
            <w:tcBorders>
              <w:top w:val="nil"/>
              <w:left w:val="nil"/>
              <w:bottom w:val="single" w:sz="4" w:space="0" w:color="auto"/>
              <w:right w:val="single" w:sz="4" w:space="0" w:color="auto"/>
            </w:tcBorders>
            <w:shd w:val="clear" w:color="auto" w:fill="auto"/>
            <w:vAlign w:val="bottom"/>
          </w:tcPr>
          <w:p w:rsidR="00145D43" w:rsidRDefault="00D47B2F" w:rsidP="00B51B51">
            <w:pPr>
              <w:widowControl w:val="0"/>
              <w:jc w:val="center"/>
              <w:rPr>
                <w:rFonts w:cs="Arial"/>
                <w:bCs/>
                <w:color w:val="000000"/>
                <w:sz w:val="16"/>
                <w:szCs w:val="16"/>
              </w:rPr>
            </w:pPr>
            <w:r w:rsidRPr="00145D43">
              <w:rPr>
                <w:rFonts w:cs="Arial"/>
                <w:bCs/>
                <w:color w:val="000000"/>
                <w:sz w:val="16"/>
                <w:szCs w:val="16"/>
              </w:rPr>
              <w:t>Industrial</w:t>
            </w:r>
          </w:p>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(I)</w:t>
            </w:r>
          </w:p>
        </w:tc>
        <w:tc>
          <w:tcPr>
            <w:tcW w:w="960" w:type="dxa"/>
            <w:tcBorders>
              <w:top w:val="nil"/>
              <w:left w:val="nil"/>
              <w:bottom w:val="single" w:sz="4" w:space="0" w:color="auto"/>
              <w:right w:val="single" w:sz="4" w:space="0" w:color="auto"/>
            </w:tcBorders>
            <w:shd w:val="clear" w:color="auto" w:fill="auto"/>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Doméstico (D)</w:t>
            </w:r>
          </w:p>
        </w:tc>
        <w:tc>
          <w:tcPr>
            <w:tcW w:w="960" w:type="dxa"/>
            <w:tcBorders>
              <w:top w:val="nil"/>
              <w:left w:val="nil"/>
              <w:bottom w:val="single" w:sz="4" w:space="0" w:color="auto"/>
              <w:right w:val="single" w:sz="4" w:space="0" w:color="auto"/>
            </w:tcBorders>
            <w:shd w:val="clear" w:color="auto" w:fill="auto"/>
            <w:vAlign w:val="bottom"/>
          </w:tcPr>
          <w:p w:rsidR="00145D43" w:rsidRDefault="00D47B2F" w:rsidP="00B51B51">
            <w:pPr>
              <w:widowControl w:val="0"/>
              <w:jc w:val="center"/>
              <w:rPr>
                <w:rFonts w:cs="Arial"/>
                <w:bCs/>
                <w:color w:val="000000"/>
                <w:sz w:val="16"/>
                <w:szCs w:val="16"/>
              </w:rPr>
            </w:pPr>
            <w:r w:rsidRPr="00145D43">
              <w:rPr>
                <w:rFonts w:cs="Arial"/>
                <w:bCs/>
                <w:color w:val="000000"/>
                <w:sz w:val="16"/>
                <w:szCs w:val="16"/>
              </w:rPr>
              <w:t>Otros</w:t>
            </w:r>
          </w:p>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(O)</w:t>
            </w:r>
          </w:p>
        </w:tc>
        <w:tc>
          <w:tcPr>
            <w:tcW w:w="986" w:type="dxa"/>
            <w:vMerge/>
            <w:tcBorders>
              <w:top w:val="single" w:sz="4" w:space="0" w:color="auto"/>
              <w:left w:val="single" w:sz="4" w:space="0" w:color="auto"/>
              <w:bottom w:val="single" w:sz="4" w:space="0" w:color="auto"/>
              <w:right w:val="single" w:sz="4" w:space="0" w:color="auto"/>
            </w:tcBorders>
            <w:vAlign w:val="center"/>
          </w:tcPr>
          <w:p w:rsidR="00D47B2F" w:rsidRPr="00145D43" w:rsidRDefault="00D47B2F" w:rsidP="00B51B51">
            <w:pPr>
              <w:widowControl w:val="0"/>
              <w:jc w:val="left"/>
              <w:rPr>
                <w:rFonts w:cs="Arial"/>
                <w:bCs/>
                <w:color w:val="000000"/>
                <w:sz w:val="16"/>
                <w:szCs w:val="16"/>
              </w:rPr>
            </w:pPr>
          </w:p>
        </w:tc>
        <w:tc>
          <w:tcPr>
            <w:tcW w:w="986" w:type="dxa"/>
            <w:vMerge/>
            <w:tcBorders>
              <w:top w:val="single" w:sz="4" w:space="0" w:color="auto"/>
              <w:left w:val="single" w:sz="4" w:space="0" w:color="auto"/>
              <w:bottom w:val="single" w:sz="4" w:space="0" w:color="auto"/>
              <w:right w:val="single" w:sz="4" w:space="0" w:color="auto"/>
            </w:tcBorders>
            <w:vAlign w:val="center"/>
          </w:tcPr>
          <w:p w:rsidR="00D47B2F" w:rsidRPr="00145D43" w:rsidRDefault="00D47B2F" w:rsidP="00B51B51">
            <w:pPr>
              <w:widowControl w:val="0"/>
              <w:jc w:val="left"/>
              <w:rPr>
                <w:rFonts w:cs="Arial"/>
                <w:bCs/>
                <w:color w:val="000000"/>
                <w:sz w:val="16"/>
                <w:szCs w:val="16"/>
              </w:rPr>
            </w:pP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color w:val="000000"/>
                <w:sz w:val="16"/>
                <w:szCs w:val="16"/>
              </w:rPr>
            </w:pPr>
            <w:r w:rsidRPr="00145D43">
              <w:rPr>
                <w:rFonts w:cs="Arial"/>
                <w:color w:val="000000"/>
                <w:sz w:val="16"/>
                <w:szCs w:val="16"/>
              </w:rPr>
              <w:t>Nº Derechos con Coord.</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302</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2461</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131</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2197</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346</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5437</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95,2%</w:t>
            </w: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color w:val="000000"/>
                <w:sz w:val="16"/>
                <w:szCs w:val="16"/>
              </w:rPr>
            </w:pPr>
            <w:r w:rsidRPr="00145D43">
              <w:rPr>
                <w:rFonts w:cs="Arial"/>
                <w:color w:val="000000"/>
                <w:sz w:val="16"/>
                <w:szCs w:val="16"/>
              </w:rPr>
              <w:t>Nº Derechos sin Coord.</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84</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138</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7</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19</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272</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4,8%</w:t>
            </w: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bCs/>
                <w:color w:val="000000"/>
                <w:sz w:val="16"/>
                <w:szCs w:val="16"/>
              </w:rPr>
            </w:pPr>
            <w:r w:rsidRPr="00145D43">
              <w:rPr>
                <w:rFonts w:cs="Arial"/>
                <w:bCs/>
                <w:color w:val="000000"/>
                <w:sz w:val="16"/>
                <w:szCs w:val="16"/>
              </w:rPr>
              <w:t xml:space="preserve">Total Nº Derechos </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386</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2599</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155</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2204</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365</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5709</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100,0%</w:t>
            </w: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bCs/>
                <w:color w:val="000000"/>
                <w:sz w:val="16"/>
                <w:szCs w:val="16"/>
              </w:rPr>
            </w:pPr>
            <w:r w:rsidRPr="00145D43">
              <w:rPr>
                <w:rFonts w:cs="Arial"/>
                <w:bCs/>
                <w:color w:val="000000"/>
                <w:sz w:val="16"/>
                <w:szCs w:val="16"/>
              </w:rPr>
              <w:t xml:space="preserve">Porcentaje Derechos </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6,8%</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45,5%</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38,6%</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6,4%</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100,0%</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 </w:t>
            </w: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bCs/>
                <w:color w:val="000000"/>
                <w:sz w:val="16"/>
                <w:szCs w:val="16"/>
              </w:rPr>
            </w:pPr>
            <w:r w:rsidRPr="00145D43">
              <w:rPr>
                <w:rFonts w:cs="Arial"/>
                <w:bCs/>
                <w:color w:val="000000"/>
                <w:sz w:val="16"/>
                <w:szCs w:val="16"/>
              </w:rPr>
              <w:t xml:space="preserve">Caudal (l/s)  </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6.043</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38.291</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4.270</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582</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6.986</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56.172</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 </w:t>
            </w:r>
          </w:p>
        </w:tc>
      </w:tr>
      <w:tr w:rsidR="00D47B2F" w:rsidRPr="00145D43">
        <w:trPr>
          <w:jc w:val="center"/>
        </w:trPr>
        <w:tc>
          <w:tcPr>
            <w:tcW w:w="1960" w:type="dxa"/>
            <w:tcBorders>
              <w:top w:val="nil"/>
              <w:left w:val="single" w:sz="4" w:space="0" w:color="auto"/>
              <w:bottom w:val="single" w:sz="4" w:space="0" w:color="auto"/>
              <w:right w:val="single" w:sz="4" w:space="0" w:color="auto"/>
            </w:tcBorders>
            <w:shd w:val="clear" w:color="auto" w:fill="auto"/>
            <w:noWrap/>
            <w:vAlign w:val="bottom"/>
          </w:tcPr>
          <w:p w:rsidR="00D47B2F" w:rsidRPr="00145D43" w:rsidRDefault="00D47B2F" w:rsidP="00B51B51">
            <w:pPr>
              <w:widowControl w:val="0"/>
              <w:rPr>
                <w:rFonts w:cs="Arial"/>
                <w:bCs/>
                <w:color w:val="000000"/>
                <w:sz w:val="16"/>
                <w:szCs w:val="16"/>
              </w:rPr>
            </w:pPr>
            <w:r w:rsidRPr="00145D43">
              <w:rPr>
                <w:rFonts w:cs="Arial"/>
                <w:bCs/>
                <w:color w:val="000000"/>
                <w:sz w:val="16"/>
                <w:szCs w:val="16"/>
              </w:rPr>
              <w:t xml:space="preserve">Porcentaje Caudal </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10,8%</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68,2%</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7,6%</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1,0%</w:t>
            </w:r>
          </w:p>
        </w:tc>
        <w:tc>
          <w:tcPr>
            <w:tcW w:w="960"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12,4%</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color w:val="000000"/>
                <w:sz w:val="16"/>
                <w:szCs w:val="16"/>
              </w:rPr>
            </w:pPr>
            <w:r w:rsidRPr="00145D43">
              <w:rPr>
                <w:rFonts w:cs="Arial"/>
                <w:color w:val="000000"/>
                <w:sz w:val="16"/>
                <w:szCs w:val="16"/>
              </w:rPr>
              <w:t>100,0%</w:t>
            </w:r>
          </w:p>
        </w:tc>
        <w:tc>
          <w:tcPr>
            <w:tcW w:w="986" w:type="dxa"/>
            <w:tcBorders>
              <w:top w:val="nil"/>
              <w:left w:val="nil"/>
              <w:bottom w:val="single" w:sz="4" w:space="0" w:color="auto"/>
              <w:right w:val="single" w:sz="4" w:space="0" w:color="auto"/>
            </w:tcBorders>
            <w:shd w:val="clear" w:color="auto" w:fill="auto"/>
            <w:noWrap/>
            <w:vAlign w:val="bottom"/>
          </w:tcPr>
          <w:p w:rsidR="00D47B2F" w:rsidRPr="00145D43" w:rsidRDefault="00D47B2F" w:rsidP="00B51B51">
            <w:pPr>
              <w:widowControl w:val="0"/>
              <w:jc w:val="center"/>
              <w:rPr>
                <w:rFonts w:cs="Arial"/>
                <w:bCs/>
                <w:color w:val="000000"/>
                <w:sz w:val="16"/>
                <w:szCs w:val="16"/>
              </w:rPr>
            </w:pPr>
            <w:r w:rsidRPr="00145D43">
              <w:rPr>
                <w:rFonts w:cs="Arial"/>
                <w:bCs/>
                <w:color w:val="000000"/>
                <w:sz w:val="16"/>
                <w:szCs w:val="16"/>
              </w:rPr>
              <w:t> </w:t>
            </w:r>
          </w:p>
        </w:tc>
      </w:tr>
    </w:tbl>
    <w:p w:rsidR="00D47B2F" w:rsidRPr="000F4184" w:rsidRDefault="00D47B2F" w:rsidP="00B51B51">
      <w:pPr>
        <w:widowControl w:val="0"/>
        <w:rPr>
          <w:lang w:val="es-CL"/>
        </w:rPr>
      </w:pPr>
    </w:p>
    <w:p w:rsidR="00D47B2F" w:rsidRDefault="00D47B2F" w:rsidP="00B51B51">
      <w:pPr>
        <w:widowControl w:val="0"/>
      </w:pPr>
      <w:r>
        <w:t xml:space="preserve">De </w:t>
      </w:r>
      <w:smartTag w:uri="urn:schemas-microsoft-com:office:smarttags" w:element="PersonName">
        <w:smartTagPr>
          <w:attr w:name="ProductID" w:val="la ￼￼￼￼￼￼￼￼￼￼￼￼￼￼￼￼￼￼￼￼￼￼￼￼￼￼￼￼￼￼￼￼￼￼￼￼￼￼￼￼￼Tabla"/>
        </w:smartTagPr>
        <w:r>
          <w:t>la Tabla</w:t>
        </w:r>
      </w:smartTag>
      <w:r>
        <w:t xml:space="preserve"> resumen se concluye que:</w:t>
      </w:r>
    </w:p>
    <w:p w:rsidR="00D47B2F" w:rsidRDefault="00D47B2F" w:rsidP="00B51B51">
      <w:pPr>
        <w:widowControl w:val="0"/>
      </w:pPr>
    </w:p>
    <w:p w:rsidR="00D47B2F" w:rsidRPr="0061726C" w:rsidRDefault="00D47B2F" w:rsidP="00145762">
      <w:pPr>
        <w:widowControl w:val="0"/>
        <w:numPr>
          <w:ilvl w:val="0"/>
          <w:numId w:val="21"/>
        </w:numPr>
        <w:rPr>
          <w:rFonts w:cs="Arial"/>
          <w:szCs w:val="22"/>
        </w:rPr>
      </w:pPr>
      <w:r w:rsidRPr="0061726C">
        <w:rPr>
          <w:rFonts w:cs="Arial"/>
          <w:szCs w:val="22"/>
        </w:rPr>
        <w:t>El porcentaje de derechos sin coordenadas es bajo, motivo por el cual la estimación de la demanda por acuíferos y/o subcuenca a realizar en la segunda etapa del estudio no estaría afecta a incertidumbres importantes, dado que la ubicación del derecho se conoce con exactitud.</w:t>
      </w:r>
    </w:p>
    <w:p w:rsidR="00D47B2F" w:rsidRPr="0061726C" w:rsidRDefault="00D47B2F" w:rsidP="00145762">
      <w:pPr>
        <w:widowControl w:val="0"/>
        <w:numPr>
          <w:ilvl w:val="0"/>
          <w:numId w:val="21"/>
        </w:numPr>
        <w:rPr>
          <w:rFonts w:cs="Arial"/>
          <w:szCs w:val="22"/>
        </w:rPr>
      </w:pPr>
      <w:r w:rsidRPr="0061726C">
        <w:rPr>
          <w:rFonts w:cs="Arial"/>
          <w:szCs w:val="22"/>
        </w:rPr>
        <w:t>Resulta importante el número de derechos de agua otorgados con caudales menores o iguales a 0,5 l/s (un 38,6 % del total de la región), que para los efectos del presente estudio han sido clasificados de uso doméstico.</w:t>
      </w:r>
    </w:p>
    <w:p w:rsidR="00D47B2F" w:rsidRPr="00680EC0" w:rsidRDefault="00D47B2F" w:rsidP="00145762">
      <w:pPr>
        <w:widowControl w:val="0"/>
        <w:numPr>
          <w:ilvl w:val="0"/>
          <w:numId w:val="21"/>
        </w:numPr>
      </w:pPr>
      <w:r w:rsidRPr="0061726C">
        <w:rPr>
          <w:rFonts w:cs="Arial"/>
          <w:szCs w:val="22"/>
        </w:rPr>
        <w:lastRenderedPageBreak/>
        <w:t>En relación al error asociado a la clasificación del uso del derecho y por ende al caudal potencialmente explotado, resulta importante indicar que los que presentan menor incertidumbre son los asociados al uso potable. Para disminuir el error asociado a la clasificación del resto de los usos y caudales, se realizará un cruce con los catastros de terreno desarrollados en los estud</w:t>
      </w:r>
      <w:r w:rsidR="00680EC0">
        <w:rPr>
          <w:rFonts w:cs="Arial"/>
          <w:szCs w:val="22"/>
        </w:rPr>
        <w:t>ios recopilados e identificados.</w:t>
      </w:r>
    </w:p>
    <w:p w:rsidR="00680EC0" w:rsidRDefault="00680EC0" w:rsidP="00890E02">
      <w:pPr>
        <w:widowControl w:val="0"/>
      </w:pPr>
    </w:p>
    <w:p w:rsidR="00D47B2F" w:rsidRDefault="00D47B2F" w:rsidP="00B51B51">
      <w:pPr>
        <w:widowControl w:val="0"/>
      </w:pPr>
      <w:r>
        <w:t xml:space="preserve">Por otra parte, para los derechos en trámite se realizó un recuento por comuna, con el objeto de dimensionar esta variable e incorporarla en los escenarios futuros a modelar. </w:t>
      </w:r>
    </w:p>
    <w:p w:rsidR="00D47B2F" w:rsidRDefault="00D47B2F" w:rsidP="00B51B51">
      <w:pPr>
        <w:widowControl w:val="0"/>
        <w:jc w:val="center"/>
        <w:rPr>
          <w:rFonts w:cs="Arial"/>
          <w:b/>
          <w:szCs w:val="22"/>
          <w:lang w:val="es-CL"/>
        </w:rPr>
      </w:pPr>
    </w:p>
    <w:p w:rsidR="00D47B2F" w:rsidRDefault="00D47B2F" w:rsidP="00B51B51">
      <w:pPr>
        <w:pStyle w:val="Epgrafe"/>
        <w:widowControl w:val="0"/>
        <w:rPr>
          <w:rFonts w:cs="Arial"/>
          <w:lang w:val="es-CL"/>
        </w:rPr>
      </w:pPr>
      <w:r w:rsidRPr="00C216EC">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r w:rsidRPr="00C216EC">
        <w:t xml:space="preserve"> </w:t>
      </w:r>
      <w:r>
        <w:rPr>
          <w:rFonts w:cs="Arial"/>
          <w:lang w:val="es-CL"/>
        </w:rPr>
        <w:t>Derechos (Expediente)</w:t>
      </w:r>
      <w:r w:rsidRPr="00C216EC">
        <w:rPr>
          <w:rFonts w:cs="Arial"/>
          <w:lang w:val="es-CL"/>
        </w:rPr>
        <w:t xml:space="preserve"> de Aguas Subterráneas en Trámite por Comuna</w:t>
      </w:r>
    </w:p>
    <w:p w:rsidR="00D47B2F" w:rsidRPr="00C216EC" w:rsidRDefault="00D47B2F" w:rsidP="00B51B51">
      <w:pPr>
        <w:pStyle w:val="Epgrafe"/>
        <w:widowControl w:val="0"/>
      </w:pPr>
      <w:r w:rsidRPr="00C216EC">
        <w:rPr>
          <w:rFonts w:cs="Arial"/>
          <w:lang w:val="es-CL"/>
        </w:rPr>
        <w:t xml:space="preserve">en </w:t>
      </w:r>
      <w:smartTag w:uri="urn:schemas-microsoft-com:office:smarttags" w:element="PersonName">
        <w:smartTagPr>
          <w:attr w:name="ProductID" w:val="la VI Región"/>
        </w:smartTagPr>
        <w:r w:rsidRPr="00C216EC">
          <w:rPr>
            <w:rFonts w:cs="Arial"/>
            <w:lang w:val="es-CL"/>
          </w:rPr>
          <w:t>la VI Región</w:t>
        </w:r>
      </w:smartTag>
    </w:p>
    <w:tbl>
      <w:tblPr>
        <w:tblW w:w="6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00"/>
        <w:gridCol w:w="1720"/>
        <w:gridCol w:w="1600"/>
        <w:gridCol w:w="1600"/>
      </w:tblGrid>
      <w:tr w:rsidR="00D47B2F" w:rsidRPr="006C3D5B">
        <w:trPr>
          <w:jc w:val="center"/>
        </w:trPr>
        <w:tc>
          <w:tcPr>
            <w:tcW w:w="14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Provincia</w:t>
            </w:r>
          </w:p>
        </w:tc>
        <w:tc>
          <w:tcPr>
            <w:tcW w:w="172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Comuna</w:t>
            </w:r>
          </w:p>
        </w:tc>
        <w:tc>
          <w:tcPr>
            <w:tcW w:w="1600" w:type="dxa"/>
            <w:shd w:val="clear" w:color="auto" w:fill="auto"/>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Nº Expediente en Trámite</w:t>
            </w:r>
          </w:p>
        </w:tc>
        <w:tc>
          <w:tcPr>
            <w:tcW w:w="1600" w:type="dxa"/>
            <w:shd w:val="clear" w:color="auto" w:fill="auto"/>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Caudal Solicitado (l/s)</w:t>
            </w:r>
          </w:p>
        </w:tc>
      </w:tr>
      <w:tr w:rsidR="00021EF6" w:rsidRPr="006C3D5B">
        <w:trPr>
          <w:jc w:val="center"/>
        </w:trPr>
        <w:tc>
          <w:tcPr>
            <w:tcW w:w="1400" w:type="dxa"/>
            <w:vMerge w:val="restart"/>
            <w:shd w:val="clear" w:color="auto" w:fill="auto"/>
            <w:noWrap/>
            <w:vAlign w:val="center"/>
          </w:tcPr>
          <w:p w:rsidR="00021EF6" w:rsidRPr="006C3D5B" w:rsidRDefault="00021EF6" w:rsidP="00021EF6">
            <w:pPr>
              <w:widowControl w:val="0"/>
              <w:jc w:val="center"/>
              <w:rPr>
                <w:rFonts w:cs="Arial"/>
                <w:color w:val="000000"/>
                <w:sz w:val="16"/>
                <w:szCs w:val="16"/>
              </w:rPr>
            </w:pPr>
            <w:r w:rsidRPr="006C3D5B">
              <w:rPr>
                <w:rFonts w:cs="Arial"/>
                <w:color w:val="000000"/>
                <w:sz w:val="16"/>
                <w:szCs w:val="16"/>
              </w:rPr>
              <w:t>Cachapoal</w:t>
            </w: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Pr>
                <w:rFonts w:cs="Arial"/>
                <w:color w:val="000000"/>
                <w:sz w:val="16"/>
                <w:szCs w:val="16"/>
              </w:rPr>
              <w:t>Codegua</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5</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17</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Pr>
                <w:rFonts w:cs="Arial"/>
                <w:color w:val="000000"/>
                <w:sz w:val="16"/>
                <w:szCs w:val="16"/>
              </w:rPr>
              <w:t>Coinco</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5</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436</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Coltauco</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5</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34</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Doñihue</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14</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31</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Graneros</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15</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64</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Las Cabras</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72</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1.678</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Machalí</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7</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95</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Malloa</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21</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95</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Mostazal</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29</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169</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Olivar</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 xml:space="preserve"> -</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Peumo</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9</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106</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Pichidegua</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33</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330</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Quinta de Tilcoco</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8</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99</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Rancagua</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6</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102</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Rengo</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50</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270</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Requinoa</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7</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75</w:t>
            </w:r>
          </w:p>
        </w:tc>
      </w:tr>
      <w:tr w:rsidR="00021EF6" w:rsidRPr="006C3D5B">
        <w:trPr>
          <w:jc w:val="center"/>
        </w:trPr>
        <w:tc>
          <w:tcPr>
            <w:tcW w:w="1400" w:type="dxa"/>
            <w:vMerge/>
            <w:vAlign w:val="center"/>
          </w:tcPr>
          <w:p w:rsidR="00021EF6" w:rsidRPr="006C3D5B" w:rsidRDefault="00021EF6" w:rsidP="00B51B51">
            <w:pPr>
              <w:widowControl w:val="0"/>
              <w:jc w:val="left"/>
              <w:rPr>
                <w:rFonts w:cs="Arial"/>
                <w:color w:val="000000"/>
                <w:sz w:val="16"/>
                <w:szCs w:val="16"/>
              </w:rPr>
            </w:pPr>
          </w:p>
        </w:tc>
        <w:tc>
          <w:tcPr>
            <w:tcW w:w="1720" w:type="dxa"/>
            <w:shd w:val="clear" w:color="auto" w:fill="auto"/>
            <w:noWrap/>
            <w:vAlign w:val="bottom"/>
          </w:tcPr>
          <w:p w:rsidR="00021EF6" w:rsidRPr="006C3D5B" w:rsidRDefault="00021EF6" w:rsidP="00B51B51">
            <w:pPr>
              <w:widowControl w:val="0"/>
              <w:jc w:val="left"/>
              <w:rPr>
                <w:rFonts w:cs="Arial"/>
                <w:color w:val="000000"/>
                <w:sz w:val="16"/>
                <w:szCs w:val="16"/>
              </w:rPr>
            </w:pPr>
            <w:r w:rsidRPr="006C3D5B">
              <w:rPr>
                <w:rFonts w:cs="Arial"/>
                <w:color w:val="000000"/>
                <w:sz w:val="16"/>
                <w:szCs w:val="16"/>
              </w:rPr>
              <w:t>San Vicente</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113</w:t>
            </w:r>
          </w:p>
        </w:tc>
        <w:tc>
          <w:tcPr>
            <w:tcW w:w="1600" w:type="dxa"/>
            <w:shd w:val="clear" w:color="auto" w:fill="auto"/>
            <w:noWrap/>
            <w:vAlign w:val="center"/>
          </w:tcPr>
          <w:p w:rsidR="00021EF6" w:rsidRPr="006C3D5B" w:rsidRDefault="00021EF6" w:rsidP="00B51B51">
            <w:pPr>
              <w:widowControl w:val="0"/>
              <w:jc w:val="center"/>
              <w:rPr>
                <w:rFonts w:cs="Arial"/>
                <w:color w:val="000000"/>
                <w:sz w:val="16"/>
                <w:szCs w:val="16"/>
              </w:rPr>
            </w:pPr>
            <w:r w:rsidRPr="006C3D5B">
              <w:rPr>
                <w:rFonts w:cs="Arial"/>
                <w:color w:val="000000"/>
                <w:sz w:val="16"/>
                <w:szCs w:val="16"/>
              </w:rPr>
              <w:t>368</w:t>
            </w:r>
          </w:p>
        </w:tc>
      </w:tr>
      <w:tr w:rsidR="00D47B2F" w:rsidRPr="006C3D5B">
        <w:trPr>
          <w:jc w:val="center"/>
        </w:trPr>
        <w:tc>
          <w:tcPr>
            <w:tcW w:w="3120" w:type="dxa"/>
            <w:gridSpan w:val="2"/>
            <w:shd w:val="clear" w:color="auto" w:fill="auto"/>
            <w:noWrap/>
            <w:vAlign w:val="bottom"/>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Total Provincia</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399</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3.968</w:t>
            </w:r>
          </w:p>
        </w:tc>
      </w:tr>
      <w:tr w:rsidR="00D47B2F" w:rsidRPr="006C3D5B">
        <w:trPr>
          <w:jc w:val="center"/>
        </w:trPr>
        <w:tc>
          <w:tcPr>
            <w:tcW w:w="1400" w:type="dxa"/>
            <w:vMerge w:val="restart"/>
            <w:shd w:val="clear" w:color="auto" w:fill="auto"/>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Cardenal Caro</w:t>
            </w: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La Estrella</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79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597</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Litueche</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84</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259</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Marchigue</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209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1.197</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Navidad</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42</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199</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Paredones</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25</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157</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Pichilemu</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75</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264</w:t>
            </w:r>
          </w:p>
        </w:tc>
      </w:tr>
      <w:tr w:rsidR="00D47B2F" w:rsidRPr="006C3D5B">
        <w:trPr>
          <w:jc w:val="center"/>
        </w:trPr>
        <w:tc>
          <w:tcPr>
            <w:tcW w:w="3120" w:type="dxa"/>
            <w:gridSpan w:val="2"/>
            <w:shd w:val="clear" w:color="auto" w:fill="auto"/>
            <w:noWrap/>
            <w:vAlign w:val="bottom"/>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Total Provincia</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514</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2.674</w:t>
            </w:r>
          </w:p>
        </w:tc>
      </w:tr>
      <w:tr w:rsidR="00D47B2F" w:rsidRPr="006C3D5B">
        <w:trPr>
          <w:jc w:val="center"/>
        </w:trPr>
        <w:tc>
          <w:tcPr>
            <w:tcW w:w="1400" w:type="dxa"/>
            <w:vMerge w:val="restart"/>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Colchagua</w:t>
            </w: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Chepica</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380</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Chimbarongo</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96</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678</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Lolol</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89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1.375</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Nancagua</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188</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Palmilla</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18</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333</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Peralillo</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90</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1.135</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Placilla</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9</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Pumanque</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13</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239</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San Fernando</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89</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397</w:t>
            </w:r>
          </w:p>
        </w:tc>
      </w:tr>
      <w:tr w:rsidR="00D47B2F" w:rsidRPr="006C3D5B">
        <w:trPr>
          <w:jc w:val="center"/>
        </w:trPr>
        <w:tc>
          <w:tcPr>
            <w:tcW w:w="1400" w:type="dxa"/>
            <w:vMerge/>
            <w:vAlign w:val="center"/>
          </w:tcPr>
          <w:p w:rsidR="00D47B2F" w:rsidRPr="006C3D5B" w:rsidRDefault="00D47B2F" w:rsidP="00B51B51">
            <w:pPr>
              <w:widowControl w:val="0"/>
              <w:jc w:val="left"/>
              <w:rPr>
                <w:rFonts w:cs="Arial"/>
                <w:color w:val="000000"/>
                <w:sz w:val="16"/>
                <w:szCs w:val="16"/>
              </w:rPr>
            </w:pPr>
          </w:p>
        </w:tc>
        <w:tc>
          <w:tcPr>
            <w:tcW w:w="1720" w:type="dxa"/>
            <w:shd w:val="clear" w:color="auto" w:fill="auto"/>
            <w:noWrap/>
            <w:vAlign w:val="bottom"/>
          </w:tcPr>
          <w:p w:rsidR="00D47B2F" w:rsidRPr="006C3D5B" w:rsidRDefault="00D47B2F" w:rsidP="00B51B51">
            <w:pPr>
              <w:widowControl w:val="0"/>
              <w:jc w:val="left"/>
              <w:rPr>
                <w:rFonts w:cs="Arial"/>
                <w:color w:val="000000"/>
                <w:sz w:val="16"/>
                <w:szCs w:val="16"/>
              </w:rPr>
            </w:pPr>
            <w:r w:rsidRPr="006C3D5B">
              <w:rPr>
                <w:rFonts w:cs="Arial"/>
                <w:color w:val="000000"/>
                <w:sz w:val="16"/>
                <w:szCs w:val="16"/>
              </w:rPr>
              <w:t>Santa Cruz</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30</w:t>
            </w:r>
          </w:p>
        </w:tc>
        <w:tc>
          <w:tcPr>
            <w:tcW w:w="1600" w:type="dxa"/>
            <w:shd w:val="clear" w:color="auto" w:fill="auto"/>
            <w:noWrap/>
            <w:vAlign w:val="center"/>
          </w:tcPr>
          <w:p w:rsidR="00D47B2F" w:rsidRPr="006C3D5B" w:rsidRDefault="00D47B2F" w:rsidP="00B51B51">
            <w:pPr>
              <w:widowControl w:val="0"/>
              <w:jc w:val="center"/>
              <w:rPr>
                <w:rFonts w:cs="Arial"/>
                <w:color w:val="000000"/>
                <w:sz w:val="16"/>
                <w:szCs w:val="16"/>
              </w:rPr>
            </w:pPr>
            <w:r w:rsidRPr="006C3D5B">
              <w:rPr>
                <w:rFonts w:cs="Arial"/>
                <w:color w:val="000000"/>
                <w:sz w:val="16"/>
                <w:szCs w:val="16"/>
              </w:rPr>
              <w:t>790</w:t>
            </w:r>
          </w:p>
        </w:tc>
      </w:tr>
      <w:tr w:rsidR="00D47B2F" w:rsidRPr="006C3D5B">
        <w:trPr>
          <w:jc w:val="center"/>
        </w:trPr>
        <w:tc>
          <w:tcPr>
            <w:tcW w:w="3120" w:type="dxa"/>
            <w:gridSpan w:val="2"/>
            <w:shd w:val="clear" w:color="auto" w:fill="auto"/>
            <w:noWrap/>
            <w:vAlign w:val="bottom"/>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Total Provincia</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445</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5.525</w:t>
            </w:r>
          </w:p>
        </w:tc>
      </w:tr>
      <w:tr w:rsidR="00D47B2F" w:rsidRPr="006C3D5B">
        <w:trPr>
          <w:jc w:val="center"/>
        </w:trPr>
        <w:tc>
          <w:tcPr>
            <w:tcW w:w="3120" w:type="dxa"/>
            <w:gridSpan w:val="2"/>
            <w:shd w:val="clear" w:color="auto" w:fill="auto"/>
            <w:noWrap/>
            <w:vAlign w:val="bottom"/>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Total Región</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1358</w:t>
            </w:r>
          </w:p>
        </w:tc>
        <w:tc>
          <w:tcPr>
            <w:tcW w:w="1600" w:type="dxa"/>
            <w:shd w:val="clear" w:color="auto" w:fill="auto"/>
            <w:noWrap/>
            <w:vAlign w:val="center"/>
          </w:tcPr>
          <w:p w:rsidR="00D47B2F" w:rsidRPr="006C3D5B" w:rsidRDefault="00D47B2F" w:rsidP="00B51B51">
            <w:pPr>
              <w:widowControl w:val="0"/>
              <w:jc w:val="center"/>
              <w:rPr>
                <w:rFonts w:cs="Arial"/>
                <w:bCs/>
                <w:color w:val="000000"/>
                <w:sz w:val="16"/>
                <w:szCs w:val="16"/>
              </w:rPr>
            </w:pPr>
            <w:r w:rsidRPr="006C3D5B">
              <w:rPr>
                <w:rFonts w:cs="Arial"/>
                <w:bCs/>
                <w:color w:val="000000"/>
                <w:sz w:val="16"/>
                <w:szCs w:val="16"/>
              </w:rPr>
              <w:t>12.166</w:t>
            </w:r>
          </w:p>
        </w:tc>
      </w:tr>
    </w:tbl>
    <w:p w:rsidR="006C3D5B" w:rsidRDefault="006C3D5B" w:rsidP="006C3D5B">
      <w:pPr>
        <w:pStyle w:val="Ttulo3"/>
        <w:numPr>
          <w:ilvl w:val="0"/>
          <w:numId w:val="0"/>
        </w:numPr>
        <w:rPr>
          <w:b w:val="0"/>
        </w:rPr>
      </w:pPr>
    </w:p>
    <w:p w:rsidR="00D47B2F" w:rsidRPr="00D84361" w:rsidRDefault="00D47B2F" w:rsidP="006C3D5B">
      <w:pPr>
        <w:pStyle w:val="Ttulo3"/>
      </w:pPr>
      <w:bookmarkStart w:id="41" w:name="_Toc344391740"/>
      <w:r w:rsidRPr="00D84361">
        <w:t>Aguas Superficiales</w:t>
      </w:r>
      <w:bookmarkEnd w:id="41"/>
    </w:p>
    <w:p w:rsidR="00D47B2F" w:rsidRPr="00D84361" w:rsidRDefault="00D47B2F" w:rsidP="00B51B51">
      <w:pPr>
        <w:widowControl w:val="0"/>
      </w:pPr>
    </w:p>
    <w:p w:rsidR="00680EC0" w:rsidRPr="00C80FAB" w:rsidRDefault="00680EC0" w:rsidP="00680EC0">
      <w:bookmarkStart w:id="42" w:name="_Ref341782187"/>
      <w:r w:rsidRPr="00C80FAB">
        <w:t>Tal como fue señalado la información de derechos de aguas fue obtenida desde el CPA, a través del módulo de derechos concedidos, con lo que se obtiene  un registro de derechos con códig</w:t>
      </w:r>
      <w:r w:rsidR="00C80FAB" w:rsidRPr="00C80FAB">
        <w:t>o ND, NR, UA y</w:t>
      </w:r>
      <w:r w:rsidRPr="00C80FAB">
        <w:t xml:space="preserve"> VT</w:t>
      </w:r>
      <w:r w:rsidR="00C80FAB" w:rsidRPr="00C80FAB">
        <w:t>.</w:t>
      </w:r>
    </w:p>
    <w:p w:rsidR="00890E02" w:rsidRPr="00C80FAB" w:rsidRDefault="00890E02" w:rsidP="00680EC0"/>
    <w:p w:rsidR="007F06F9" w:rsidRPr="00981826" w:rsidRDefault="00680EC0" w:rsidP="007F06F9">
      <w:r w:rsidRPr="00C80FAB">
        <w:t xml:space="preserve">A objeto de contar con el registro completo de usuarios que permita caracterizar las demandas se recabo en el CPA, adicionalmente los registros de Organizaciones de Usuarios </w:t>
      </w:r>
      <w:r w:rsidRPr="00C80FAB">
        <w:lastRenderedPageBreak/>
        <w:t xml:space="preserve">y que agrupa a Juntas de Vigilancia, Asociaciones de Canalistas y Comunidades de Aguas que no se </w:t>
      </w:r>
      <w:r w:rsidR="00890E02" w:rsidRPr="00C80FAB">
        <w:t>encuentran</w:t>
      </w:r>
      <w:r w:rsidRPr="00C80FAB">
        <w:t xml:space="preserve"> informadas en los puntos anteriores.</w:t>
      </w:r>
      <w:r w:rsidR="007F06F9">
        <w:t xml:space="preserve"> </w:t>
      </w:r>
      <w:r w:rsidR="007F06F9" w:rsidRPr="00981826">
        <w:t>También de debe tener presente la existencia de otras fuentes de información de derechos de aguas provenientes de los registros CBR que no fueron incluidos en este estudio en conformidad a las bases técnicas.</w:t>
      </w:r>
    </w:p>
    <w:p w:rsidR="00680EC0" w:rsidRPr="00C80FAB" w:rsidRDefault="00680EC0" w:rsidP="00680EC0"/>
    <w:p w:rsidR="00680EC0" w:rsidRPr="00C80FAB" w:rsidRDefault="00680EC0" w:rsidP="00680EC0">
      <w:r w:rsidRPr="00C80FAB">
        <w:t>Para los derechos superficiales se aplicaron los mismos criterios descritos anteriormente.</w:t>
      </w:r>
      <w:r w:rsidR="00890E02" w:rsidRPr="00C80FAB">
        <w:t xml:space="preserve"> </w:t>
      </w:r>
      <w:r w:rsidRPr="00C80FAB">
        <w:t xml:space="preserve">En las Tablas siguientes se </w:t>
      </w:r>
      <w:r w:rsidR="007F06F9">
        <w:t>presentan los resultados alcanzados</w:t>
      </w:r>
      <w:r w:rsidR="00890E02" w:rsidRPr="00C80FAB">
        <w:t>.</w:t>
      </w:r>
    </w:p>
    <w:p w:rsidR="00680EC0" w:rsidRPr="00C80FAB" w:rsidRDefault="00680EC0" w:rsidP="00680EC0"/>
    <w:p w:rsidR="00D47B2F" w:rsidRPr="00C80FAB" w:rsidRDefault="00D47B2F" w:rsidP="00B51B51">
      <w:pPr>
        <w:pStyle w:val="Epgrafe"/>
        <w:widowControl w:val="0"/>
      </w:pPr>
      <w:r w:rsidRPr="00C80FAB">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w:t>
      </w:r>
      <w:r w:rsidR="007F3102">
        <w:fldChar w:fldCharType="end"/>
      </w:r>
      <w:bookmarkEnd w:id="42"/>
      <w:r w:rsidRPr="00C80FAB">
        <w:t xml:space="preserve"> </w:t>
      </w:r>
      <w:r w:rsidRPr="00C80FAB">
        <w:rPr>
          <w:rFonts w:cs="Arial"/>
          <w:lang w:val="es-CL"/>
        </w:rPr>
        <w:t>Derechos de Aguas con Coordenadas por Comuna y Uso</w:t>
      </w:r>
    </w:p>
    <w:tbl>
      <w:tblPr>
        <w:tblW w:w="6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0"/>
        <w:gridCol w:w="1060"/>
        <w:gridCol w:w="641"/>
        <w:gridCol w:w="1000"/>
        <w:gridCol w:w="1100"/>
        <w:gridCol w:w="621"/>
        <w:gridCol w:w="580"/>
      </w:tblGrid>
      <w:tr w:rsidR="00D47B2F" w:rsidRPr="00C80FAB">
        <w:trPr>
          <w:jc w:val="center"/>
        </w:trPr>
        <w:tc>
          <w:tcPr>
            <w:tcW w:w="1480" w:type="dxa"/>
            <w:vMerge w:val="restart"/>
            <w:shd w:val="clear" w:color="auto" w:fill="auto"/>
            <w:noWrap/>
            <w:vAlign w:val="center"/>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 </w:t>
            </w:r>
          </w:p>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Comuna</w:t>
            </w:r>
          </w:p>
        </w:tc>
        <w:tc>
          <w:tcPr>
            <w:tcW w:w="5002" w:type="dxa"/>
            <w:gridSpan w:val="6"/>
            <w:shd w:val="clear" w:color="auto" w:fill="auto"/>
            <w:noWrap/>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Usos </w:t>
            </w:r>
          </w:p>
        </w:tc>
      </w:tr>
      <w:tr w:rsidR="00D47B2F" w:rsidRPr="00C80FAB">
        <w:trPr>
          <w:jc w:val="center"/>
        </w:trPr>
        <w:tc>
          <w:tcPr>
            <w:tcW w:w="1480" w:type="dxa"/>
            <w:vMerge/>
            <w:shd w:val="clear" w:color="auto" w:fill="auto"/>
            <w:noWrap/>
            <w:vAlign w:val="center"/>
          </w:tcPr>
          <w:p w:rsidR="00D47B2F" w:rsidRPr="00C80FAB" w:rsidRDefault="00D47B2F" w:rsidP="00B51B51">
            <w:pPr>
              <w:widowControl w:val="0"/>
              <w:jc w:val="center"/>
              <w:rPr>
                <w:rFonts w:cs="Arial"/>
                <w:bCs/>
                <w:color w:val="000000"/>
                <w:sz w:val="18"/>
                <w:szCs w:val="16"/>
              </w:rPr>
            </w:pPr>
          </w:p>
        </w:tc>
        <w:tc>
          <w:tcPr>
            <w:tcW w:w="1060" w:type="dxa"/>
            <w:shd w:val="clear" w:color="auto" w:fill="auto"/>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A. Potable (P)</w:t>
            </w:r>
          </w:p>
        </w:tc>
        <w:tc>
          <w:tcPr>
            <w:tcW w:w="641" w:type="dxa"/>
            <w:shd w:val="clear" w:color="auto" w:fill="auto"/>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Riego (R )</w:t>
            </w:r>
          </w:p>
        </w:tc>
        <w:tc>
          <w:tcPr>
            <w:tcW w:w="1000" w:type="dxa"/>
            <w:shd w:val="clear" w:color="auto" w:fill="auto"/>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Industrial (I)</w:t>
            </w:r>
          </w:p>
        </w:tc>
        <w:tc>
          <w:tcPr>
            <w:tcW w:w="1100" w:type="dxa"/>
            <w:shd w:val="clear" w:color="auto" w:fill="auto"/>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Doméstico (D)</w:t>
            </w:r>
          </w:p>
        </w:tc>
        <w:tc>
          <w:tcPr>
            <w:tcW w:w="621" w:type="dxa"/>
            <w:shd w:val="clear" w:color="auto" w:fill="auto"/>
            <w:vAlign w:val="bottom"/>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Otros (O)</w:t>
            </w:r>
          </w:p>
        </w:tc>
        <w:tc>
          <w:tcPr>
            <w:tcW w:w="580" w:type="dxa"/>
            <w:shd w:val="clear" w:color="auto" w:fill="auto"/>
            <w:noWrap/>
            <w:vAlign w:val="center"/>
          </w:tcPr>
          <w:p w:rsidR="00D47B2F" w:rsidRPr="00C80FAB" w:rsidRDefault="00D47B2F" w:rsidP="00B51B51">
            <w:pPr>
              <w:widowControl w:val="0"/>
              <w:jc w:val="center"/>
              <w:rPr>
                <w:rFonts w:cs="Arial"/>
                <w:bCs/>
                <w:color w:val="000000"/>
                <w:sz w:val="18"/>
                <w:szCs w:val="16"/>
              </w:rPr>
            </w:pPr>
            <w:r w:rsidRPr="00C80FAB">
              <w:rPr>
                <w:rFonts w:cs="Arial"/>
                <w:bCs/>
                <w:color w:val="000000"/>
                <w:sz w:val="18"/>
                <w:szCs w:val="16"/>
              </w:rPr>
              <w:t>Total</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Chépica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3</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Chimbarongo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18</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21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Codegua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5</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Coinco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10</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Coltauco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Doñihue</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Graneros</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0</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La Estrella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7</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Las Cabras</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Litueche</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18</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6</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71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Lolol</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28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Machalí</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107</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114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Malloa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17</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17</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Marchigue</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Mostazal</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8</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6</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Nancagua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0</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Navidad</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15</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32</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Olivar</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0</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Palmilla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9</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9</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Paredones</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Peralillo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Peumo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3</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Pichidegua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5</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6</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Pichilemu</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45</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53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Placilla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2</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Pumanque</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6</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Qta. de Tilcoco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28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Rancagua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Rengo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16</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Requinoa</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8</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San Fernando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55</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61</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118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San Vicente</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4</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Santa Cruz</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7</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9</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6"/>
              </w:rPr>
            </w:pPr>
            <w:r w:rsidRPr="00C80FAB">
              <w:rPr>
                <w:rFonts w:cs="Arial"/>
                <w:sz w:val="18"/>
                <w:szCs w:val="16"/>
              </w:rPr>
              <w:t>(en blanco)</w:t>
            </w:r>
          </w:p>
        </w:tc>
        <w:tc>
          <w:tcPr>
            <w:tcW w:w="106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4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2</w:t>
            </w:r>
          </w:p>
        </w:tc>
        <w:tc>
          <w:tcPr>
            <w:tcW w:w="10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0</w:t>
            </w:r>
          </w:p>
        </w:tc>
        <w:tc>
          <w:tcPr>
            <w:tcW w:w="1100"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621" w:type="dxa"/>
            <w:shd w:val="clear" w:color="auto" w:fill="auto"/>
            <w:noWrap/>
            <w:vAlign w:val="bottom"/>
          </w:tcPr>
          <w:p w:rsidR="00D47B2F" w:rsidRPr="00C80FAB" w:rsidRDefault="00D47B2F" w:rsidP="00B51B51">
            <w:pPr>
              <w:widowControl w:val="0"/>
              <w:jc w:val="center"/>
              <w:rPr>
                <w:rFonts w:cs="Arial"/>
                <w:sz w:val="18"/>
                <w:szCs w:val="16"/>
              </w:rPr>
            </w:pPr>
            <w:r w:rsidRPr="00C80FAB">
              <w:rPr>
                <w:rFonts w:cs="Arial"/>
                <w:sz w:val="18"/>
                <w:szCs w:val="16"/>
              </w:rPr>
              <w:t>1</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5</w:t>
            </w:r>
          </w:p>
        </w:tc>
      </w:tr>
      <w:tr w:rsidR="00D47B2F" w:rsidRPr="00C80FAB">
        <w:trPr>
          <w:jc w:val="center"/>
        </w:trPr>
        <w:tc>
          <w:tcPr>
            <w:tcW w:w="1480" w:type="dxa"/>
            <w:shd w:val="clear" w:color="auto" w:fill="auto"/>
            <w:noWrap/>
            <w:vAlign w:val="bottom"/>
          </w:tcPr>
          <w:p w:rsidR="00D47B2F" w:rsidRPr="00C80FAB" w:rsidRDefault="00D47B2F" w:rsidP="00B51B51">
            <w:pPr>
              <w:widowControl w:val="0"/>
              <w:jc w:val="left"/>
              <w:rPr>
                <w:rFonts w:cs="Arial"/>
                <w:bCs/>
                <w:color w:val="000000"/>
                <w:sz w:val="18"/>
                <w:szCs w:val="16"/>
              </w:rPr>
            </w:pPr>
            <w:r w:rsidRPr="00C80FAB">
              <w:rPr>
                <w:rFonts w:cs="Arial"/>
                <w:bCs/>
                <w:color w:val="000000"/>
                <w:sz w:val="18"/>
                <w:szCs w:val="16"/>
              </w:rPr>
              <w:t>Total</w:t>
            </w:r>
          </w:p>
        </w:tc>
        <w:tc>
          <w:tcPr>
            <w:tcW w:w="106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w:t>
            </w:r>
          </w:p>
        </w:tc>
        <w:tc>
          <w:tcPr>
            <w:tcW w:w="641"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373</w:t>
            </w:r>
          </w:p>
        </w:tc>
        <w:tc>
          <w:tcPr>
            <w:tcW w:w="100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202</w:t>
            </w:r>
          </w:p>
        </w:tc>
        <w:tc>
          <w:tcPr>
            <w:tcW w:w="110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44</w:t>
            </w:r>
          </w:p>
        </w:tc>
        <w:tc>
          <w:tcPr>
            <w:tcW w:w="621"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10</w:t>
            </w:r>
          </w:p>
        </w:tc>
        <w:tc>
          <w:tcPr>
            <w:tcW w:w="580" w:type="dxa"/>
            <w:shd w:val="clear" w:color="auto" w:fill="auto"/>
            <w:noWrap/>
            <w:vAlign w:val="bottom"/>
          </w:tcPr>
          <w:p w:rsidR="00D47B2F" w:rsidRPr="00C80FAB" w:rsidRDefault="00D47B2F" w:rsidP="00B51B51">
            <w:pPr>
              <w:widowControl w:val="0"/>
              <w:jc w:val="center"/>
              <w:rPr>
                <w:rFonts w:cs="Arial"/>
                <w:bCs/>
                <w:iCs/>
                <w:sz w:val="18"/>
                <w:szCs w:val="16"/>
              </w:rPr>
            </w:pPr>
            <w:r w:rsidRPr="00C80FAB">
              <w:rPr>
                <w:rFonts w:cs="Arial"/>
                <w:bCs/>
                <w:iCs/>
                <w:sz w:val="18"/>
                <w:szCs w:val="16"/>
              </w:rPr>
              <w:t>634</w:t>
            </w:r>
          </w:p>
        </w:tc>
      </w:tr>
    </w:tbl>
    <w:p w:rsidR="00D47B2F" w:rsidRPr="00C80FAB" w:rsidRDefault="00D47B2F" w:rsidP="00B51B51">
      <w:pPr>
        <w:pStyle w:val="Epgrafe"/>
        <w:widowControl w:val="0"/>
        <w:rPr>
          <w:rFonts w:cs="Arial"/>
          <w:sz w:val="18"/>
          <w:szCs w:val="18"/>
        </w:rPr>
      </w:pPr>
    </w:p>
    <w:p w:rsidR="006C3D5B" w:rsidRPr="00C80FAB" w:rsidRDefault="006C3D5B" w:rsidP="006C3D5B">
      <w:pPr>
        <w:widowControl w:val="0"/>
      </w:pPr>
      <w:r w:rsidRPr="00C80FAB">
        <w:t xml:space="preserve">Según se observa en </w:t>
      </w:r>
      <w:smartTag w:uri="urn:schemas-microsoft-com:office:smarttags" w:element="PersonName">
        <w:smartTagPr>
          <w:attr w:name="ProductID" w:val="la ￼￼￼￼￼￼￼￼￼￼￼￼￼￼￼￼￼￼￼￼￼￼￼￼￼￼￼￼￼￼￼￼￼￼￼￼￼￼￼￼￼Tabla"/>
        </w:smartTagPr>
        <w:r w:rsidRPr="00C80FAB">
          <w:t xml:space="preserve">la </w:t>
        </w:r>
        <w:r w:rsidRPr="00C80FAB">
          <w:fldChar w:fldCharType="begin"/>
        </w:r>
        <w:r w:rsidRPr="00C80FAB">
          <w:instrText xml:space="preserve"> REF _Ref341704853 \h </w:instrText>
        </w:r>
        <w:r w:rsidR="00021EF6" w:rsidRPr="00C80FAB">
          <w:instrText xml:space="preserve"> \* MERGEFORMAT </w:instrText>
        </w:r>
        <w:r w:rsidRPr="00C80FAB">
          <w:fldChar w:fldCharType="separate"/>
        </w:r>
        <w:r w:rsidR="00264070" w:rsidRPr="00C80FAB">
          <w:rPr>
            <w:rFonts w:cs="Arial"/>
          </w:rPr>
          <w:t>Tabla</w:t>
        </w:r>
      </w:smartTag>
      <w:r w:rsidR="00264070" w:rsidRPr="00C80FAB">
        <w:rPr>
          <w:rFonts w:cs="Arial"/>
        </w:rPr>
        <w:t xml:space="preserve"> </w:t>
      </w:r>
      <w:r w:rsidR="00264070">
        <w:rPr>
          <w:rFonts w:cs="Arial"/>
          <w:noProof/>
        </w:rPr>
        <w:t>2.12</w:t>
      </w:r>
      <w:r w:rsidRPr="00C80FAB">
        <w:fldChar w:fldCharType="end"/>
      </w:r>
      <w:r w:rsidRPr="00C80FAB">
        <w:t xml:space="preserve"> existe un porcentaje importante de derechos sin coordenadas lo que podría generar un grado de incertidumbre en la estimación de demandas en los puntos de control (subcuencas). No obstante, para reducir esta incertidumbre se utilizará información referencial obtenida de los listados CPA, para asociar los derechos a una determinada subcuenca.</w:t>
      </w:r>
      <w:r w:rsidR="00890E02" w:rsidRPr="00C80FAB">
        <w:t xml:space="preserve"> </w:t>
      </w:r>
      <w:r w:rsidRPr="00C80FAB">
        <w:t xml:space="preserve">Así también para dimensionar los derechos en trámite se realizó un conteo por comuna con el objeto de identificar aquellos que poseen o no coordenadas, según se indica en </w:t>
      </w:r>
      <w:smartTag w:uri="urn:schemas-microsoft-com:office:smarttags" w:element="PersonName">
        <w:smartTagPr>
          <w:attr w:name="ProductID" w:val="la ￼￼￼￼￼￼￼￼￼￼￼￼￼￼￼￼￼￼￼￼￼￼￼￼￼￼￼￼￼￼￼￼￼￼￼￼￼￼￼￼￼Tabla"/>
        </w:smartTagPr>
        <w:r w:rsidRPr="00C80FAB">
          <w:t>la</w:t>
        </w:r>
        <w:r w:rsidR="00F76146">
          <w:t xml:space="preserve"> </w:t>
        </w:r>
        <w:r w:rsidR="00F76146">
          <w:fldChar w:fldCharType="begin"/>
        </w:r>
        <w:r w:rsidR="00F76146">
          <w:instrText xml:space="preserve"> REF _Ref344306541 \h </w:instrText>
        </w:r>
        <w:r w:rsidR="00F76146">
          <w:fldChar w:fldCharType="separate"/>
        </w:r>
        <w:r w:rsidR="00264070" w:rsidRPr="00C80FAB">
          <w:t>Tabla</w:t>
        </w:r>
      </w:smartTag>
      <w:r w:rsidR="00264070" w:rsidRPr="00C80FAB">
        <w:t xml:space="preserve"> </w:t>
      </w:r>
      <w:r w:rsidR="00264070">
        <w:rPr>
          <w:noProof/>
        </w:rPr>
        <w:t>2</w:t>
      </w:r>
      <w:r w:rsidR="00264070">
        <w:t>.</w:t>
      </w:r>
      <w:r w:rsidR="00264070">
        <w:rPr>
          <w:noProof/>
        </w:rPr>
        <w:t>13</w:t>
      </w:r>
      <w:r w:rsidR="00F76146">
        <w:fldChar w:fldCharType="end"/>
      </w:r>
      <w:r w:rsidRPr="00C80FAB">
        <w:t>.</w:t>
      </w:r>
    </w:p>
    <w:p w:rsidR="00D47B2F" w:rsidRPr="00C80FAB" w:rsidRDefault="00D47B2F" w:rsidP="00B51B51">
      <w:pPr>
        <w:pStyle w:val="Epgrafe"/>
        <w:widowControl w:val="0"/>
        <w:rPr>
          <w:rFonts w:cs="Arial"/>
        </w:rPr>
      </w:pPr>
      <w:r w:rsidRPr="00C80FAB">
        <w:rPr>
          <w:rFonts w:cs="Arial"/>
          <w:sz w:val="18"/>
          <w:szCs w:val="18"/>
        </w:rPr>
        <w:br w:type="page"/>
      </w:r>
      <w:bookmarkStart w:id="43" w:name="_Ref341704853"/>
      <w:r w:rsidRPr="00C80FAB">
        <w:rPr>
          <w:rFonts w:cs="Arial"/>
        </w:rPr>
        <w:lastRenderedPageBreak/>
        <w:t xml:space="preserve">Tabla </w:t>
      </w:r>
      <w:r w:rsidR="007F3102">
        <w:rPr>
          <w:rFonts w:cs="Arial"/>
        </w:rPr>
        <w:fldChar w:fldCharType="begin"/>
      </w:r>
      <w:r w:rsidR="007F3102">
        <w:rPr>
          <w:rFonts w:cs="Arial"/>
        </w:rPr>
        <w:instrText xml:space="preserve"> STYLEREF 1 \s </w:instrText>
      </w:r>
      <w:r w:rsidR="007F3102">
        <w:rPr>
          <w:rFonts w:cs="Arial"/>
        </w:rPr>
        <w:fldChar w:fldCharType="separate"/>
      </w:r>
      <w:r w:rsidR="00264070">
        <w:rPr>
          <w:rFonts w:cs="Arial"/>
          <w:noProof/>
        </w:rPr>
        <w:t>2</w:t>
      </w:r>
      <w:r w:rsidR="007F3102">
        <w:rPr>
          <w:rFonts w:cs="Arial"/>
        </w:rPr>
        <w:fldChar w:fldCharType="end"/>
      </w:r>
      <w:r w:rsidR="007F3102">
        <w:rPr>
          <w:rFonts w:cs="Arial"/>
        </w:rPr>
        <w:t>.</w:t>
      </w:r>
      <w:r w:rsidR="007F3102">
        <w:rPr>
          <w:rFonts w:cs="Arial"/>
        </w:rPr>
        <w:fldChar w:fldCharType="begin"/>
      </w:r>
      <w:r w:rsidR="007F3102">
        <w:rPr>
          <w:rFonts w:cs="Arial"/>
        </w:rPr>
        <w:instrText xml:space="preserve"> SEQ Tabla \* ARABIC \s 1 </w:instrText>
      </w:r>
      <w:r w:rsidR="007F3102">
        <w:rPr>
          <w:rFonts w:cs="Arial"/>
        </w:rPr>
        <w:fldChar w:fldCharType="separate"/>
      </w:r>
      <w:r w:rsidR="00264070">
        <w:rPr>
          <w:rFonts w:cs="Arial"/>
          <w:noProof/>
        </w:rPr>
        <w:t>12</w:t>
      </w:r>
      <w:r w:rsidR="007F3102">
        <w:rPr>
          <w:rFonts w:cs="Arial"/>
        </w:rPr>
        <w:fldChar w:fldCharType="end"/>
      </w:r>
      <w:bookmarkEnd w:id="43"/>
      <w:r w:rsidRPr="00C80FAB">
        <w:rPr>
          <w:rFonts w:cs="Arial"/>
        </w:rPr>
        <w:t xml:space="preserve"> Derechos de Aguas sin Coordenadas por Comuna y Uso</w:t>
      </w:r>
    </w:p>
    <w:tbl>
      <w:tblPr>
        <w:tblW w:w="6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0"/>
        <w:gridCol w:w="1060"/>
        <w:gridCol w:w="641"/>
        <w:gridCol w:w="1000"/>
        <w:gridCol w:w="1100"/>
        <w:gridCol w:w="621"/>
        <w:gridCol w:w="591"/>
      </w:tblGrid>
      <w:tr w:rsidR="00D47B2F" w:rsidRPr="00C80FAB">
        <w:trPr>
          <w:jc w:val="center"/>
        </w:trPr>
        <w:tc>
          <w:tcPr>
            <w:tcW w:w="1480" w:type="dxa"/>
            <w:vMerge w:val="restart"/>
            <w:shd w:val="clear" w:color="auto" w:fill="auto"/>
            <w:noWrap/>
            <w:vAlign w:val="center"/>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 </w:t>
            </w:r>
          </w:p>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Comuna</w:t>
            </w:r>
          </w:p>
        </w:tc>
        <w:tc>
          <w:tcPr>
            <w:tcW w:w="5002" w:type="dxa"/>
            <w:gridSpan w:val="6"/>
            <w:shd w:val="clear" w:color="auto" w:fill="auto"/>
            <w:noWrap/>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Usos </w:t>
            </w:r>
          </w:p>
        </w:tc>
      </w:tr>
      <w:tr w:rsidR="00D47B2F" w:rsidRPr="00C80FAB">
        <w:trPr>
          <w:jc w:val="center"/>
        </w:trPr>
        <w:tc>
          <w:tcPr>
            <w:tcW w:w="1480" w:type="dxa"/>
            <w:vMerge/>
            <w:shd w:val="clear" w:color="auto" w:fill="auto"/>
            <w:noWrap/>
            <w:vAlign w:val="center"/>
          </w:tcPr>
          <w:p w:rsidR="00D47B2F" w:rsidRPr="00C80FAB" w:rsidRDefault="00D47B2F" w:rsidP="00B51B51">
            <w:pPr>
              <w:widowControl w:val="0"/>
              <w:jc w:val="center"/>
              <w:rPr>
                <w:rFonts w:cs="Arial"/>
                <w:bCs/>
                <w:color w:val="000000"/>
                <w:sz w:val="18"/>
                <w:szCs w:val="18"/>
              </w:rPr>
            </w:pPr>
          </w:p>
        </w:tc>
        <w:tc>
          <w:tcPr>
            <w:tcW w:w="1060" w:type="dxa"/>
            <w:shd w:val="clear" w:color="auto" w:fill="auto"/>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A. Potable (P)</w:t>
            </w:r>
          </w:p>
        </w:tc>
        <w:tc>
          <w:tcPr>
            <w:tcW w:w="641" w:type="dxa"/>
            <w:shd w:val="clear" w:color="auto" w:fill="auto"/>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Riego (R )</w:t>
            </w:r>
          </w:p>
        </w:tc>
        <w:tc>
          <w:tcPr>
            <w:tcW w:w="1000" w:type="dxa"/>
            <w:shd w:val="clear" w:color="auto" w:fill="auto"/>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Industrial (I)</w:t>
            </w:r>
          </w:p>
        </w:tc>
        <w:tc>
          <w:tcPr>
            <w:tcW w:w="1100" w:type="dxa"/>
            <w:shd w:val="clear" w:color="auto" w:fill="auto"/>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Doméstico (D)</w:t>
            </w:r>
          </w:p>
        </w:tc>
        <w:tc>
          <w:tcPr>
            <w:tcW w:w="621" w:type="dxa"/>
            <w:shd w:val="clear" w:color="auto" w:fill="auto"/>
            <w:vAlign w:val="bottom"/>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Otros (O)</w:t>
            </w:r>
          </w:p>
        </w:tc>
        <w:tc>
          <w:tcPr>
            <w:tcW w:w="580" w:type="dxa"/>
            <w:shd w:val="clear" w:color="auto" w:fill="auto"/>
            <w:noWrap/>
            <w:vAlign w:val="center"/>
          </w:tcPr>
          <w:p w:rsidR="00D47B2F" w:rsidRPr="00C80FAB" w:rsidRDefault="00D47B2F" w:rsidP="00B51B51">
            <w:pPr>
              <w:widowControl w:val="0"/>
              <w:jc w:val="center"/>
              <w:rPr>
                <w:rFonts w:cs="Arial"/>
                <w:bCs/>
                <w:color w:val="000000"/>
                <w:sz w:val="18"/>
                <w:szCs w:val="18"/>
              </w:rPr>
            </w:pPr>
            <w:r w:rsidRPr="00C80FAB">
              <w:rPr>
                <w:rFonts w:cs="Arial"/>
                <w:bCs/>
                <w:color w:val="000000"/>
                <w:sz w:val="18"/>
                <w:szCs w:val="18"/>
              </w:rPr>
              <w:t>Total</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Chépica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20</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Chimbarongo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42</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47</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Codegua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Coinco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Coltauco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101</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102</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Doñihue</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11</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12</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Graneros</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La Estrella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Las Cabras</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42</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Litueche</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33</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26</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69</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Lolol</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63</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Machalí</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544</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571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Malloa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7</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Marchigue</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Mostazal</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21</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Nancagua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26</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26</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Navidad</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29</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29</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Olivar</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188</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194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Palmilla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32</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Paredones</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32</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32</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Peralillo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89</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14</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104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Peumo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Pichidegua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14</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Pichilemu</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117</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125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Placilla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Pumanque</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Qta. de Tilcoco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Rancagua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42</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24</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70</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Rengo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49</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9</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Requinoa</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59</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71</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San Fernando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175</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201</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10</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387</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San Vicente</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17</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19</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Santa Cruz</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129</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6</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0</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135</w:t>
            </w:r>
          </w:p>
        </w:tc>
      </w:tr>
      <w:tr w:rsidR="00D47B2F" w:rsidRPr="00C80FAB">
        <w:trPr>
          <w:jc w:val="center"/>
        </w:trPr>
        <w:tc>
          <w:tcPr>
            <w:tcW w:w="1480" w:type="dxa"/>
            <w:shd w:val="clear" w:color="auto" w:fill="auto"/>
            <w:noWrap/>
            <w:vAlign w:val="bottom"/>
          </w:tcPr>
          <w:p w:rsidR="00D47B2F" w:rsidRPr="00C80FAB" w:rsidRDefault="00D47B2F" w:rsidP="00B51B51">
            <w:pPr>
              <w:widowControl w:val="0"/>
              <w:rPr>
                <w:rFonts w:cs="Arial"/>
                <w:sz w:val="18"/>
                <w:szCs w:val="18"/>
              </w:rPr>
            </w:pPr>
            <w:r w:rsidRPr="00C80FAB">
              <w:rPr>
                <w:rFonts w:cs="Arial"/>
                <w:sz w:val="18"/>
                <w:szCs w:val="18"/>
              </w:rPr>
              <w:t>(en blanco)</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28</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9</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3</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43</w:t>
            </w:r>
          </w:p>
        </w:tc>
      </w:tr>
      <w:tr w:rsidR="00D47B2F" w:rsidRPr="00C80FAB">
        <w:trPr>
          <w:jc w:val="center"/>
        </w:trPr>
        <w:tc>
          <w:tcPr>
            <w:tcW w:w="1480" w:type="dxa"/>
            <w:shd w:val="clear" w:color="auto" w:fill="auto"/>
            <w:noWrap/>
            <w:vAlign w:val="bottom"/>
          </w:tcPr>
          <w:p w:rsidR="00D47B2F" w:rsidRPr="00C80FAB" w:rsidRDefault="00D47B2F" w:rsidP="00B51B51">
            <w:pPr>
              <w:widowControl w:val="0"/>
              <w:jc w:val="left"/>
              <w:rPr>
                <w:rFonts w:cs="Arial"/>
                <w:bCs/>
                <w:color w:val="000000"/>
                <w:sz w:val="18"/>
                <w:szCs w:val="18"/>
              </w:rPr>
            </w:pPr>
            <w:r w:rsidRPr="00C80FAB">
              <w:rPr>
                <w:rFonts w:cs="Arial"/>
                <w:bCs/>
                <w:color w:val="000000"/>
                <w:sz w:val="18"/>
                <w:szCs w:val="18"/>
              </w:rPr>
              <w:t>Total</w:t>
            </w:r>
          </w:p>
        </w:tc>
        <w:tc>
          <w:tcPr>
            <w:tcW w:w="106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w:t>
            </w:r>
          </w:p>
        </w:tc>
        <w:tc>
          <w:tcPr>
            <w:tcW w:w="64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1.410</w:t>
            </w:r>
          </w:p>
        </w:tc>
        <w:tc>
          <w:tcPr>
            <w:tcW w:w="10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877</w:t>
            </w:r>
          </w:p>
        </w:tc>
        <w:tc>
          <w:tcPr>
            <w:tcW w:w="110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84</w:t>
            </w:r>
          </w:p>
        </w:tc>
        <w:tc>
          <w:tcPr>
            <w:tcW w:w="621"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18</w:t>
            </w:r>
          </w:p>
        </w:tc>
        <w:tc>
          <w:tcPr>
            <w:tcW w:w="580" w:type="dxa"/>
            <w:shd w:val="clear" w:color="auto" w:fill="auto"/>
            <w:noWrap/>
            <w:vAlign w:val="bottom"/>
          </w:tcPr>
          <w:p w:rsidR="00D47B2F" w:rsidRPr="00C80FAB" w:rsidRDefault="00D47B2F" w:rsidP="00B51B51">
            <w:pPr>
              <w:widowControl w:val="0"/>
              <w:jc w:val="center"/>
              <w:rPr>
                <w:rFonts w:cs="Arial"/>
                <w:sz w:val="18"/>
                <w:szCs w:val="18"/>
              </w:rPr>
            </w:pPr>
            <w:r w:rsidRPr="00C80FAB">
              <w:rPr>
                <w:rFonts w:cs="Arial"/>
                <w:sz w:val="18"/>
                <w:szCs w:val="18"/>
              </w:rPr>
              <w:t>2.391</w:t>
            </w:r>
          </w:p>
        </w:tc>
      </w:tr>
    </w:tbl>
    <w:p w:rsidR="00D47B2F" w:rsidRPr="00C80FAB" w:rsidRDefault="00D47B2F" w:rsidP="00B51B51">
      <w:pPr>
        <w:widowControl w:val="0"/>
      </w:pPr>
    </w:p>
    <w:p w:rsidR="00F93622" w:rsidRDefault="00F93622" w:rsidP="00B51B51">
      <w:pPr>
        <w:pStyle w:val="Epgrafe"/>
        <w:widowControl w:val="0"/>
      </w:pPr>
      <w:bookmarkStart w:id="44" w:name="_Ref331756953"/>
    </w:p>
    <w:p w:rsidR="00D47B2F" w:rsidRPr="00C80FAB" w:rsidRDefault="00D47B2F" w:rsidP="00B51B51">
      <w:pPr>
        <w:pStyle w:val="Epgrafe"/>
        <w:widowControl w:val="0"/>
      </w:pPr>
      <w:bookmarkStart w:id="45" w:name="_Ref344306541"/>
      <w:r w:rsidRPr="00C80FAB">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bookmarkEnd w:id="44"/>
      <w:bookmarkEnd w:id="45"/>
      <w:r w:rsidRPr="00C80FAB">
        <w:t xml:space="preserve"> Cantidad de Derechos en Trámite con y sin Coordenadas.</w:t>
      </w:r>
    </w:p>
    <w:tbl>
      <w:tblPr>
        <w:tblW w:w="4740" w:type="dxa"/>
        <w:jc w:val="center"/>
        <w:tblInd w:w="55" w:type="dxa"/>
        <w:tblCellMar>
          <w:left w:w="70" w:type="dxa"/>
          <w:right w:w="70" w:type="dxa"/>
        </w:tblCellMar>
        <w:tblLook w:val="0000" w:firstRow="0" w:lastRow="0" w:firstColumn="0" w:lastColumn="0" w:noHBand="0" w:noVBand="0"/>
      </w:tblPr>
      <w:tblGrid>
        <w:gridCol w:w="2920"/>
        <w:gridCol w:w="1820"/>
      </w:tblGrid>
      <w:tr w:rsidR="00D47B2F" w:rsidRPr="00C80FAB">
        <w:trPr>
          <w:trHeight w:val="255"/>
          <w:jc w:val="center"/>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7B2F" w:rsidRPr="00C80FAB" w:rsidRDefault="00D47B2F" w:rsidP="00B51B51">
            <w:pPr>
              <w:widowControl w:val="0"/>
              <w:jc w:val="center"/>
              <w:rPr>
                <w:rFonts w:cs="Arial"/>
                <w:color w:val="000000"/>
                <w:sz w:val="20"/>
                <w:szCs w:val="20"/>
              </w:rPr>
            </w:pPr>
            <w:r w:rsidRPr="00C80FAB">
              <w:rPr>
                <w:rFonts w:cs="Arial"/>
                <w:color w:val="000000"/>
                <w:sz w:val="20"/>
                <w:szCs w:val="20"/>
              </w:rPr>
              <w:t>Derechos</w:t>
            </w:r>
          </w:p>
        </w:tc>
        <w:tc>
          <w:tcPr>
            <w:tcW w:w="1820" w:type="dxa"/>
            <w:tcBorders>
              <w:top w:val="single" w:sz="4" w:space="0" w:color="auto"/>
              <w:left w:val="nil"/>
              <w:bottom w:val="single" w:sz="4" w:space="0" w:color="auto"/>
              <w:right w:val="single" w:sz="4" w:space="0" w:color="auto"/>
            </w:tcBorders>
            <w:shd w:val="clear" w:color="auto" w:fill="auto"/>
            <w:noWrap/>
            <w:vAlign w:val="bottom"/>
          </w:tcPr>
          <w:p w:rsidR="00D47B2F" w:rsidRPr="00C80FAB" w:rsidRDefault="00D47B2F" w:rsidP="00B51B51">
            <w:pPr>
              <w:widowControl w:val="0"/>
              <w:jc w:val="center"/>
              <w:rPr>
                <w:rFonts w:cs="Arial"/>
                <w:color w:val="000000"/>
                <w:sz w:val="20"/>
                <w:szCs w:val="20"/>
              </w:rPr>
            </w:pPr>
            <w:r w:rsidRPr="00C80FAB">
              <w:rPr>
                <w:rFonts w:cs="Arial"/>
                <w:color w:val="000000"/>
                <w:sz w:val="20"/>
                <w:szCs w:val="20"/>
              </w:rPr>
              <w:t>Cantidad</w:t>
            </w:r>
          </w:p>
        </w:tc>
      </w:tr>
      <w:tr w:rsidR="00D47B2F" w:rsidRPr="00C80FAB">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tcPr>
          <w:p w:rsidR="00D47B2F" w:rsidRPr="00C80FAB" w:rsidRDefault="00D47B2F" w:rsidP="00B51B51">
            <w:pPr>
              <w:widowControl w:val="0"/>
              <w:jc w:val="left"/>
              <w:rPr>
                <w:rFonts w:cs="Arial"/>
                <w:color w:val="000000"/>
                <w:sz w:val="20"/>
                <w:szCs w:val="20"/>
              </w:rPr>
            </w:pPr>
            <w:r w:rsidRPr="00C80FAB">
              <w:rPr>
                <w:rFonts w:cs="Arial"/>
                <w:color w:val="000000"/>
                <w:sz w:val="20"/>
                <w:szCs w:val="20"/>
              </w:rPr>
              <w:t>Con coordenadas</w:t>
            </w:r>
          </w:p>
        </w:tc>
        <w:tc>
          <w:tcPr>
            <w:tcW w:w="1820" w:type="dxa"/>
            <w:tcBorders>
              <w:top w:val="nil"/>
              <w:left w:val="nil"/>
              <w:bottom w:val="single" w:sz="4" w:space="0" w:color="auto"/>
              <w:right w:val="single" w:sz="4" w:space="0" w:color="auto"/>
            </w:tcBorders>
            <w:shd w:val="clear" w:color="auto" w:fill="auto"/>
            <w:noWrap/>
            <w:vAlign w:val="bottom"/>
          </w:tcPr>
          <w:p w:rsidR="00D47B2F" w:rsidRPr="00C80FAB" w:rsidRDefault="00C80FAB" w:rsidP="00B51B51">
            <w:pPr>
              <w:widowControl w:val="0"/>
              <w:jc w:val="center"/>
              <w:rPr>
                <w:rFonts w:cs="Arial"/>
                <w:color w:val="000000"/>
                <w:sz w:val="20"/>
                <w:szCs w:val="20"/>
              </w:rPr>
            </w:pPr>
            <w:r w:rsidRPr="00C80FAB">
              <w:rPr>
                <w:rFonts w:cs="Arial"/>
                <w:color w:val="000000"/>
                <w:sz w:val="20"/>
                <w:szCs w:val="20"/>
              </w:rPr>
              <w:t>102</w:t>
            </w:r>
          </w:p>
        </w:tc>
      </w:tr>
      <w:tr w:rsidR="00D47B2F" w:rsidRPr="00C80FAB">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tcPr>
          <w:p w:rsidR="00D47B2F" w:rsidRPr="00C80FAB" w:rsidRDefault="00D47B2F" w:rsidP="00B51B51">
            <w:pPr>
              <w:widowControl w:val="0"/>
              <w:jc w:val="left"/>
              <w:rPr>
                <w:rFonts w:cs="Arial"/>
                <w:color w:val="000000"/>
                <w:sz w:val="20"/>
                <w:szCs w:val="20"/>
              </w:rPr>
            </w:pPr>
            <w:r w:rsidRPr="00C80FAB">
              <w:rPr>
                <w:rFonts w:cs="Arial"/>
                <w:color w:val="000000"/>
                <w:sz w:val="20"/>
                <w:szCs w:val="20"/>
              </w:rPr>
              <w:t>Sin coordenadas</w:t>
            </w:r>
          </w:p>
        </w:tc>
        <w:tc>
          <w:tcPr>
            <w:tcW w:w="1820" w:type="dxa"/>
            <w:tcBorders>
              <w:top w:val="nil"/>
              <w:left w:val="nil"/>
              <w:bottom w:val="single" w:sz="4" w:space="0" w:color="auto"/>
              <w:right w:val="single" w:sz="4" w:space="0" w:color="auto"/>
            </w:tcBorders>
            <w:shd w:val="clear" w:color="auto" w:fill="auto"/>
            <w:noWrap/>
            <w:vAlign w:val="bottom"/>
          </w:tcPr>
          <w:p w:rsidR="00D47B2F" w:rsidRPr="00C80FAB" w:rsidRDefault="00C80FAB" w:rsidP="00B51B51">
            <w:pPr>
              <w:widowControl w:val="0"/>
              <w:jc w:val="center"/>
              <w:rPr>
                <w:rFonts w:cs="Arial"/>
                <w:color w:val="000000"/>
                <w:sz w:val="20"/>
                <w:szCs w:val="20"/>
              </w:rPr>
            </w:pPr>
            <w:r w:rsidRPr="00C80FAB">
              <w:rPr>
                <w:rFonts w:cs="Arial"/>
                <w:color w:val="000000"/>
                <w:sz w:val="20"/>
                <w:szCs w:val="20"/>
              </w:rPr>
              <w:t>3</w:t>
            </w:r>
          </w:p>
        </w:tc>
      </w:tr>
      <w:tr w:rsidR="00D47B2F" w:rsidRPr="00C80FAB">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tcPr>
          <w:p w:rsidR="00D47B2F" w:rsidRPr="00C80FAB" w:rsidRDefault="00D47B2F" w:rsidP="00B51B51">
            <w:pPr>
              <w:widowControl w:val="0"/>
              <w:jc w:val="left"/>
              <w:rPr>
                <w:rFonts w:cs="Arial"/>
                <w:color w:val="000000"/>
                <w:sz w:val="20"/>
                <w:szCs w:val="20"/>
              </w:rPr>
            </w:pPr>
            <w:r w:rsidRPr="00C80FAB">
              <w:rPr>
                <w:rFonts w:cs="Arial"/>
                <w:color w:val="000000"/>
                <w:sz w:val="20"/>
                <w:szCs w:val="20"/>
              </w:rPr>
              <w:t>Total</w:t>
            </w:r>
          </w:p>
        </w:tc>
        <w:tc>
          <w:tcPr>
            <w:tcW w:w="1820" w:type="dxa"/>
            <w:tcBorders>
              <w:top w:val="nil"/>
              <w:left w:val="nil"/>
              <w:bottom w:val="single" w:sz="4" w:space="0" w:color="auto"/>
              <w:right w:val="single" w:sz="4" w:space="0" w:color="auto"/>
            </w:tcBorders>
            <w:shd w:val="clear" w:color="auto" w:fill="auto"/>
            <w:noWrap/>
            <w:vAlign w:val="bottom"/>
          </w:tcPr>
          <w:p w:rsidR="00D47B2F" w:rsidRPr="00C80FAB" w:rsidRDefault="00C80FAB" w:rsidP="00B51B51">
            <w:pPr>
              <w:widowControl w:val="0"/>
              <w:jc w:val="center"/>
              <w:rPr>
                <w:rFonts w:cs="Arial"/>
                <w:color w:val="000000"/>
                <w:sz w:val="20"/>
                <w:szCs w:val="20"/>
              </w:rPr>
            </w:pPr>
            <w:r w:rsidRPr="00C80FAB">
              <w:rPr>
                <w:rFonts w:cs="Arial"/>
                <w:color w:val="000000"/>
                <w:sz w:val="20"/>
                <w:szCs w:val="20"/>
              </w:rPr>
              <w:t>105</w:t>
            </w:r>
          </w:p>
        </w:tc>
      </w:tr>
    </w:tbl>
    <w:p w:rsidR="00D47B2F" w:rsidRPr="00C80FAB" w:rsidRDefault="00D47B2F" w:rsidP="00B51B51">
      <w:pPr>
        <w:widowControl w:val="0"/>
      </w:pPr>
    </w:p>
    <w:p w:rsidR="00D47B2F" w:rsidRPr="00C80FAB" w:rsidRDefault="00D47B2F" w:rsidP="00B51B51">
      <w:pPr>
        <w:widowControl w:val="0"/>
      </w:pPr>
      <w:r w:rsidRPr="00C80FAB">
        <w:t xml:space="preserve">De acuerdo a lo señalado, más del </w:t>
      </w:r>
      <w:r w:rsidR="00C80FAB" w:rsidRPr="00C80FAB">
        <w:t>97</w:t>
      </w:r>
      <w:r w:rsidRPr="00C80FAB">
        <w:t>% de los derechos poseen información de ubicación, lo que implica una incertidumbre menor a la hora de estimar las demandas.</w:t>
      </w:r>
    </w:p>
    <w:p w:rsidR="00D47B2F" w:rsidRDefault="00D47B2F" w:rsidP="00B51B51">
      <w:pPr>
        <w:widowControl w:val="0"/>
      </w:pPr>
    </w:p>
    <w:p w:rsidR="00F93622" w:rsidRPr="00F56AEE" w:rsidRDefault="00F93622" w:rsidP="00F93622">
      <w:r w:rsidRPr="00F56AEE">
        <w:t xml:space="preserve">A modo de resumen en </w:t>
      </w:r>
      <w:smartTag w:uri="urn:schemas-microsoft-com:office:smarttags" w:element="PersonName">
        <w:smartTagPr>
          <w:attr w:name="ProductID" w:val="la ￼￼￼￼￼￼￼￼￼￼￼￼￼￼￼￼￼￼￼￼￼￼￼￼￼￼￼￼￼￼￼￼￼￼￼￼￼￼￼￼￼Tabla"/>
        </w:smartTagPr>
        <w:r w:rsidRPr="00F56AEE">
          <w:t>la Tabla</w:t>
        </w:r>
      </w:smartTag>
      <w:r w:rsidRPr="00F56AEE">
        <w:t xml:space="preserve"> siguiente se presenta el resumen de organizaciones por cuenca con indicación del caudal expresada tanto en acciones como en l/s.</w:t>
      </w:r>
    </w:p>
    <w:p w:rsidR="00F93622" w:rsidRPr="00F56AEE" w:rsidRDefault="00F93622" w:rsidP="00F93622">
      <w:pPr>
        <w:widowControl w:val="0"/>
      </w:pPr>
    </w:p>
    <w:p w:rsidR="00F93622" w:rsidRDefault="00F93622" w:rsidP="00F93622">
      <w:pPr>
        <w:pStyle w:val="Epgrafe"/>
      </w:pPr>
    </w:p>
    <w:p w:rsidR="00F93622" w:rsidRDefault="00F93622" w:rsidP="00F93622">
      <w:pPr>
        <w:pStyle w:val="Epgrafe"/>
      </w:pPr>
    </w:p>
    <w:p w:rsidR="00F93622" w:rsidRPr="00F56AEE" w:rsidRDefault="00F93622" w:rsidP="00F93622">
      <w:pPr>
        <w:pStyle w:val="Epgrafe"/>
      </w:pPr>
      <w:r w:rsidRPr="00F56AEE">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r w:rsidRPr="00F56AEE">
        <w:t xml:space="preserve"> Resumen de Derechos Asociados a Organizaciones de Usuarios</w:t>
      </w:r>
    </w:p>
    <w:tbl>
      <w:tblPr>
        <w:tblW w:w="8480" w:type="dxa"/>
        <w:tblInd w:w="55" w:type="dxa"/>
        <w:tblCellMar>
          <w:left w:w="70" w:type="dxa"/>
          <w:right w:w="70" w:type="dxa"/>
        </w:tblCellMar>
        <w:tblLook w:val="0000" w:firstRow="0" w:lastRow="0" w:firstColumn="0" w:lastColumn="0" w:noHBand="0" w:noVBand="0"/>
      </w:tblPr>
      <w:tblGrid>
        <w:gridCol w:w="1980"/>
        <w:gridCol w:w="1200"/>
        <w:gridCol w:w="1840"/>
        <w:gridCol w:w="1420"/>
        <w:gridCol w:w="920"/>
        <w:gridCol w:w="1120"/>
      </w:tblGrid>
      <w:tr w:rsidR="00F93622" w:rsidRPr="00F56AEE">
        <w:trPr>
          <w:trHeight w:val="81"/>
        </w:trPr>
        <w:tc>
          <w:tcPr>
            <w:tcW w:w="1980" w:type="dxa"/>
            <w:vMerge w:val="restart"/>
            <w:tcBorders>
              <w:top w:val="single" w:sz="4" w:space="0" w:color="auto"/>
              <w:left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Tipo</w:t>
            </w:r>
          </w:p>
        </w:tc>
        <w:tc>
          <w:tcPr>
            <w:tcW w:w="1200" w:type="dxa"/>
            <w:vMerge w:val="restart"/>
            <w:tcBorders>
              <w:top w:val="single" w:sz="4" w:space="0" w:color="auto"/>
              <w:left w:val="nil"/>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Unidad</w:t>
            </w:r>
          </w:p>
        </w:tc>
        <w:tc>
          <w:tcPr>
            <w:tcW w:w="4180" w:type="dxa"/>
            <w:gridSpan w:val="3"/>
            <w:tcBorders>
              <w:top w:val="single" w:sz="4" w:space="0" w:color="auto"/>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Subcuencas</w:t>
            </w:r>
          </w:p>
        </w:tc>
        <w:tc>
          <w:tcPr>
            <w:tcW w:w="1120" w:type="dxa"/>
            <w:vMerge w:val="restart"/>
            <w:tcBorders>
              <w:top w:val="single" w:sz="4" w:space="0" w:color="auto"/>
              <w:left w:val="nil"/>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Total</w:t>
            </w:r>
          </w:p>
        </w:tc>
      </w:tr>
      <w:tr w:rsidR="00F93622" w:rsidRPr="00F56AEE">
        <w:trPr>
          <w:trHeight w:val="163"/>
        </w:trPr>
        <w:tc>
          <w:tcPr>
            <w:tcW w:w="1980" w:type="dxa"/>
            <w:vMerge/>
            <w:tcBorders>
              <w:left w:val="single" w:sz="4" w:space="0" w:color="auto"/>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p>
        </w:tc>
        <w:tc>
          <w:tcPr>
            <w:tcW w:w="1200" w:type="dxa"/>
            <w:vMerge/>
            <w:tcBorders>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p>
        </w:tc>
        <w:tc>
          <w:tcPr>
            <w:tcW w:w="1840" w:type="dxa"/>
            <w:tcBorders>
              <w:top w:val="single" w:sz="4" w:space="0" w:color="auto"/>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601</w:t>
            </w:r>
          </w:p>
        </w:tc>
        <w:tc>
          <w:tcPr>
            <w:tcW w:w="1420" w:type="dxa"/>
            <w:tcBorders>
              <w:top w:val="single" w:sz="4" w:space="0" w:color="auto"/>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602</w:t>
            </w:r>
          </w:p>
        </w:tc>
        <w:tc>
          <w:tcPr>
            <w:tcW w:w="920" w:type="dxa"/>
            <w:tcBorders>
              <w:top w:val="single" w:sz="4" w:space="0" w:color="auto"/>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r w:rsidRPr="00F56AEE">
              <w:rPr>
                <w:rFonts w:cs="Arial"/>
                <w:sz w:val="20"/>
                <w:szCs w:val="20"/>
              </w:rPr>
              <w:t>603</w:t>
            </w:r>
          </w:p>
        </w:tc>
        <w:tc>
          <w:tcPr>
            <w:tcW w:w="1120" w:type="dxa"/>
            <w:vMerge/>
            <w:tcBorders>
              <w:left w:val="nil"/>
              <w:bottom w:val="single" w:sz="4" w:space="0" w:color="auto"/>
              <w:right w:val="single" w:sz="4" w:space="0" w:color="auto"/>
            </w:tcBorders>
            <w:shd w:val="clear" w:color="auto" w:fill="auto"/>
            <w:vAlign w:val="center"/>
          </w:tcPr>
          <w:p w:rsidR="00F93622" w:rsidRPr="00F56AEE" w:rsidRDefault="00F93622" w:rsidP="001D6285">
            <w:pPr>
              <w:jc w:val="center"/>
              <w:rPr>
                <w:rFonts w:cs="Arial"/>
                <w:sz w:val="20"/>
                <w:szCs w:val="20"/>
              </w:rPr>
            </w:pPr>
          </w:p>
        </w:tc>
      </w:tr>
      <w:tr w:rsidR="00F93622"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Asoción Canalistas</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129.993</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422.556</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552.550</w:t>
            </w:r>
          </w:p>
        </w:tc>
      </w:tr>
      <w:tr w:rsidR="00F93622"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4.594</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346</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4.940</w:t>
            </w:r>
          </w:p>
        </w:tc>
      </w:tr>
      <w:tr w:rsidR="00F93622" w:rsidRPr="00F56AEE">
        <w:trPr>
          <w:trHeight w:val="255"/>
        </w:trPr>
        <w:tc>
          <w:tcPr>
            <w:tcW w:w="1980" w:type="dxa"/>
            <w:tcBorders>
              <w:top w:val="single" w:sz="4" w:space="0" w:color="auto"/>
              <w:left w:val="single" w:sz="4" w:space="0" w:color="auto"/>
              <w:bottom w:val="nil"/>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Comunidad de Aguas</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221.058</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22.019</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10.000</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253.076</w:t>
            </w:r>
          </w:p>
        </w:tc>
      </w:tr>
      <w:tr w:rsidR="00F93622"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17.888</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30.707</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174</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48.769</w:t>
            </w:r>
          </w:p>
        </w:tc>
      </w:tr>
      <w:tr w:rsidR="00F93622" w:rsidRPr="00F56AEE">
        <w:trPr>
          <w:trHeight w:val="255"/>
        </w:trPr>
        <w:tc>
          <w:tcPr>
            <w:tcW w:w="1980" w:type="dxa"/>
            <w:tcBorders>
              <w:top w:val="single" w:sz="4" w:space="0" w:color="auto"/>
              <w:left w:val="single" w:sz="4" w:space="0" w:color="auto"/>
              <w:bottom w:val="nil"/>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Junta de Vigilancia</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139.946</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26.378</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166.324</w:t>
            </w:r>
          </w:p>
        </w:tc>
      </w:tr>
      <w:tr w:rsidR="00F93622" w:rsidRPr="00F56AEE">
        <w:trPr>
          <w:trHeight w:val="255"/>
        </w:trPr>
        <w:tc>
          <w:tcPr>
            <w:tcW w:w="1980" w:type="dxa"/>
            <w:tcBorders>
              <w:top w:val="nil"/>
              <w:left w:val="single" w:sz="4" w:space="0" w:color="auto"/>
              <w:bottom w:val="single" w:sz="4" w:space="0" w:color="auto"/>
              <w:right w:val="single" w:sz="4" w:space="0" w:color="auto"/>
            </w:tcBorders>
            <w:shd w:val="clear" w:color="auto" w:fill="auto"/>
            <w:noWrap/>
            <w:vAlign w:val="bottom"/>
          </w:tcPr>
          <w:p w:rsidR="00F93622" w:rsidRPr="00F56AEE" w:rsidRDefault="00F93622" w:rsidP="001D628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0</w:t>
            </w:r>
          </w:p>
        </w:tc>
        <w:tc>
          <w:tcPr>
            <w:tcW w:w="14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1.693</w:t>
            </w:r>
          </w:p>
        </w:tc>
        <w:tc>
          <w:tcPr>
            <w:tcW w:w="9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93622" w:rsidRPr="00F56AEE" w:rsidRDefault="00F93622" w:rsidP="001D6285">
            <w:pPr>
              <w:jc w:val="center"/>
              <w:rPr>
                <w:rFonts w:cs="Arial"/>
                <w:sz w:val="20"/>
                <w:szCs w:val="20"/>
              </w:rPr>
            </w:pPr>
            <w:r w:rsidRPr="00F56AEE">
              <w:rPr>
                <w:rFonts w:cs="Arial"/>
                <w:sz w:val="20"/>
                <w:szCs w:val="20"/>
              </w:rPr>
              <w:t>1.693</w:t>
            </w:r>
          </w:p>
        </w:tc>
      </w:tr>
    </w:tbl>
    <w:p w:rsidR="00F93622" w:rsidRPr="00C80FAB" w:rsidRDefault="00F93622" w:rsidP="00B51B51">
      <w:pPr>
        <w:widowControl w:val="0"/>
      </w:pPr>
    </w:p>
    <w:p w:rsidR="00D47B2F" w:rsidRPr="00C80FAB" w:rsidRDefault="00D47B2F" w:rsidP="00B51B51">
      <w:pPr>
        <w:pStyle w:val="Ttulo2"/>
        <w:keepNext w:val="0"/>
        <w:ind w:left="0" w:firstLine="0"/>
      </w:pPr>
      <w:bookmarkStart w:id="46" w:name="_Toc338179084"/>
      <w:bookmarkStart w:id="47" w:name="_Toc344391741"/>
      <w:r w:rsidRPr="00C80FAB">
        <w:t>Antecedentes Hidrológicos</w:t>
      </w:r>
      <w:bookmarkEnd w:id="46"/>
      <w:bookmarkEnd w:id="47"/>
    </w:p>
    <w:p w:rsidR="00D47B2F" w:rsidRPr="000A582E" w:rsidRDefault="00D47B2F" w:rsidP="00B51B51">
      <w:pPr>
        <w:widowControl w:val="0"/>
      </w:pPr>
    </w:p>
    <w:p w:rsidR="00D47B2F" w:rsidRPr="000A582E" w:rsidRDefault="00D47B2F" w:rsidP="00B51B51">
      <w:pPr>
        <w:widowControl w:val="0"/>
      </w:pPr>
      <w:r w:rsidRPr="000A582E">
        <w:t>A partir de la revisión de los antecedentes consultados es posible señalar que existe información con distinto nivel de detalle que permite caracterizar a las subcuencas en estudio en términos de caudales medios mensuales y los cuales se encuentran disponibles tanto en estadísticas de estaciones hidrometeorológicas así como en estudios previos.</w:t>
      </w:r>
    </w:p>
    <w:p w:rsidR="00D47B2F" w:rsidRPr="000A582E" w:rsidRDefault="00D47B2F" w:rsidP="00B51B51">
      <w:pPr>
        <w:widowControl w:val="0"/>
      </w:pPr>
      <w:r w:rsidRPr="000A582E">
        <w:t xml:space="preserve">En lo referente a la información hidrometeorológica, se puede señalar en primer lugar que en los registros de caudales se aprecia una longitud promedio no superior a los 25 años. </w:t>
      </w:r>
    </w:p>
    <w:p w:rsidR="00D47B2F" w:rsidRPr="000A582E" w:rsidRDefault="00D47B2F" w:rsidP="00B51B51">
      <w:pPr>
        <w:widowControl w:val="0"/>
      </w:pPr>
    </w:p>
    <w:p w:rsidR="00D47B2F" w:rsidRPr="000A582E" w:rsidRDefault="00D47B2F" w:rsidP="00B51B51">
      <w:pPr>
        <w:widowControl w:val="0"/>
      </w:pPr>
      <w:r w:rsidRPr="000A582E">
        <w:t xml:space="preserve">La calidad de la información es en general buena, al menos en términos de cantidad de datos por año, a excepción del año hidrológico 2009/10, donde prácticamente todas las estaciones presentan registros incompletos. </w:t>
      </w:r>
    </w:p>
    <w:p w:rsidR="00D47B2F" w:rsidRPr="000A582E" w:rsidRDefault="00D47B2F" w:rsidP="00B51B51">
      <w:pPr>
        <w:widowControl w:val="0"/>
      </w:pPr>
    </w:p>
    <w:p w:rsidR="00D47B2F" w:rsidRPr="000A582E" w:rsidRDefault="00D47B2F" w:rsidP="00B51B51">
      <w:pPr>
        <w:widowControl w:val="0"/>
      </w:pPr>
      <w:r w:rsidRPr="000A582E">
        <w:t xml:space="preserve">Los períodos de instalación de estaciones fluviométricas se remontan a los años 1970, 1985 y 2002. Antes del año 1970 los registros fluviométricos son escasos, siendo la estación Río Tinguiririca en Bajo Los Briones la única que presenta una estadística relativamente completa desde los años </w:t>
      </w:r>
      <w:smartTag w:uri="urn:schemas-microsoft-com:office:smarttags" w:element="metricconverter">
        <w:smartTagPr>
          <w:attr w:name="ProductID" w:val="50 a"/>
        </w:smartTagPr>
        <w:r w:rsidRPr="000A582E">
          <w:t>50 a</w:t>
        </w:r>
      </w:smartTag>
      <w:r w:rsidRPr="000A582E">
        <w:t xml:space="preserve"> la fecha. </w:t>
      </w:r>
    </w:p>
    <w:p w:rsidR="00D47B2F" w:rsidRPr="000A582E" w:rsidRDefault="00D47B2F" w:rsidP="00B51B51">
      <w:pPr>
        <w:widowControl w:val="0"/>
      </w:pPr>
    </w:p>
    <w:p w:rsidR="00D47B2F" w:rsidRPr="000A582E" w:rsidRDefault="00D47B2F" w:rsidP="00B51B51">
      <w:pPr>
        <w:widowControl w:val="0"/>
      </w:pPr>
      <w:r w:rsidRPr="000A582E">
        <w:t xml:space="preserve">La disposición espacial de estas estaciones en la región de estudio no es uniforme, existiendo una amplia cobertura en la cuenca del río Cachapoal Alto, pero no así en las cuencas costeras ubicadas entre el río Rapel y el límite sur de </w:t>
      </w:r>
      <w:smartTag w:uri="urn:schemas-microsoft-com:office:smarttags" w:element="PersonName">
        <w:smartTagPr>
          <w:attr w:name="ProductID" w:val="la Región"/>
        </w:smartTagPr>
        <w:r w:rsidRPr="000A582E">
          <w:t>la Región</w:t>
        </w:r>
      </w:smartTag>
      <w:r w:rsidRPr="000A582E">
        <w:t>, en donde sólo existe una estación con registro de caudales.</w:t>
      </w:r>
    </w:p>
    <w:p w:rsidR="00D47B2F" w:rsidRPr="0010438E" w:rsidRDefault="00D47B2F" w:rsidP="00B51B51">
      <w:pPr>
        <w:widowControl w:val="0"/>
        <w:rPr>
          <w:sz w:val="18"/>
        </w:rPr>
      </w:pPr>
    </w:p>
    <w:p w:rsidR="00D47B2F" w:rsidRDefault="00D47B2F" w:rsidP="00B51B51">
      <w:pPr>
        <w:widowControl w:val="0"/>
      </w:pPr>
      <w:r w:rsidRPr="000A582E">
        <w:t>El no disponer de longitudes de registro de caudales suficientes para la realización de los análisis pertinentes, implica realizar extensiones de las estadísticas. Antes de usar estadísticas extendidas presentadas en otros estudios, se verificará la pertinencia de la metodología utilizada para su extensión, pues se vio que debido a la antigüedad de los estudios, las correlaciones en general se realizaron con pocos datos, mostrando en algunos casos resultados deficientes.</w:t>
      </w:r>
    </w:p>
    <w:p w:rsidR="006C3D5B" w:rsidRPr="0010438E" w:rsidRDefault="006C3D5B" w:rsidP="00B51B51">
      <w:pPr>
        <w:widowControl w:val="0"/>
        <w:rPr>
          <w:sz w:val="18"/>
        </w:rPr>
      </w:pPr>
    </w:p>
    <w:p w:rsidR="00D47B2F" w:rsidRPr="000A582E" w:rsidRDefault="00D47B2F" w:rsidP="00B51B51">
      <w:pPr>
        <w:widowControl w:val="0"/>
      </w:pPr>
      <w:r w:rsidRPr="000A582E">
        <w:t>Por su parte</w:t>
      </w:r>
      <w:r>
        <w:t>,</w:t>
      </w:r>
      <w:r w:rsidRPr="000A582E">
        <w:t xml:space="preserve"> la información de precipitación registrada por las estaciones meteorológicas de </w:t>
      </w:r>
      <w:smartTag w:uri="urn:schemas-microsoft-com:office:smarttags" w:element="PersonName">
        <w:smartTagPr>
          <w:attr w:name="ProductID" w:val="la DGA"/>
        </w:smartTagPr>
        <w:r w:rsidRPr="000A582E">
          <w:t>la DGA</w:t>
        </w:r>
      </w:smartTag>
      <w:r w:rsidRPr="000A582E">
        <w:t xml:space="preserve"> tiene una longitud de registro mayor que las estadísticas de caudales, con una distribución espacial que abarca gran parte del territorio de </w:t>
      </w:r>
      <w:smartTag w:uri="urn:schemas-microsoft-com:office:smarttags" w:element="PersonName">
        <w:smartTagPr>
          <w:attr w:name="ProductID" w:val="la VI Región"/>
        </w:smartTagPr>
        <w:r w:rsidRPr="000A582E">
          <w:t>la VI Región</w:t>
        </w:r>
      </w:smartTag>
      <w:r w:rsidRPr="000A582E">
        <w:t xml:space="preserve">, a excepción de las áreas ubicadas sobre la cota 1000 msnm. </w:t>
      </w:r>
    </w:p>
    <w:p w:rsidR="00D47B2F" w:rsidRPr="0010438E" w:rsidRDefault="00D47B2F" w:rsidP="00B51B51">
      <w:pPr>
        <w:widowControl w:val="0"/>
        <w:rPr>
          <w:sz w:val="18"/>
        </w:rPr>
      </w:pPr>
    </w:p>
    <w:p w:rsidR="00F93622" w:rsidRDefault="00D47B2F" w:rsidP="00B51B51">
      <w:pPr>
        <w:widowControl w:val="0"/>
      </w:pPr>
      <w:r w:rsidRPr="000A582E">
        <w:t>Favorablemente para la</w:t>
      </w:r>
      <w:r>
        <w:t>s cuencas altas, existe control</w:t>
      </w:r>
      <w:r w:rsidRPr="000A582E">
        <w:t xml:space="preserve"> fluviométrico cerca de los puntos de cierre, por lo que podría suponerse válida una transposición de cuencas, para llevar la fluviometría registrada en la estación de medición al punto de salida de </w:t>
      </w:r>
      <w:r>
        <w:t xml:space="preserve">la cuenca. </w:t>
      </w:r>
    </w:p>
    <w:p w:rsidR="00F93622" w:rsidRDefault="00F93622" w:rsidP="00B51B51">
      <w:pPr>
        <w:widowControl w:val="0"/>
      </w:pPr>
    </w:p>
    <w:p w:rsidR="00D47B2F" w:rsidRPr="000A582E" w:rsidRDefault="00D47B2F" w:rsidP="00B51B51">
      <w:pPr>
        <w:widowControl w:val="0"/>
      </w:pPr>
      <w:r w:rsidRPr="000A582E">
        <w:lastRenderedPageBreak/>
        <w:t>Para el caso de cuencas pluviales, es útil disponer de un extenso registro de precipitaciones a la hora de realizar rellenos y extensiones de estadísticas mediante relaciones precipitación-caudal.</w:t>
      </w:r>
    </w:p>
    <w:p w:rsidR="00D47B2F" w:rsidRPr="0010438E" w:rsidRDefault="00D47B2F" w:rsidP="00B51B51">
      <w:pPr>
        <w:widowControl w:val="0"/>
        <w:rPr>
          <w:sz w:val="18"/>
        </w:rPr>
      </w:pPr>
    </w:p>
    <w:p w:rsidR="00D47B2F" w:rsidRDefault="00D47B2F" w:rsidP="00B51B51">
      <w:pPr>
        <w:widowControl w:val="0"/>
      </w:pPr>
      <w:r w:rsidRPr="000A582E">
        <w:t xml:space="preserve">La información de temperatura media mensual y evaporación mensual registrada por las estaciones meteorológicas de </w:t>
      </w:r>
      <w:smartTag w:uri="urn:schemas-microsoft-com:office:smarttags" w:element="PersonName">
        <w:smartTagPr>
          <w:attr w:name="ProductID" w:val="la DGA"/>
        </w:smartTagPr>
        <w:r w:rsidRPr="000A582E">
          <w:t>la DGA</w:t>
        </w:r>
      </w:smartTag>
      <w:r w:rsidRPr="000A582E">
        <w:t>, servirá como input para los modelos de generación de caudales que se estime pertinente utilizar, principalmente en función del r</w:t>
      </w:r>
      <w:r>
        <w:t>égimen hidrológico de la cuenca.</w:t>
      </w:r>
      <w:r w:rsidRPr="000A582E">
        <w:t xml:space="preserve"> La cantidad de estaciones que registran estos parámetros son escasas respecto a las que </w:t>
      </w:r>
      <w:r>
        <w:t>miden precipitación, pero</w:t>
      </w:r>
      <w:r w:rsidRPr="000A582E">
        <w:t xml:space="preserve"> de una longitud de registro similar a éstas.</w:t>
      </w:r>
    </w:p>
    <w:p w:rsidR="0010438E" w:rsidRPr="0010438E" w:rsidRDefault="0010438E" w:rsidP="00B51B51">
      <w:pPr>
        <w:widowControl w:val="0"/>
        <w:rPr>
          <w:sz w:val="18"/>
        </w:rPr>
      </w:pPr>
    </w:p>
    <w:p w:rsidR="00D47B2F" w:rsidRDefault="00D47B2F" w:rsidP="00B51B51">
      <w:pPr>
        <w:widowControl w:val="0"/>
      </w:pPr>
      <w:r>
        <w:t>En caso de que los registros hidrometeorológicos disponibles en la región de estudio no sean suficientes para realizar una correcta caracterización del régimen de caudales de la cuenca, así como también de precipitación, temperatura y evaporación, en los casos en que se requiera su utilización, será necesario recurrir a estaciones vecinas que se encuentren fuera de la zona de estudio, esto es, registros hidrometeorológicos medidos en las Regiones Metropolitana o VII.</w:t>
      </w:r>
    </w:p>
    <w:p w:rsidR="00D47B2F" w:rsidRPr="0010438E" w:rsidRDefault="00D47B2F" w:rsidP="00B51B51">
      <w:pPr>
        <w:widowControl w:val="0"/>
        <w:rPr>
          <w:sz w:val="18"/>
        </w:rPr>
      </w:pPr>
    </w:p>
    <w:p w:rsidR="00D47B2F" w:rsidRPr="000A582E" w:rsidRDefault="00D47B2F" w:rsidP="00B51B51">
      <w:pPr>
        <w:widowControl w:val="0"/>
      </w:pPr>
      <w:r w:rsidRPr="000A582E">
        <w:t>En lo que respecta a los estudios previos se puede señalar que los antecedentes generados en ellos no permiten caracterizar en su totalidad a las cuencas y subcuencas en términos de caudales medios mensuales debido a la calidad de la información y por otra parte por la ubicación de los puntos de control analizados.</w:t>
      </w:r>
    </w:p>
    <w:p w:rsidR="00D47B2F" w:rsidRPr="000A582E" w:rsidRDefault="00D47B2F" w:rsidP="00B51B51">
      <w:pPr>
        <w:widowControl w:val="0"/>
      </w:pPr>
    </w:p>
    <w:p w:rsidR="00D47B2F" w:rsidRPr="000A582E" w:rsidRDefault="00D47B2F" w:rsidP="00B51B51">
      <w:pPr>
        <w:widowControl w:val="0"/>
      </w:pPr>
      <w:r w:rsidRPr="000A582E">
        <w:t>Los principales estudios que entregan información de interés son los siguientes:</w:t>
      </w:r>
    </w:p>
    <w:p w:rsidR="00D47B2F" w:rsidRDefault="00D47B2F" w:rsidP="00B51B51">
      <w:pPr>
        <w:widowControl w:val="0"/>
      </w:pPr>
    </w:p>
    <w:p w:rsidR="00D47B2F" w:rsidRPr="0061726C" w:rsidRDefault="00D47B2F" w:rsidP="00145762">
      <w:pPr>
        <w:widowControl w:val="0"/>
        <w:numPr>
          <w:ilvl w:val="0"/>
          <w:numId w:val="21"/>
        </w:numPr>
        <w:rPr>
          <w:rFonts w:cs="Arial"/>
          <w:szCs w:val="22"/>
        </w:rPr>
      </w:pPr>
      <w:r w:rsidRPr="0061726C">
        <w:rPr>
          <w:rFonts w:cs="Arial"/>
          <w:szCs w:val="22"/>
        </w:rPr>
        <w:t>Análisis Regional de Caudales VI y VII Región. Prisma Ingeniería Limitada Ingenieros Consultores, 1994.</w:t>
      </w:r>
    </w:p>
    <w:p w:rsidR="00D47B2F" w:rsidRPr="0061726C" w:rsidRDefault="00D47B2F" w:rsidP="00145762">
      <w:pPr>
        <w:widowControl w:val="0"/>
        <w:numPr>
          <w:ilvl w:val="0"/>
          <w:numId w:val="21"/>
        </w:numPr>
        <w:rPr>
          <w:rFonts w:cs="Arial"/>
          <w:szCs w:val="22"/>
        </w:rPr>
      </w:pPr>
      <w:r w:rsidRPr="000A582E">
        <w:rPr>
          <w:rFonts w:cs="Arial" w:hint="eastAsia"/>
          <w:szCs w:val="22"/>
        </w:rPr>
        <w:t xml:space="preserve">Análisis de </w:t>
      </w:r>
      <w:smartTag w:uri="urn:schemas-microsoft-com:office:smarttags" w:element="PersonName">
        <w:smartTagPr>
          <w:attr w:name="ProductID" w:val="la Oferta"/>
        </w:smartTagPr>
        <w:r w:rsidRPr="000A582E">
          <w:rPr>
            <w:rFonts w:cs="Arial" w:hint="eastAsia"/>
            <w:szCs w:val="22"/>
          </w:rPr>
          <w:t xml:space="preserve">la </w:t>
        </w:r>
        <w:r w:rsidRPr="000A582E">
          <w:rPr>
            <w:rFonts w:cs="Arial"/>
            <w:szCs w:val="22"/>
          </w:rPr>
          <w:t>O</w:t>
        </w:r>
        <w:r w:rsidRPr="000A582E">
          <w:rPr>
            <w:rFonts w:cs="Arial" w:hint="eastAsia"/>
            <w:szCs w:val="22"/>
          </w:rPr>
          <w:t>ferta</w:t>
        </w:r>
      </w:smartTag>
      <w:r w:rsidRPr="000A582E">
        <w:rPr>
          <w:rFonts w:cs="Arial" w:hint="eastAsia"/>
          <w:szCs w:val="22"/>
        </w:rPr>
        <w:t xml:space="preserve"> y </w:t>
      </w:r>
      <w:r w:rsidRPr="000A582E">
        <w:rPr>
          <w:rFonts w:cs="Arial"/>
          <w:szCs w:val="22"/>
        </w:rPr>
        <w:t>D</w:t>
      </w:r>
      <w:r w:rsidRPr="000A582E">
        <w:rPr>
          <w:rFonts w:cs="Arial" w:hint="eastAsia"/>
          <w:szCs w:val="22"/>
        </w:rPr>
        <w:t xml:space="preserve">emanda de </w:t>
      </w:r>
      <w:r w:rsidRPr="000A582E">
        <w:rPr>
          <w:rFonts w:cs="Arial"/>
          <w:szCs w:val="22"/>
        </w:rPr>
        <w:t>R</w:t>
      </w:r>
      <w:r w:rsidRPr="000A582E">
        <w:rPr>
          <w:rFonts w:cs="Arial" w:hint="eastAsia"/>
          <w:szCs w:val="22"/>
        </w:rPr>
        <w:t xml:space="preserve">ecursos </w:t>
      </w:r>
      <w:r w:rsidRPr="000A582E">
        <w:rPr>
          <w:rFonts w:cs="Arial"/>
          <w:szCs w:val="22"/>
        </w:rPr>
        <w:t>H</w:t>
      </w:r>
      <w:r w:rsidRPr="000A582E">
        <w:rPr>
          <w:rFonts w:cs="Arial" w:hint="eastAsia"/>
          <w:szCs w:val="22"/>
        </w:rPr>
        <w:t xml:space="preserve">ídricos en </w:t>
      </w:r>
      <w:r w:rsidRPr="000A582E">
        <w:rPr>
          <w:rFonts w:cs="Arial"/>
          <w:szCs w:val="22"/>
        </w:rPr>
        <w:t>C</w:t>
      </w:r>
      <w:r w:rsidRPr="000A582E">
        <w:rPr>
          <w:rFonts w:cs="Arial" w:hint="eastAsia"/>
          <w:szCs w:val="22"/>
        </w:rPr>
        <w:t xml:space="preserve">uencas </w:t>
      </w:r>
      <w:r w:rsidRPr="000A582E">
        <w:rPr>
          <w:rFonts w:cs="Arial"/>
          <w:szCs w:val="22"/>
        </w:rPr>
        <w:t>C</w:t>
      </w:r>
      <w:r w:rsidRPr="000A582E">
        <w:rPr>
          <w:rFonts w:cs="Arial" w:hint="eastAsia"/>
          <w:szCs w:val="22"/>
        </w:rPr>
        <w:t>ríticas de Loa, Rapel y Mataquito</w:t>
      </w:r>
      <w:r>
        <w:rPr>
          <w:rFonts w:cs="Arial"/>
          <w:szCs w:val="22"/>
        </w:rPr>
        <w:t xml:space="preserve">. </w:t>
      </w:r>
      <w:r w:rsidRPr="00461E79">
        <w:rPr>
          <w:rFonts w:cs="Arial" w:hint="eastAsia"/>
          <w:szCs w:val="22"/>
        </w:rPr>
        <w:t>Figuereido Ferraz Consultoría e Ingeniería de Proyecto</w:t>
      </w:r>
      <w:r w:rsidRPr="000A582E">
        <w:rPr>
          <w:rFonts w:cs="Arial"/>
          <w:szCs w:val="22"/>
        </w:rPr>
        <w:t>, 1996.</w:t>
      </w:r>
    </w:p>
    <w:p w:rsidR="00D47B2F" w:rsidRPr="0061726C" w:rsidRDefault="00D47B2F" w:rsidP="00145762">
      <w:pPr>
        <w:widowControl w:val="0"/>
        <w:numPr>
          <w:ilvl w:val="0"/>
          <w:numId w:val="21"/>
        </w:numPr>
        <w:rPr>
          <w:rFonts w:cs="Arial"/>
          <w:szCs w:val="22"/>
        </w:rPr>
      </w:pPr>
      <w:r w:rsidRPr="000A582E">
        <w:rPr>
          <w:rFonts w:cs="Arial"/>
          <w:szCs w:val="22"/>
        </w:rPr>
        <w:t xml:space="preserve">Diagnóstico Potencial Hídrico Acuíferos Costeros Provincia Cardenal Caro. Sexta Región. </w:t>
      </w:r>
      <w:r>
        <w:rPr>
          <w:rFonts w:cs="Arial"/>
          <w:szCs w:val="22"/>
        </w:rPr>
        <w:t>SITAC S.A.</w:t>
      </w:r>
      <w:r w:rsidRPr="000A582E">
        <w:rPr>
          <w:rFonts w:cs="Arial"/>
          <w:szCs w:val="22"/>
        </w:rPr>
        <w:t>, 1998.</w:t>
      </w:r>
    </w:p>
    <w:p w:rsidR="00D47B2F" w:rsidRPr="0061726C" w:rsidRDefault="00D47B2F" w:rsidP="00145762">
      <w:pPr>
        <w:widowControl w:val="0"/>
        <w:numPr>
          <w:ilvl w:val="0"/>
          <w:numId w:val="21"/>
        </w:numPr>
        <w:rPr>
          <w:rFonts w:cs="Arial"/>
          <w:szCs w:val="22"/>
        </w:rPr>
      </w:pPr>
      <w:r w:rsidRPr="0061726C">
        <w:rPr>
          <w:rFonts w:cs="Arial"/>
          <w:szCs w:val="22"/>
        </w:rPr>
        <w:t>Actualización Gran Embalse Convento Viejo. LJG Consultores, 2000.</w:t>
      </w:r>
    </w:p>
    <w:p w:rsidR="00D47B2F" w:rsidRPr="0061726C" w:rsidRDefault="00D47B2F" w:rsidP="00145762">
      <w:pPr>
        <w:widowControl w:val="0"/>
        <w:numPr>
          <w:ilvl w:val="0"/>
          <w:numId w:val="21"/>
        </w:numPr>
        <w:rPr>
          <w:rFonts w:cs="Arial"/>
          <w:szCs w:val="22"/>
        </w:rPr>
      </w:pPr>
      <w:r w:rsidRPr="000A582E">
        <w:rPr>
          <w:rFonts w:cs="Arial"/>
          <w:szCs w:val="22"/>
        </w:rPr>
        <w:t xml:space="preserve">Diagnóstico de Recursos Hídricos en Secano Interior y Costero VI a VIII Región. </w:t>
      </w:r>
      <w:r>
        <w:rPr>
          <w:rFonts w:cs="Arial"/>
          <w:szCs w:val="22"/>
        </w:rPr>
        <w:t>AC Ingenieros Consultores Ltda.</w:t>
      </w:r>
      <w:r w:rsidRPr="000A582E">
        <w:rPr>
          <w:rFonts w:cs="Arial"/>
          <w:szCs w:val="22"/>
        </w:rPr>
        <w:t>, 2003</w:t>
      </w:r>
    </w:p>
    <w:p w:rsidR="00D47B2F" w:rsidRPr="0061726C" w:rsidRDefault="00D47B2F" w:rsidP="00145762">
      <w:pPr>
        <w:widowControl w:val="0"/>
        <w:numPr>
          <w:ilvl w:val="0"/>
          <w:numId w:val="21"/>
        </w:numPr>
        <w:rPr>
          <w:rFonts w:cs="Arial"/>
          <w:szCs w:val="22"/>
        </w:rPr>
      </w:pPr>
      <w:r w:rsidRPr="000A582E">
        <w:rPr>
          <w:rFonts w:cs="Arial"/>
          <w:szCs w:val="22"/>
        </w:rPr>
        <w:t xml:space="preserve">Diagnóstico y Clasificación de los Cursos y Cuerpos de Agua según Objetivos de Calidad. </w:t>
      </w:r>
      <w:r>
        <w:rPr>
          <w:rFonts w:cs="Arial"/>
          <w:szCs w:val="22"/>
        </w:rPr>
        <w:t>Cade Idepe</w:t>
      </w:r>
      <w:r w:rsidRPr="000A582E">
        <w:rPr>
          <w:rFonts w:cs="Arial"/>
          <w:szCs w:val="22"/>
        </w:rPr>
        <w:t>, 2004.</w:t>
      </w:r>
    </w:p>
    <w:p w:rsidR="00D47B2F" w:rsidRPr="000A582E" w:rsidRDefault="00D47B2F" w:rsidP="00B51B51">
      <w:pPr>
        <w:widowControl w:val="0"/>
      </w:pPr>
    </w:p>
    <w:p w:rsidR="00D47B2F" w:rsidRPr="000A582E" w:rsidRDefault="00D47B2F" w:rsidP="00B51B51">
      <w:pPr>
        <w:widowControl w:val="0"/>
      </w:pPr>
      <w:r w:rsidRPr="000A582E">
        <w:t>Algunos de estos estudios se desarrollan en general en cuencas con control fluviométrico y que no necesariamente coinciden con la división de la unidad mínima de análisis del presente estudio, es decir subcuencas.</w:t>
      </w:r>
    </w:p>
    <w:p w:rsidR="00D47B2F" w:rsidRPr="000A582E" w:rsidRDefault="00D47B2F" w:rsidP="00B51B51">
      <w:pPr>
        <w:widowControl w:val="0"/>
      </w:pPr>
    </w:p>
    <w:p w:rsidR="00D47B2F" w:rsidRPr="000A582E" w:rsidRDefault="00D47B2F" w:rsidP="00B51B51">
      <w:pPr>
        <w:widowControl w:val="0"/>
      </w:pPr>
      <w:r w:rsidRPr="000A582E">
        <w:t>La metodología utilizada para determinar series de caudales medios mensuales en cuencas sin control fluviométrico es similar en los distintos estudios consultados:</w:t>
      </w:r>
    </w:p>
    <w:p w:rsidR="00D47B2F" w:rsidRPr="000A582E" w:rsidRDefault="00D47B2F" w:rsidP="00B51B51">
      <w:pPr>
        <w:widowControl w:val="0"/>
      </w:pPr>
      <w:r w:rsidRPr="000A582E">
        <w:t>En primer lugar se buscan aquellas estaciones cuyo registro fluviométrico se encuentre en régimen natural o bien se intenta aislar las interferencias que se identifiquen.</w:t>
      </w:r>
    </w:p>
    <w:p w:rsidR="00D47B2F" w:rsidRPr="000A582E" w:rsidRDefault="00D47B2F" w:rsidP="00B51B51">
      <w:pPr>
        <w:widowControl w:val="0"/>
      </w:pPr>
    </w:p>
    <w:p w:rsidR="00D47B2F" w:rsidRDefault="00D47B2F" w:rsidP="00B51B51">
      <w:pPr>
        <w:widowControl w:val="0"/>
      </w:pPr>
      <w:r>
        <w:t>Luego</w:t>
      </w:r>
      <w:r w:rsidRPr="000A582E">
        <w:t xml:space="preserve"> estas cuencas se calibran utilizan</w:t>
      </w:r>
      <w:r>
        <w:t>do un modelo</w:t>
      </w:r>
      <w:r w:rsidRPr="000A582E">
        <w:t xml:space="preserve"> precipitación escorrentía, ocupando una o un conjunto de estaciones de precipitación representativa, o bien generando un mapa isoyetas en la región de estudio y realizando una transposición de cuencas por unidad de área y precipitación. Otros se basan en mapas de isoyetas o isolíneas de escorrentía de estudios más antiguos.</w:t>
      </w:r>
    </w:p>
    <w:p w:rsidR="00F93622" w:rsidRDefault="00D47B2F" w:rsidP="00B51B51">
      <w:pPr>
        <w:widowControl w:val="0"/>
      </w:pPr>
      <w:r>
        <w:lastRenderedPageBreak/>
        <w:t xml:space="preserve">En el estudio “Análisis Regional de Caudales VI y VII Región” perteneciente a </w:t>
      </w:r>
      <w:smartTag w:uri="urn:schemas-microsoft-com:office:smarttags" w:element="PersonName">
        <w:smartTagPr>
          <w:attr w:name="ProductID" w:val="la DGA"/>
        </w:smartTagPr>
        <w:r>
          <w:t>la DGA</w:t>
        </w:r>
      </w:smartTag>
      <w:r>
        <w:t xml:space="preserve"> (1994), se propone una metodología orientada a evaluar, en cualquier punto de un cauce sin control fluviométrico, el valor del caudal medio anual esperado, así como el caudal medio anual y medios mensuales para diferentes probabilidades de excedencia, utilizando líneas de isoescorrentía con y sin influencia del riego. </w:t>
      </w:r>
    </w:p>
    <w:p w:rsidR="00F93622" w:rsidRDefault="00F93622" w:rsidP="00B51B51">
      <w:pPr>
        <w:widowControl w:val="0"/>
      </w:pPr>
    </w:p>
    <w:p w:rsidR="00D47B2F" w:rsidRPr="000A582E" w:rsidRDefault="00D47B2F" w:rsidP="00B51B51">
      <w:pPr>
        <w:widowControl w:val="0"/>
      </w:pPr>
      <w:r>
        <w:t xml:space="preserve">Estas isolíneas fueron generadas principalmente con el registro fluviométrico de </w:t>
      </w:r>
      <w:smartTag w:uri="urn:schemas-microsoft-com:office:smarttags" w:element="PersonName">
        <w:smartTagPr>
          <w:attr w:name="ProductID" w:val="la DGA"/>
        </w:smartTagPr>
        <w:r>
          <w:t>la DGA</w:t>
        </w:r>
      </w:smartTag>
      <w:r>
        <w:t>, en el período comprendido entre los años hidrológicos 1950/51 y 1989/90. Como ya se mencionó, la cantidad de estaciones fluviométricas existentes en la región antes del año 1970 es escasa, por lo que el uso de las líneas de isoescorrentía propuestas no es recomendable. Además, tanto el uso de las aguas como el del suelo se encuentran en constante cambio, por lo cual a medida que transcurre el tiempo esta información se va modificando. De todos modos las correlaciones utilizadas quedan validadas en el anexo del estudio, mostrando resultados aceptables en muchos casos.</w:t>
      </w:r>
    </w:p>
    <w:p w:rsidR="00D47B2F" w:rsidRPr="000A582E" w:rsidRDefault="00D47B2F" w:rsidP="00B51B51">
      <w:pPr>
        <w:widowControl w:val="0"/>
      </w:pPr>
    </w:p>
    <w:p w:rsidR="00F93622" w:rsidRDefault="00D47B2F" w:rsidP="00B51B51">
      <w:pPr>
        <w:widowControl w:val="0"/>
      </w:pPr>
      <w:r>
        <w:t>En el documento</w:t>
      </w:r>
      <w:r w:rsidRPr="000A582E">
        <w:t xml:space="preserve"> “</w:t>
      </w:r>
      <w:r w:rsidRPr="000A582E">
        <w:rPr>
          <w:rFonts w:cs="Arial" w:hint="eastAsia"/>
          <w:szCs w:val="22"/>
        </w:rPr>
        <w:t xml:space="preserve">Análisis de </w:t>
      </w:r>
      <w:smartTag w:uri="urn:schemas-microsoft-com:office:smarttags" w:element="PersonName">
        <w:smartTagPr>
          <w:attr w:name="ProductID" w:val="la Oferta"/>
        </w:smartTagPr>
        <w:r w:rsidRPr="000A582E">
          <w:rPr>
            <w:rFonts w:cs="Arial" w:hint="eastAsia"/>
            <w:szCs w:val="22"/>
          </w:rPr>
          <w:t xml:space="preserve">la </w:t>
        </w:r>
        <w:r w:rsidRPr="000A582E">
          <w:rPr>
            <w:rFonts w:cs="Arial"/>
            <w:szCs w:val="22"/>
          </w:rPr>
          <w:t>O</w:t>
        </w:r>
        <w:r w:rsidRPr="000A582E">
          <w:rPr>
            <w:rFonts w:cs="Arial" w:hint="eastAsia"/>
            <w:szCs w:val="22"/>
          </w:rPr>
          <w:t>ferta</w:t>
        </w:r>
      </w:smartTag>
      <w:r w:rsidRPr="000A582E">
        <w:rPr>
          <w:rFonts w:cs="Arial" w:hint="eastAsia"/>
          <w:szCs w:val="22"/>
        </w:rPr>
        <w:t xml:space="preserve"> y </w:t>
      </w:r>
      <w:r w:rsidRPr="000A582E">
        <w:rPr>
          <w:rFonts w:cs="Arial"/>
          <w:szCs w:val="22"/>
        </w:rPr>
        <w:t>D</w:t>
      </w:r>
      <w:r w:rsidRPr="000A582E">
        <w:rPr>
          <w:rFonts w:cs="Arial" w:hint="eastAsia"/>
          <w:szCs w:val="22"/>
        </w:rPr>
        <w:t xml:space="preserve">emanda de </w:t>
      </w:r>
      <w:r w:rsidRPr="000A582E">
        <w:rPr>
          <w:rFonts w:cs="Arial"/>
          <w:szCs w:val="22"/>
        </w:rPr>
        <w:t>R</w:t>
      </w:r>
      <w:r w:rsidRPr="000A582E">
        <w:rPr>
          <w:rFonts w:cs="Arial" w:hint="eastAsia"/>
          <w:szCs w:val="22"/>
        </w:rPr>
        <w:t xml:space="preserve">ecursos </w:t>
      </w:r>
      <w:r w:rsidRPr="000A582E">
        <w:rPr>
          <w:rFonts w:cs="Arial"/>
          <w:szCs w:val="22"/>
        </w:rPr>
        <w:t>H</w:t>
      </w:r>
      <w:r w:rsidRPr="000A582E">
        <w:rPr>
          <w:rFonts w:cs="Arial" w:hint="eastAsia"/>
          <w:szCs w:val="22"/>
        </w:rPr>
        <w:t xml:space="preserve">ídricos en </w:t>
      </w:r>
      <w:r w:rsidRPr="000A582E">
        <w:rPr>
          <w:rFonts w:cs="Arial"/>
          <w:szCs w:val="22"/>
        </w:rPr>
        <w:t>C</w:t>
      </w:r>
      <w:r w:rsidRPr="000A582E">
        <w:rPr>
          <w:rFonts w:cs="Arial" w:hint="eastAsia"/>
          <w:szCs w:val="22"/>
        </w:rPr>
        <w:t xml:space="preserve">uencas </w:t>
      </w:r>
      <w:r w:rsidRPr="000A582E">
        <w:rPr>
          <w:rFonts w:cs="Arial"/>
          <w:szCs w:val="22"/>
        </w:rPr>
        <w:t>C</w:t>
      </w:r>
      <w:r w:rsidRPr="000A582E">
        <w:rPr>
          <w:rFonts w:cs="Arial" w:hint="eastAsia"/>
          <w:szCs w:val="22"/>
        </w:rPr>
        <w:t>ríticas de Loa, Rapel y Mataquito</w:t>
      </w:r>
      <w:r w:rsidRPr="000A582E">
        <w:rPr>
          <w:rFonts w:cs="Arial"/>
          <w:szCs w:val="22"/>
        </w:rPr>
        <w:t xml:space="preserve">” perteneciente a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(1996),</w:t>
      </w:r>
      <w:r>
        <w:rPr>
          <w:rFonts w:cs="Arial"/>
          <w:szCs w:val="22"/>
        </w:rPr>
        <w:t xml:space="preserve"> se utilizan las estadísticas fluviométricas ya trabajadas, resultantes del estudio</w:t>
      </w:r>
      <w:r w:rsidRPr="000A582E">
        <w:rPr>
          <w:rFonts w:cs="Arial"/>
          <w:szCs w:val="22"/>
        </w:rPr>
        <w:t xml:space="preserve"> </w:t>
      </w:r>
      <w:r>
        <w:t xml:space="preserve">“Análisis Regional de Caudales VI y VII Región”, sin actualizar los registros a la fecha del estudio. </w:t>
      </w:r>
    </w:p>
    <w:p w:rsidR="00F93622" w:rsidRDefault="00F93622" w:rsidP="00B51B51">
      <w:pPr>
        <w:widowControl w:val="0"/>
      </w:pPr>
    </w:p>
    <w:p w:rsidR="00D47B2F" w:rsidRPr="000A582E" w:rsidRDefault="00D47B2F" w:rsidP="00B51B51">
      <w:pPr>
        <w:widowControl w:val="0"/>
      </w:pPr>
      <w:r>
        <w:t>De éstas,</w:t>
      </w:r>
      <w:r w:rsidRPr="000A582E">
        <w:rPr>
          <w:rFonts w:cs="Arial"/>
          <w:szCs w:val="22"/>
        </w:rPr>
        <w:t xml:space="preserve"> </w:t>
      </w:r>
      <w:r>
        <w:rPr>
          <w:rFonts w:cs="Arial"/>
          <w:szCs w:val="22"/>
        </w:rPr>
        <w:t>se seleccionan</w:t>
      </w:r>
      <w:r w:rsidRPr="000A582E">
        <w:rPr>
          <w:rFonts w:cs="Arial"/>
          <w:szCs w:val="22"/>
        </w:rPr>
        <w:t xml:space="preserve"> siete cuencas de distinto régimen hid</w:t>
      </w:r>
      <w:r>
        <w:rPr>
          <w:rFonts w:cs="Arial"/>
          <w:szCs w:val="22"/>
        </w:rPr>
        <w:t>rológico que se encuentran en régimen natural o bien pueden ser llevadas fácilmente a este estado</w:t>
      </w:r>
      <w:r w:rsidRPr="000A582E">
        <w:rPr>
          <w:rFonts w:cs="Arial"/>
          <w:szCs w:val="22"/>
        </w:rPr>
        <w:t>. Estas cuencas servirían de calibración para determinar los caudales en régimen nat</w:t>
      </w:r>
      <w:r>
        <w:rPr>
          <w:rFonts w:cs="Arial"/>
          <w:szCs w:val="22"/>
        </w:rPr>
        <w:t>ural de hoyas sin información, mediante una trasposición de caudales por unidad de área y precipitación. Dada la antigüedad del estudio, es necesario verificar si las cuencas mantienen su régimen natural o bien conservan su grado de intervención, de manera de poder utilizar las mismas hipótesis expuestas en este documento, para el cálculo de caudales en cuencas vecinas sin información.</w:t>
      </w:r>
    </w:p>
    <w:p w:rsidR="00D47B2F" w:rsidRPr="000A582E" w:rsidRDefault="00D47B2F" w:rsidP="00B51B51">
      <w:pPr>
        <w:widowControl w:val="0"/>
      </w:pPr>
    </w:p>
    <w:p w:rsidR="00D47B2F" w:rsidRDefault="00D47B2F" w:rsidP="00B51B51">
      <w:pPr>
        <w:widowControl w:val="0"/>
        <w:rPr>
          <w:rFonts w:cs="Arial"/>
          <w:szCs w:val="22"/>
        </w:rPr>
      </w:pPr>
      <w:r w:rsidRPr="000A582E">
        <w:t>En el estudio “</w:t>
      </w:r>
      <w:r w:rsidRPr="000A582E">
        <w:rPr>
          <w:rFonts w:cs="Arial"/>
          <w:szCs w:val="22"/>
        </w:rPr>
        <w:t xml:space="preserve">Diagnóstico Potencial Hídrico Acuíferos Costeros Provincia Cardenal Caro. Sexta Región”, perteneciente a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(1998), queda de manifiesto que en el afán de obtener una estadística de </w:t>
      </w:r>
      <w:r>
        <w:rPr>
          <w:rFonts w:cs="Arial"/>
          <w:szCs w:val="22"/>
        </w:rPr>
        <w:t>50 años de extensión, se utilizó</w:t>
      </w:r>
      <w:r w:rsidRPr="000A582E">
        <w:rPr>
          <w:rFonts w:cs="Arial"/>
          <w:szCs w:val="22"/>
        </w:rPr>
        <w:t xml:space="preserve"> una relación caudal-caudal con un grado de correlación deficiente para la única estación fluviométrica que se encuentra en la costa de </w:t>
      </w:r>
      <w:smartTag w:uri="urn:schemas-microsoft-com:office:smarttags" w:element="PersonName">
        <w:smartTagPr>
          <w:attr w:name="ProductID" w:val="la VI Región"/>
        </w:smartTagPr>
        <w:r w:rsidRPr="000A582E">
          <w:rPr>
            <w:rFonts w:cs="Arial"/>
            <w:szCs w:val="22"/>
          </w:rPr>
          <w:t>la VI Región</w:t>
        </w:r>
      </w:smartTag>
      <w:r w:rsidRPr="000A582E">
        <w:rPr>
          <w:rFonts w:cs="Arial"/>
          <w:szCs w:val="22"/>
        </w:rPr>
        <w:t>: Estero Nilahue en Santa Teresa.</w:t>
      </w:r>
      <w:r>
        <w:rPr>
          <w:rFonts w:cs="Arial"/>
          <w:szCs w:val="22"/>
        </w:rPr>
        <w:t xml:space="preserve"> Esta estación, que dispone datos a partir de 1985, es la única que permite caracterizar el régimen de caudales de una cuenca costera dentro de la región, por lo que su proceso de relleno y extensión debe ser analizado cuidadosamente.</w:t>
      </w:r>
    </w:p>
    <w:p w:rsidR="00D47B2F" w:rsidRDefault="00D47B2F" w:rsidP="00B51B51">
      <w:pPr>
        <w:widowControl w:val="0"/>
        <w:rPr>
          <w:rFonts w:cs="Arial"/>
          <w:szCs w:val="22"/>
        </w:rPr>
      </w:pPr>
    </w:p>
    <w:p w:rsidR="00D47B2F" w:rsidRPr="00D7230B" w:rsidRDefault="00D47B2F" w:rsidP="00B51B51">
      <w:pPr>
        <w:widowControl w:val="0"/>
        <w:rPr>
          <w:rFonts w:cs="Arial"/>
          <w:szCs w:val="22"/>
        </w:rPr>
      </w:pPr>
      <w:r>
        <w:rPr>
          <w:rFonts w:cs="Arial"/>
          <w:szCs w:val="22"/>
        </w:rPr>
        <w:t xml:space="preserve">En el estudio “Actualización Gran Embalse Convento Viejo”, así como también en otros documentos, se menciona el aporte de caudales que realiza la cuenca del río Teno, perteneciente a </w:t>
      </w:r>
      <w:smartTag w:uri="urn:schemas-microsoft-com:office:smarttags" w:element="PersonName">
        <w:smartTagPr>
          <w:attr w:name="ProductID" w:val="la VII Región"/>
        </w:smartTagPr>
        <w:r>
          <w:rPr>
            <w:rFonts w:cs="Arial"/>
            <w:szCs w:val="22"/>
          </w:rPr>
          <w:t>la VII Región</w:t>
        </w:r>
      </w:smartTag>
      <w:r>
        <w:rPr>
          <w:rFonts w:cs="Arial"/>
          <w:szCs w:val="22"/>
        </w:rPr>
        <w:t>, a la cuenca del río Tinguiririca Bajo, mediante el canal Teno-Chimbarongo. Este aporte es del orden de 25 m</w:t>
      </w:r>
      <w:r>
        <w:rPr>
          <w:rFonts w:cs="Arial"/>
          <w:szCs w:val="22"/>
          <w:vertAlign w:val="superscript"/>
        </w:rPr>
        <w:t>3</w:t>
      </w:r>
      <w:r>
        <w:rPr>
          <w:rFonts w:cs="Arial"/>
          <w:szCs w:val="22"/>
        </w:rPr>
        <w:t>/s, valor no despreciable que debe ser considerado en el balance hídrico de esta cuenca. Se dispone de los caudales de trasvase desde el inicio de funcionamiento del canal, esto es, de octubre de 1975, hasta marzo de 1999.</w:t>
      </w:r>
    </w:p>
    <w:p w:rsidR="00D47B2F" w:rsidRPr="000A582E" w:rsidRDefault="00D47B2F" w:rsidP="00B51B51">
      <w:pPr>
        <w:widowControl w:val="0"/>
        <w:rPr>
          <w:rFonts w:cs="Arial"/>
          <w:szCs w:val="22"/>
        </w:rPr>
      </w:pPr>
    </w:p>
    <w:p w:rsidR="00D47B2F" w:rsidRDefault="00D47B2F" w:rsidP="00B51B51">
      <w:pPr>
        <w:widowControl w:val="0"/>
        <w:rPr>
          <w:rFonts w:cs="Arial"/>
          <w:szCs w:val="22"/>
        </w:rPr>
      </w:pPr>
      <w:r w:rsidRPr="000A582E">
        <w:t>En el estudio “</w:t>
      </w:r>
      <w:r w:rsidRPr="000A582E">
        <w:rPr>
          <w:rFonts w:cs="Arial"/>
          <w:szCs w:val="22"/>
        </w:rPr>
        <w:t xml:space="preserve">Diagnóstico de Recursos Hídricos en Secano Interior y Costero VI a VIII Región”, perteneciente a </w:t>
      </w:r>
      <w:smartTag w:uri="urn:schemas-microsoft-com:office:smarttags" w:element="PersonName">
        <w:smartTagPr>
          <w:attr w:name="ProductID" w:val="la CNR"/>
        </w:smartTagPr>
        <w:r w:rsidRPr="000A582E">
          <w:rPr>
            <w:rFonts w:cs="Arial"/>
            <w:szCs w:val="22"/>
          </w:rPr>
          <w:t>la CNR</w:t>
        </w:r>
      </w:smartTag>
      <w:r w:rsidRPr="000A582E">
        <w:rPr>
          <w:rFonts w:cs="Arial"/>
          <w:szCs w:val="22"/>
        </w:rPr>
        <w:t xml:space="preserve"> (2003), se trabaja en cuencas costeras de </w:t>
      </w:r>
      <w:smartTag w:uri="urn:schemas-microsoft-com:office:smarttags" w:element="PersonName">
        <w:smartTagPr>
          <w:attr w:name="ProductID" w:val="la VI Región"/>
        </w:smartTagPr>
        <w:r w:rsidRPr="000A582E">
          <w:rPr>
            <w:rFonts w:cs="Arial"/>
            <w:szCs w:val="22"/>
          </w:rPr>
          <w:t>la VI Región</w:t>
        </w:r>
      </w:smartTag>
      <w:r w:rsidRPr="000A582E">
        <w:rPr>
          <w:rFonts w:cs="Arial"/>
          <w:szCs w:val="22"/>
        </w:rPr>
        <w:t xml:space="preserve">, siendo algunas de éstas coincidentes con la división de cuencas, subcuencas y subsubcuencas de </w:t>
      </w:r>
      <w:smartTag w:uri="urn:schemas-microsoft-com:office:smarttags" w:element="PersonName">
        <w:smartTagPr>
          <w:attr w:name="ProductID" w:val="la DGA. A"/>
        </w:smartTagPr>
        <w:r w:rsidRPr="000A582E">
          <w:rPr>
            <w:rFonts w:cs="Arial"/>
            <w:szCs w:val="22"/>
          </w:rPr>
          <w:t>la DGA. A</w:t>
        </w:r>
      </w:smartTag>
      <w:r w:rsidRPr="000A582E">
        <w:rPr>
          <w:rFonts w:cs="Arial"/>
          <w:szCs w:val="22"/>
        </w:rPr>
        <w:t xml:space="preserve"> partir de la calibración de la cuenca delimitada por la estación </w:t>
      </w:r>
      <w:r w:rsidRPr="000A582E">
        <w:rPr>
          <w:rFonts w:cs="Arial"/>
          <w:szCs w:val="22"/>
        </w:rPr>
        <w:lastRenderedPageBreak/>
        <w:t>fluviométrica Estero Nilahue en Santa Teresa, se determinan los caudales medios mensuales para las cuencas de estudio (no se muestra la serie), señalándose su curva de variación estacional.</w:t>
      </w:r>
      <w:r>
        <w:rPr>
          <w:rFonts w:cs="Arial"/>
          <w:szCs w:val="22"/>
        </w:rPr>
        <w:t xml:space="preserve"> Este estudio es posiblemente el de mayor utilidad, por el hecho de que utiliza la misma subdivisión de cuencas con la que se trabajará. </w:t>
      </w:r>
    </w:p>
    <w:p w:rsidR="00D47B2F" w:rsidRPr="000A582E" w:rsidRDefault="00D47B2F" w:rsidP="00B51B51">
      <w:pPr>
        <w:widowControl w:val="0"/>
        <w:rPr>
          <w:rFonts w:cs="Arial"/>
          <w:szCs w:val="22"/>
        </w:rPr>
      </w:pPr>
    </w:p>
    <w:p w:rsidR="00D47B2F" w:rsidRDefault="00D47B2F" w:rsidP="00B51B51">
      <w:pPr>
        <w:widowControl w:val="0"/>
        <w:rPr>
          <w:rFonts w:cs="Arial"/>
          <w:szCs w:val="22"/>
        </w:rPr>
      </w:pPr>
      <w:r w:rsidRPr="000A582E">
        <w:t>El estudio “</w:t>
      </w:r>
      <w:r w:rsidRPr="000A582E">
        <w:rPr>
          <w:rFonts w:cs="Arial"/>
          <w:szCs w:val="22"/>
        </w:rPr>
        <w:t xml:space="preserve">Diagnóstico y Clasificación de los Cursos y Cuerpos de Agua según Objetivos de Calidad”, perteneciente a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(2004) es el más actualizado en cuanto a informac</w:t>
      </w:r>
      <w:r>
        <w:rPr>
          <w:rFonts w:cs="Arial"/>
          <w:szCs w:val="22"/>
        </w:rPr>
        <w:t>ión fluviométrica de la región. Su uso sería</w:t>
      </w:r>
      <w:r w:rsidRPr="000A582E">
        <w:rPr>
          <w:rFonts w:cs="Arial"/>
          <w:szCs w:val="22"/>
        </w:rPr>
        <w:t xml:space="preserve"> referencial ya que sólo</w:t>
      </w:r>
      <w:r>
        <w:rPr>
          <w:rFonts w:cs="Arial"/>
          <w:szCs w:val="22"/>
        </w:rPr>
        <w:t xml:space="preserve"> se</w:t>
      </w:r>
      <w:r w:rsidRPr="000A582E">
        <w:rPr>
          <w:rFonts w:cs="Arial"/>
          <w:szCs w:val="22"/>
        </w:rPr>
        <w:t xml:space="preserve"> analiza la variación estacional de caudales en cuencas con control fluviométrico.</w:t>
      </w:r>
    </w:p>
    <w:p w:rsidR="00D47B2F" w:rsidRDefault="00D47B2F" w:rsidP="00B51B51">
      <w:pPr>
        <w:widowControl w:val="0"/>
        <w:rPr>
          <w:rFonts w:cs="Arial"/>
          <w:szCs w:val="22"/>
        </w:rPr>
      </w:pPr>
    </w:p>
    <w:p w:rsidR="00D47B2F" w:rsidRDefault="00D47B2F" w:rsidP="00B51B51">
      <w:pPr>
        <w:widowControl w:val="0"/>
      </w:pPr>
      <w:r>
        <w:t xml:space="preserve">Otro antecedente importante de mencionar respecto de los recursos hídricos superficiales tiene relación con </w:t>
      </w:r>
      <w:smartTag w:uri="urn:schemas-microsoft-com:office:smarttags" w:element="PersonName">
        <w:smartTagPr>
          <w:attr w:name="ProductID" w:val="la Declaración"/>
        </w:smartTagPr>
        <w:r>
          <w:t>la Declaración</w:t>
        </w:r>
      </w:smartTag>
      <w:r>
        <w:t xml:space="preserve"> de Agotamiento de Aguas Superficiales por parte de </w:t>
      </w:r>
      <w:smartTag w:uri="urn:schemas-microsoft-com:office:smarttags" w:element="PersonName">
        <w:smartTagPr>
          <w:attr w:name="ProductID" w:val="la DGA"/>
        </w:smartTagPr>
        <w:r>
          <w:t>la DGA</w:t>
        </w:r>
      </w:smartTag>
      <w:r>
        <w:t xml:space="preserve"> para algunos cauces de la región de Valparaíso.</w:t>
      </w:r>
    </w:p>
    <w:p w:rsidR="00D47B2F" w:rsidRDefault="00D47B2F" w:rsidP="00B51B51">
      <w:pPr>
        <w:widowControl w:val="0"/>
      </w:pPr>
    </w:p>
    <w:p w:rsidR="00D47B2F" w:rsidRDefault="00D47B2F" w:rsidP="00B51B51">
      <w:pPr>
        <w:widowControl w:val="0"/>
      </w:pPr>
      <w:r>
        <w:t xml:space="preserve">A la fecha </w:t>
      </w:r>
      <w:smartTag w:uri="urn:schemas-microsoft-com:office:smarttags" w:element="PersonName">
        <w:smartTagPr>
          <w:attr w:name="ProductID" w:val="la DGA"/>
        </w:smartTagPr>
        <w:r>
          <w:t>la DGA</w:t>
        </w:r>
      </w:smartTag>
      <w:r>
        <w:t xml:space="preserve"> ha declarado 2 áreas de agotamiento para los recursos hídricos superficiales, las cuales se presentan en la siguiente Tabla y en Plano 1.</w:t>
      </w:r>
    </w:p>
    <w:p w:rsidR="0061726C" w:rsidRDefault="0061726C" w:rsidP="00B51B51">
      <w:pPr>
        <w:pStyle w:val="Epgrafe"/>
        <w:widowControl w:val="0"/>
      </w:pPr>
    </w:p>
    <w:p w:rsidR="00D47B2F" w:rsidRPr="00C624DE" w:rsidRDefault="00D47B2F" w:rsidP="00B51B51">
      <w:pPr>
        <w:pStyle w:val="Epgrafe"/>
        <w:widowControl w:val="0"/>
      </w:pPr>
      <w:r w:rsidRPr="00C624DE">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15</w:t>
      </w:r>
      <w:r w:rsidR="007F3102">
        <w:fldChar w:fldCharType="end"/>
      </w:r>
      <w:r w:rsidRPr="00C624DE">
        <w:t xml:space="preserve"> </w:t>
      </w:r>
      <w:r>
        <w:rPr>
          <w:rFonts w:cs="Arial"/>
          <w:lang w:val="es-CL"/>
        </w:rPr>
        <w:t>Declaración de Áreas de Agotamiento,</w:t>
      </w:r>
      <w:r w:rsidRPr="00C624DE">
        <w:rPr>
          <w:rFonts w:cs="Arial"/>
          <w:lang w:val="es-CL"/>
        </w:rPr>
        <w:t xml:space="preserve"> V</w:t>
      </w:r>
      <w:r w:rsidR="0061726C">
        <w:rPr>
          <w:rFonts w:cs="Arial"/>
          <w:lang w:val="es-CL"/>
        </w:rPr>
        <w:t>I</w:t>
      </w:r>
      <w:r w:rsidRPr="00C624DE">
        <w:rPr>
          <w:rFonts w:cs="Arial"/>
          <w:lang w:val="es-CL"/>
        </w:rPr>
        <w:t xml:space="preserve"> Región</w:t>
      </w:r>
    </w:p>
    <w:tbl>
      <w:tblPr>
        <w:tblW w:w="7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65"/>
        <w:gridCol w:w="1521"/>
        <w:gridCol w:w="1275"/>
        <w:gridCol w:w="1668"/>
      </w:tblGrid>
      <w:tr w:rsidR="00D47B2F" w:rsidRPr="00983FC7">
        <w:trPr>
          <w:tblHeader/>
          <w:jc w:val="center"/>
        </w:trPr>
        <w:tc>
          <w:tcPr>
            <w:tcW w:w="3465" w:type="dxa"/>
            <w:shd w:val="clear" w:color="auto" w:fill="auto"/>
            <w:vAlign w:val="center"/>
          </w:tcPr>
          <w:p w:rsidR="00D47B2F" w:rsidRPr="00983FC7" w:rsidRDefault="00D47B2F" w:rsidP="00B51B51">
            <w:pPr>
              <w:widowControl w:val="0"/>
              <w:jc w:val="center"/>
              <w:rPr>
                <w:rFonts w:cs="Arial"/>
                <w:bCs/>
                <w:sz w:val="20"/>
                <w:szCs w:val="20"/>
              </w:rPr>
            </w:pPr>
            <w:r w:rsidRPr="00983FC7">
              <w:rPr>
                <w:rFonts w:cs="Arial"/>
                <w:bCs/>
                <w:sz w:val="20"/>
                <w:szCs w:val="20"/>
              </w:rPr>
              <w:t>Nombre</w:t>
            </w:r>
          </w:p>
        </w:tc>
        <w:tc>
          <w:tcPr>
            <w:tcW w:w="1521" w:type="dxa"/>
            <w:shd w:val="clear" w:color="auto" w:fill="auto"/>
            <w:vAlign w:val="center"/>
          </w:tcPr>
          <w:p w:rsidR="00D47B2F" w:rsidRPr="00983FC7" w:rsidRDefault="00D47B2F" w:rsidP="00B51B51">
            <w:pPr>
              <w:widowControl w:val="0"/>
              <w:jc w:val="center"/>
              <w:rPr>
                <w:rFonts w:cs="Arial"/>
                <w:bCs/>
                <w:sz w:val="20"/>
                <w:szCs w:val="20"/>
              </w:rPr>
            </w:pPr>
            <w:r w:rsidRPr="00983FC7">
              <w:rPr>
                <w:rFonts w:cs="Arial"/>
                <w:bCs/>
                <w:sz w:val="20"/>
                <w:szCs w:val="20"/>
              </w:rPr>
              <w:t>N° Resolución</w:t>
            </w:r>
          </w:p>
        </w:tc>
        <w:tc>
          <w:tcPr>
            <w:tcW w:w="1275" w:type="dxa"/>
            <w:shd w:val="clear" w:color="auto" w:fill="auto"/>
            <w:vAlign w:val="center"/>
          </w:tcPr>
          <w:p w:rsidR="00D47B2F" w:rsidRPr="00983FC7" w:rsidRDefault="00D47B2F" w:rsidP="00B51B51">
            <w:pPr>
              <w:widowControl w:val="0"/>
              <w:jc w:val="center"/>
              <w:rPr>
                <w:rFonts w:cs="Arial"/>
                <w:bCs/>
                <w:sz w:val="20"/>
                <w:szCs w:val="20"/>
              </w:rPr>
            </w:pPr>
            <w:r w:rsidRPr="00983FC7">
              <w:rPr>
                <w:rFonts w:cs="Arial"/>
                <w:bCs/>
                <w:sz w:val="20"/>
                <w:szCs w:val="20"/>
              </w:rPr>
              <w:t>Fecha</w:t>
            </w:r>
          </w:p>
        </w:tc>
        <w:tc>
          <w:tcPr>
            <w:tcW w:w="1668" w:type="dxa"/>
            <w:shd w:val="clear" w:color="auto" w:fill="auto"/>
            <w:vAlign w:val="center"/>
          </w:tcPr>
          <w:p w:rsidR="00D47B2F" w:rsidRPr="00983FC7" w:rsidRDefault="00D47B2F" w:rsidP="00B51B51">
            <w:pPr>
              <w:widowControl w:val="0"/>
              <w:jc w:val="center"/>
              <w:rPr>
                <w:rFonts w:cs="Arial"/>
                <w:bCs/>
                <w:sz w:val="20"/>
                <w:szCs w:val="20"/>
              </w:rPr>
            </w:pPr>
            <w:r w:rsidRPr="00983FC7">
              <w:rPr>
                <w:rFonts w:cs="Arial"/>
                <w:bCs/>
                <w:sz w:val="20"/>
                <w:szCs w:val="20"/>
              </w:rPr>
              <w:t>Superficie (km</w:t>
            </w:r>
            <w:r w:rsidRPr="00983FC7">
              <w:rPr>
                <w:rFonts w:ascii="Arial Rounded MT Bold" w:hAnsi="Arial Rounded MT Bold" w:cs="Arial"/>
                <w:bCs/>
                <w:sz w:val="20"/>
                <w:szCs w:val="20"/>
                <w:vertAlign w:val="superscript"/>
              </w:rPr>
              <w:t>2</w:t>
            </w:r>
            <w:r w:rsidRPr="00983FC7">
              <w:rPr>
                <w:rFonts w:cs="Arial"/>
                <w:bCs/>
                <w:sz w:val="20"/>
                <w:szCs w:val="20"/>
              </w:rPr>
              <w:t>)</w:t>
            </w:r>
          </w:p>
        </w:tc>
      </w:tr>
      <w:tr w:rsidR="00D47B2F" w:rsidRPr="00983FC7">
        <w:trPr>
          <w:jc w:val="center"/>
        </w:trPr>
        <w:tc>
          <w:tcPr>
            <w:tcW w:w="3465" w:type="dxa"/>
            <w:shd w:val="clear" w:color="auto" w:fill="auto"/>
            <w:vAlign w:val="center"/>
          </w:tcPr>
          <w:p w:rsidR="00D47B2F" w:rsidRPr="00983FC7" w:rsidRDefault="00D47B2F" w:rsidP="00B51B51">
            <w:pPr>
              <w:widowControl w:val="0"/>
              <w:rPr>
                <w:rFonts w:cs="Arial"/>
                <w:sz w:val="20"/>
                <w:szCs w:val="20"/>
              </w:rPr>
            </w:pPr>
            <w:r>
              <w:rPr>
                <w:rFonts w:cs="Arial"/>
                <w:sz w:val="20"/>
                <w:szCs w:val="20"/>
              </w:rPr>
              <w:t>Primera Sección del Río Tinguiririca</w:t>
            </w:r>
          </w:p>
        </w:tc>
        <w:tc>
          <w:tcPr>
            <w:tcW w:w="1521" w:type="dxa"/>
            <w:shd w:val="clear" w:color="auto" w:fill="auto"/>
            <w:vAlign w:val="center"/>
          </w:tcPr>
          <w:p w:rsidR="00D47B2F" w:rsidRPr="00983FC7" w:rsidRDefault="00D47B2F" w:rsidP="00B51B51">
            <w:pPr>
              <w:widowControl w:val="0"/>
              <w:jc w:val="center"/>
              <w:rPr>
                <w:rFonts w:cs="Arial"/>
                <w:sz w:val="20"/>
                <w:szCs w:val="20"/>
              </w:rPr>
            </w:pPr>
            <w:r>
              <w:rPr>
                <w:rFonts w:cs="Arial"/>
                <w:sz w:val="20"/>
                <w:szCs w:val="20"/>
              </w:rPr>
              <w:t>80</w:t>
            </w:r>
          </w:p>
        </w:tc>
        <w:tc>
          <w:tcPr>
            <w:tcW w:w="1275" w:type="dxa"/>
            <w:shd w:val="clear" w:color="auto" w:fill="auto"/>
            <w:vAlign w:val="center"/>
          </w:tcPr>
          <w:p w:rsidR="00D47B2F" w:rsidRPr="00983FC7" w:rsidRDefault="00D47B2F" w:rsidP="00B51B51">
            <w:pPr>
              <w:widowControl w:val="0"/>
              <w:jc w:val="center"/>
              <w:rPr>
                <w:rFonts w:cs="Arial"/>
                <w:sz w:val="20"/>
                <w:szCs w:val="20"/>
              </w:rPr>
            </w:pPr>
            <w:r>
              <w:rPr>
                <w:rFonts w:cs="Arial"/>
                <w:sz w:val="20"/>
                <w:szCs w:val="20"/>
              </w:rPr>
              <w:t>16-03-1983</w:t>
            </w:r>
          </w:p>
        </w:tc>
        <w:tc>
          <w:tcPr>
            <w:tcW w:w="1668" w:type="dxa"/>
            <w:shd w:val="clear" w:color="auto" w:fill="auto"/>
            <w:noWrap/>
            <w:vAlign w:val="center"/>
          </w:tcPr>
          <w:p w:rsidR="00D47B2F" w:rsidRPr="00983FC7" w:rsidRDefault="00D47B2F" w:rsidP="00B51B51">
            <w:pPr>
              <w:widowControl w:val="0"/>
              <w:jc w:val="center"/>
              <w:rPr>
                <w:rFonts w:cs="Arial"/>
                <w:sz w:val="20"/>
                <w:szCs w:val="20"/>
              </w:rPr>
            </w:pPr>
            <w:r w:rsidRPr="00B510A5">
              <w:rPr>
                <w:rFonts w:cs="Arial"/>
                <w:sz w:val="20"/>
                <w:szCs w:val="20"/>
              </w:rPr>
              <w:t>3.083,70</w:t>
            </w:r>
          </w:p>
        </w:tc>
      </w:tr>
      <w:tr w:rsidR="00D47B2F" w:rsidRPr="00983FC7">
        <w:trPr>
          <w:jc w:val="center"/>
        </w:trPr>
        <w:tc>
          <w:tcPr>
            <w:tcW w:w="3465" w:type="dxa"/>
            <w:shd w:val="clear" w:color="auto" w:fill="auto"/>
            <w:vAlign w:val="center"/>
          </w:tcPr>
          <w:p w:rsidR="00D47B2F" w:rsidRPr="00983FC7" w:rsidRDefault="00D47B2F" w:rsidP="00B51B51">
            <w:pPr>
              <w:widowControl w:val="0"/>
              <w:rPr>
                <w:rFonts w:cs="Arial"/>
                <w:sz w:val="20"/>
                <w:szCs w:val="20"/>
              </w:rPr>
            </w:pPr>
            <w:r>
              <w:rPr>
                <w:rFonts w:cs="Arial"/>
                <w:sz w:val="20"/>
                <w:szCs w:val="20"/>
              </w:rPr>
              <w:t>Estero Chimbarongo y sus Afluentes</w:t>
            </w:r>
          </w:p>
        </w:tc>
        <w:tc>
          <w:tcPr>
            <w:tcW w:w="1521" w:type="dxa"/>
            <w:shd w:val="clear" w:color="auto" w:fill="auto"/>
            <w:vAlign w:val="center"/>
          </w:tcPr>
          <w:p w:rsidR="00D47B2F" w:rsidRPr="00983FC7" w:rsidRDefault="00D47B2F" w:rsidP="00B51B51">
            <w:pPr>
              <w:widowControl w:val="0"/>
              <w:jc w:val="center"/>
              <w:rPr>
                <w:rFonts w:cs="Arial"/>
                <w:sz w:val="20"/>
                <w:szCs w:val="20"/>
              </w:rPr>
            </w:pPr>
            <w:r>
              <w:rPr>
                <w:rFonts w:cs="Arial"/>
                <w:sz w:val="20"/>
                <w:szCs w:val="20"/>
              </w:rPr>
              <w:t>894</w:t>
            </w:r>
          </w:p>
        </w:tc>
        <w:tc>
          <w:tcPr>
            <w:tcW w:w="1275" w:type="dxa"/>
            <w:shd w:val="clear" w:color="auto" w:fill="auto"/>
            <w:vAlign w:val="center"/>
          </w:tcPr>
          <w:p w:rsidR="00D47B2F" w:rsidRPr="00983FC7" w:rsidRDefault="00D47B2F" w:rsidP="00B51B51">
            <w:pPr>
              <w:widowControl w:val="0"/>
              <w:jc w:val="center"/>
              <w:rPr>
                <w:rFonts w:cs="Arial"/>
                <w:sz w:val="20"/>
                <w:szCs w:val="20"/>
              </w:rPr>
            </w:pPr>
            <w:r>
              <w:rPr>
                <w:rFonts w:cs="Arial"/>
                <w:sz w:val="20"/>
                <w:szCs w:val="20"/>
              </w:rPr>
              <w:t>05-11-1999</w:t>
            </w:r>
          </w:p>
        </w:tc>
        <w:tc>
          <w:tcPr>
            <w:tcW w:w="1668" w:type="dxa"/>
            <w:shd w:val="clear" w:color="auto" w:fill="auto"/>
            <w:noWrap/>
            <w:vAlign w:val="center"/>
          </w:tcPr>
          <w:p w:rsidR="00D47B2F" w:rsidRPr="00983FC7" w:rsidRDefault="00D47B2F" w:rsidP="00B51B51">
            <w:pPr>
              <w:widowControl w:val="0"/>
              <w:jc w:val="center"/>
              <w:rPr>
                <w:rFonts w:cs="Arial"/>
                <w:sz w:val="20"/>
                <w:szCs w:val="20"/>
              </w:rPr>
            </w:pPr>
            <w:r>
              <w:rPr>
                <w:rFonts w:ascii="Helvetica" w:hAnsi="Helvetica" w:cs="Helvetica"/>
                <w:color w:val="333333"/>
                <w:sz w:val="18"/>
                <w:szCs w:val="18"/>
                <w:shd w:val="clear" w:color="auto" w:fill="F7F7F7"/>
              </w:rPr>
              <w:t>848,47</w:t>
            </w:r>
          </w:p>
        </w:tc>
      </w:tr>
    </w:tbl>
    <w:p w:rsidR="00D47B2F" w:rsidRPr="00064701" w:rsidRDefault="00D47B2F" w:rsidP="00B51B51">
      <w:pPr>
        <w:widowControl w:val="0"/>
        <w:rPr>
          <w:rFonts w:cs="Arial"/>
          <w:szCs w:val="22"/>
        </w:rPr>
      </w:pPr>
    </w:p>
    <w:p w:rsidR="00D47B2F" w:rsidRPr="000A582E" w:rsidRDefault="00D47B2F" w:rsidP="00B51B51">
      <w:pPr>
        <w:pStyle w:val="Ttulo2"/>
        <w:keepNext w:val="0"/>
      </w:pPr>
      <w:bookmarkStart w:id="48" w:name="_Toc338179085"/>
      <w:bookmarkStart w:id="49" w:name="_Toc344391742"/>
      <w:r w:rsidRPr="000A582E">
        <w:t>Antecedentes Hidrogeológicos</w:t>
      </w:r>
      <w:bookmarkEnd w:id="48"/>
      <w:bookmarkEnd w:id="49"/>
    </w:p>
    <w:p w:rsidR="00D47B2F" w:rsidRPr="000A582E" w:rsidRDefault="00D47B2F" w:rsidP="00B51B51">
      <w:pPr>
        <w:widowControl w:val="0"/>
      </w:pPr>
    </w:p>
    <w:p w:rsidR="00D47B2F" w:rsidRPr="000A582E" w:rsidRDefault="00D47B2F" w:rsidP="00B51B51">
      <w:pPr>
        <w:widowControl w:val="0"/>
      </w:pPr>
      <w:r w:rsidRPr="000A582E">
        <w:t>Se realizó la recopilación de los antecedentes que permitirán c</w:t>
      </w:r>
      <w:r>
        <w:t xml:space="preserve">aracterizar la hidrologeología </w:t>
      </w:r>
      <w:r w:rsidRPr="000A582E">
        <w:t>de las cuencas de la región. A continuación se resume los antecedentes recopilados, compuestos por información estadística o de monitoreo y estudios anteriores.</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Se solicitó y recopiló en el Centro de Información de Recursos Hídricos (CIRH) de </w:t>
      </w:r>
      <w:smartTag w:uri="urn:schemas-microsoft-com:office:smarttags" w:element="PersonName">
        <w:smartTagPr>
          <w:attr w:name="ProductID" w:val="la DGA"/>
        </w:smartTagPr>
        <w:r w:rsidRPr="000A582E">
          <w:rPr>
            <w:rFonts w:cs="Arial"/>
            <w:szCs w:val="22"/>
            <w:lang w:val="es-CL"/>
          </w:rPr>
          <w:t>la DGA</w:t>
        </w:r>
      </w:smartTag>
      <w:r w:rsidRPr="000A582E">
        <w:rPr>
          <w:rFonts w:cs="Arial"/>
          <w:szCs w:val="22"/>
          <w:lang w:val="es-CL"/>
        </w:rPr>
        <w:t xml:space="preserve">, las estadísticas de mediciones de niveles de aguas subterráneas asociadas a la red de estaciones de monitoreo instaladas en </w:t>
      </w:r>
      <w:smartTag w:uri="urn:schemas-microsoft-com:office:smarttags" w:element="PersonName">
        <w:smartTagPr>
          <w:attr w:name="ProductID" w:val="la VI"/>
        </w:smartTagPr>
        <w:r w:rsidRPr="000A582E">
          <w:rPr>
            <w:rFonts w:cs="Arial"/>
            <w:szCs w:val="22"/>
            <w:lang w:val="es-CL"/>
          </w:rPr>
          <w:t>la VI</w:t>
        </w:r>
      </w:smartTag>
      <w:r w:rsidRPr="000A582E">
        <w:rPr>
          <w:rFonts w:cs="Arial"/>
          <w:szCs w:val="22"/>
          <w:lang w:val="es-CL"/>
        </w:rPr>
        <w:t xml:space="preserve"> región de O</w:t>
      </w:r>
      <w:r>
        <w:rPr>
          <w:rFonts w:cs="Arial"/>
          <w:szCs w:val="22"/>
          <w:lang w:val="es-CL"/>
        </w:rPr>
        <w:t>’H</w:t>
      </w:r>
      <w:r w:rsidRPr="000A582E">
        <w:rPr>
          <w:rFonts w:cs="Arial"/>
          <w:szCs w:val="22"/>
          <w:lang w:val="es-CL"/>
        </w:rPr>
        <w:t>iggins. Estas estadísticas se utilizarán fundamentalmente para completar y actualizar las estadísticas utilizadas en estudios anteriores y de este modo visualizar y cuantificar tendencias históricas del comportamiento de los niveles de aguas subterráneas en las diferentes cuencas existentes en la región.</w:t>
      </w:r>
    </w:p>
    <w:p w:rsidR="00D47B2F" w:rsidRPr="000A582E" w:rsidRDefault="00D47B2F" w:rsidP="00B51B51">
      <w:pPr>
        <w:widowControl w:val="0"/>
        <w:rPr>
          <w:rFonts w:cs="Arial"/>
          <w:szCs w:val="22"/>
          <w:lang w:val="es-CL"/>
        </w:rPr>
      </w:pPr>
    </w:p>
    <w:p w:rsidR="00D47B2F" w:rsidRDefault="00D47B2F" w:rsidP="00B51B51">
      <w:pPr>
        <w:widowControl w:val="0"/>
        <w:rPr>
          <w:rFonts w:cs="Arial"/>
          <w:szCs w:val="22"/>
          <w:lang w:val="es-CL"/>
        </w:rPr>
      </w:pPr>
      <w:r>
        <w:rPr>
          <w:rFonts w:cs="Arial"/>
          <w:szCs w:val="22"/>
          <w:lang w:val="es-CL"/>
        </w:rPr>
        <w:t xml:space="preserve">En </w:t>
      </w:r>
      <w:smartTag w:uri="urn:schemas-microsoft-com:office:smarttags" w:element="PersonName">
        <w:smartTagPr>
          <w:attr w:name="ProductID" w:val="la ￼￼￼￼￼￼￼￼￼￼￼￼￼￼￼￼￼￼￼￼￼￼￼￼￼￼￼￼￼￼￼￼￼￼￼￼￼￼￼￼￼Tabla"/>
        </w:smartTagPr>
        <w:r>
          <w:rPr>
            <w:rFonts w:cs="Arial"/>
            <w:szCs w:val="22"/>
            <w:lang w:val="es-CL"/>
          </w:rPr>
          <w:t>la</w:t>
        </w:r>
        <w:r w:rsidRPr="000A582E">
          <w:rPr>
            <w:rFonts w:cs="Arial"/>
            <w:szCs w:val="22"/>
            <w:lang w:val="es-CL"/>
          </w:rPr>
          <w:t xml:space="preserve"> </w:t>
        </w:r>
        <w:r w:rsidR="00F76146">
          <w:rPr>
            <w:rFonts w:cs="Arial"/>
            <w:szCs w:val="22"/>
            <w:lang w:val="es-CL"/>
          </w:rPr>
          <w:fldChar w:fldCharType="begin"/>
        </w:r>
        <w:r w:rsidR="00F76146">
          <w:rPr>
            <w:rFonts w:cs="Arial"/>
            <w:szCs w:val="22"/>
            <w:lang w:val="es-CL"/>
          </w:rPr>
          <w:instrText xml:space="preserve"> REF _Ref344306640 \h </w:instrText>
        </w:r>
        <w:r w:rsidR="001D6285" w:rsidRPr="00F76146">
          <w:rPr>
            <w:rFonts w:cs="Arial"/>
            <w:szCs w:val="22"/>
            <w:lang w:val="es-CL"/>
          </w:rPr>
        </w:r>
        <w:r w:rsidR="00F76146">
          <w:rPr>
            <w:rFonts w:cs="Arial"/>
            <w:szCs w:val="22"/>
            <w:lang w:val="es-CL"/>
          </w:rPr>
          <w:fldChar w:fldCharType="separate"/>
        </w:r>
        <w:r w:rsidR="00264070">
          <w:t>Tabla</w:t>
        </w:r>
      </w:smartTag>
      <w:r w:rsidR="00264070">
        <w:t xml:space="preserve"> </w:t>
      </w:r>
      <w:r w:rsidR="00264070">
        <w:rPr>
          <w:noProof/>
        </w:rPr>
        <w:t>2</w:t>
      </w:r>
      <w:r w:rsidR="00264070">
        <w:t>.</w:t>
      </w:r>
      <w:r w:rsidR="00264070">
        <w:rPr>
          <w:noProof/>
        </w:rPr>
        <w:t>16</w:t>
      </w:r>
      <w:r w:rsidR="00F76146">
        <w:rPr>
          <w:rFonts w:cs="Arial"/>
          <w:szCs w:val="22"/>
          <w:lang w:val="es-CL"/>
        </w:rPr>
        <w:fldChar w:fldCharType="end"/>
      </w:r>
      <w:r w:rsidR="00F76146">
        <w:rPr>
          <w:rFonts w:cs="Arial"/>
          <w:szCs w:val="22"/>
          <w:lang w:val="es-CL"/>
        </w:rPr>
        <w:t xml:space="preserve"> </w:t>
      </w:r>
      <w:r w:rsidRPr="000A582E">
        <w:rPr>
          <w:rFonts w:cs="Arial"/>
          <w:szCs w:val="22"/>
          <w:lang w:val="es-CL"/>
        </w:rPr>
        <w:t xml:space="preserve">se identifican las 178 estaciones de medición de niveles de aguas subterráneas existentes en la región y en el Plano </w:t>
      </w:r>
      <w:r>
        <w:rPr>
          <w:rFonts w:cs="Arial"/>
          <w:szCs w:val="22"/>
          <w:lang w:val="es-CL"/>
        </w:rPr>
        <w:t>2</w:t>
      </w:r>
      <w:r w:rsidRPr="000A582E">
        <w:rPr>
          <w:rFonts w:cs="Arial"/>
          <w:szCs w:val="22"/>
          <w:lang w:val="es-CL"/>
        </w:rPr>
        <w:t xml:space="preserve"> se muestra su ubicación geográfica. Adicionalmente en la tabla adjun</w:t>
      </w:r>
      <w:r>
        <w:rPr>
          <w:rFonts w:cs="Arial"/>
          <w:szCs w:val="22"/>
          <w:lang w:val="es-CL"/>
        </w:rPr>
        <w:t>ta se indica el año de inicio y tér</w:t>
      </w:r>
      <w:r w:rsidRPr="000A582E">
        <w:rPr>
          <w:rFonts w:cs="Arial"/>
          <w:szCs w:val="22"/>
          <w:lang w:val="es-CL"/>
        </w:rPr>
        <w:t xml:space="preserve">mino de los registros existentes, así como también los años con mediciones. </w:t>
      </w:r>
    </w:p>
    <w:p w:rsidR="006C3D5B" w:rsidRPr="000A582E" w:rsidRDefault="006C3D5B" w:rsidP="00B51B51">
      <w:pPr>
        <w:widowControl w:val="0"/>
        <w:rPr>
          <w:rFonts w:cs="Arial"/>
          <w:szCs w:val="22"/>
          <w:lang w:val="es-CL"/>
        </w:rPr>
      </w:pPr>
    </w:p>
    <w:p w:rsidR="00D47B2F" w:rsidRDefault="00F93622" w:rsidP="00B51B51">
      <w:pPr>
        <w:pStyle w:val="Epgrafe"/>
        <w:widowControl w:val="0"/>
      </w:pPr>
      <w:bookmarkStart w:id="50" w:name="_Ref338165795"/>
      <w:r>
        <w:br w:type="page"/>
      </w:r>
      <w:bookmarkStart w:id="51" w:name="_Ref344306640"/>
      <w:r w:rsidR="00D47B2F">
        <w:lastRenderedPageBreak/>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16</w:t>
      </w:r>
      <w:r w:rsidR="007F3102">
        <w:fldChar w:fldCharType="end"/>
      </w:r>
      <w:bookmarkEnd w:id="50"/>
      <w:bookmarkEnd w:id="51"/>
      <w:r w:rsidR="00D47B2F">
        <w:t xml:space="preserve"> </w:t>
      </w:r>
      <w:r w:rsidR="00D47B2F" w:rsidRPr="00D75DE3">
        <w:t>Listado de Estaciones de Monitoreo VI Región</w:t>
      </w:r>
    </w:p>
    <w:tbl>
      <w:tblPr>
        <w:tblW w:w="9660" w:type="dxa"/>
        <w:tblInd w:w="55" w:type="dxa"/>
        <w:tblCellMar>
          <w:left w:w="70" w:type="dxa"/>
          <w:right w:w="70" w:type="dxa"/>
        </w:tblCellMar>
        <w:tblLook w:val="0000" w:firstRow="0" w:lastRow="0" w:firstColumn="0" w:lastColumn="0" w:noHBand="0" w:noVBand="0"/>
      </w:tblPr>
      <w:tblGrid>
        <w:gridCol w:w="441"/>
        <w:gridCol w:w="1191"/>
        <w:gridCol w:w="3471"/>
        <w:gridCol w:w="839"/>
        <w:gridCol w:w="1272"/>
        <w:gridCol w:w="1269"/>
        <w:gridCol w:w="1177"/>
      </w:tblGrid>
      <w:tr w:rsidR="00D47B2F" w:rsidRPr="00D75DE3">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ID</w:t>
            </w:r>
          </w:p>
        </w:tc>
        <w:tc>
          <w:tcPr>
            <w:tcW w:w="1191"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Código BNA</w:t>
            </w:r>
          </w:p>
        </w:tc>
        <w:tc>
          <w:tcPr>
            <w:tcW w:w="3471"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Nombre Estación</w:t>
            </w:r>
          </w:p>
        </w:tc>
        <w:tc>
          <w:tcPr>
            <w:tcW w:w="839"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Vigente</w:t>
            </w:r>
          </w:p>
        </w:tc>
        <w:tc>
          <w:tcPr>
            <w:tcW w:w="1272"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Fecha Instalación</w:t>
            </w:r>
          </w:p>
        </w:tc>
        <w:tc>
          <w:tcPr>
            <w:tcW w:w="1269"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Fecha Supresión</w:t>
            </w:r>
          </w:p>
        </w:tc>
        <w:tc>
          <w:tcPr>
            <w:tcW w:w="1177" w:type="dxa"/>
            <w:tcBorders>
              <w:top w:val="single" w:sz="4" w:space="0" w:color="auto"/>
              <w:left w:val="nil"/>
              <w:bottom w:val="single" w:sz="4" w:space="0" w:color="auto"/>
              <w:right w:val="single" w:sz="4" w:space="0" w:color="auto"/>
            </w:tcBorders>
            <w:shd w:val="clear" w:color="auto" w:fill="auto"/>
            <w:vAlign w:val="center"/>
          </w:tcPr>
          <w:p w:rsidR="00D47B2F" w:rsidRPr="00B510A5" w:rsidRDefault="00D47B2F" w:rsidP="00B51B51">
            <w:pPr>
              <w:widowControl w:val="0"/>
              <w:jc w:val="center"/>
              <w:rPr>
                <w:rFonts w:cs="Arial"/>
                <w:bCs/>
                <w:color w:val="000000"/>
                <w:sz w:val="16"/>
                <w:szCs w:val="16"/>
              </w:rPr>
            </w:pPr>
            <w:r w:rsidRPr="00B510A5">
              <w:rPr>
                <w:rFonts w:cs="Arial"/>
                <w:bCs/>
                <w:color w:val="000000"/>
                <w:sz w:val="16"/>
                <w:szCs w:val="16"/>
              </w:rPr>
              <w:t>Último Año Medición</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06010017-9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Yungay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15-05-1970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06010018-7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Centro Frutícola O'H</w:t>
            </w:r>
            <w:r w:rsidRPr="00D75DE3">
              <w:rPr>
                <w:rFonts w:cs="Arial"/>
                <w:sz w:val="16"/>
                <w:szCs w:val="16"/>
              </w:rPr>
              <w:t xml:space="preserve">iggins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21-08-2001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2003</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06010019-5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Sauzal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15-04-2002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2003</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06011004-2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Indura Graneros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06011005-0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C. Cortes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06011006-9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C. Cortes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06011007-7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Graneros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06011008-5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 xml:space="preserve">Pueblo </w:t>
            </w:r>
            <w:smartTag w:uri="urn:schemas-microsoft-com:office:smarttags" w:element="PersonName">
              <w:smartTagPr>
                <w:attr w:name="ProductID" w:val="La Compañía"/>
              </w:smartTagPr>
              <w:r>
                <w:rPr>
                  <w:rFonts w:cs="Arial"/>
                  <w:sz w:val="16"/>
                  <w:szCs w:val="16"/>
                </w:rPr>
                <w:t>La Compañ</w:t>
              </w:r>
              <w:r w:rsidRPr="00D75DE3">
                <w:rPr>
                  <w:rFonts w:cs="Arial"/>
                  <w:sz w:val="16"/>
                  <w:szCs w:val="16"/>
                </w:rPr>
                <w:t>ía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01/01/70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02-12-1970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06011009-3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 xml:space="preserve">Pueblo </w:t>
            </w:r>
            <w:smartTag w:uri="urn:schemas-microsoft-com:office:smarttags" w:element="PersonName">
              <w:smartTagPr>
                <w:attr w:name="ProductID" w:val="La Compañía"/>
              </w:smartTagPr>
              <w:r>
                <w:rPr>
                  <w:rFonts w:cs="Arial"/>
                  <w:sz w:val="16"/>
                  <w:szCs w:val="16"/>
                </w:rPr>
                <w:t>La Compañ</w:t>
              </w:r>
              <w:r w:rsidRPr="00D75DE3">
                <w:rPr>
                  <w:rFonts w:cs="Arial"/>
                  <w:sz w:val="16"/>
                  <w:szCs w:val="16"/>
                </w:rPr>
                <w:t>ía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08-04-1970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06011010-7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Asentamiento C. Corté</w:t>
            </w:r>
            <w:r w:rsidRPr="00D75DE3">
              <w:rPr>
                <w:rFonts w:cs="Arial"/>
                <w:sz w:val="16"/>
                <w:szCs w:val="16"/>
              </w:rPr>
              <w:t xml:space="preserve">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11-02-2002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06011011-5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Asentamiento C. Corté</w:t>
            </w:r>
            <w:r w:rsidRPr="00D75DE3">
              <w:rPr>
                <w:rFonts w:cs="Arial"/>
                <w:sz w:val="16"/>
                <w:szCs w:val="16"/>
              </w:rPr>
              <w:t xml:space="preserve">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24-08-2001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06011012-3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Santa Filomena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06011013-1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w:t>
            </w:r>
            <w:smartTag w:uri="urn:schemas-microsoft-com:office:smarttags" w:element="PersonName">
              <w:smartTagPr>
                <w:attr w:name="ProductID" w:val="La Gamboina"/>
              </w:smartTagPr>
              <w:r w:rsidRPr="00D75DE3">
                <w:rPr>
                  <w:rFonts w:cs="Arial"/>
                  <w:sz w:val="16"/>
                  <w:szCs w:val="16"/>
                </w:rPr>
                <w:t>La Gamboina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21-01-1972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06011014-K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Parcela Las 2 Marías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06011015-8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Huerto Fenix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01/12/71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04-04-1972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06011016-6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Fiat Chilena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25183</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13-04-1969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1969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06011017-4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 xml:space="preserve">Fundo </w:t>
            </w:r>
            <w:smartTag w:uri="urn:schemas-microsoft-com:office:smarttags" w:element="PersonName">
              <w:smartTagPr>
                <w:attr w:name="ProductID" w:val="La Cabaña"/>
              </w:smartTagPr>
              <w:r>
                <w:rPr>
                  <w:rFonts w:cs="Arial"/>
                  <w:sz w:val="16"/>
                  <w:szCs w:val="16"/>
                </w:rPr>
                <w:t>La Cabañ</w:t>
              </w:r>
              <w:r w:rsidRPr="00D75DE3">
                <w:rPr>
                  <w:rFonts w:cs="Arial"/>
                  <w:sz w:val="16"/>
                  <w:szCs w:val="16"/>
                </w:rPr>
                <w:t>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04-04-1972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06011018-2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Fabrica Chiprodal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01/06/62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07-04-1971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06011019-0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Graneros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06011020-4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Fiat Chilena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21-1294</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1994</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06011021-2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Tuniche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04-04-1972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06011022-0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Barrio Industrial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01/05/69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06011023-9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Pedro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06011024-7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Molinos Quemados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25/08/89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06012004-8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Jose Cuatro Hijuelas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15-09-1970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06012005-6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El Abra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01/01/70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06012006-4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Criadero El Bosque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06/02/69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03-11-1971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06012007-2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El Bosque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25184</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06012008-0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Lo Miranda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03-11-1971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06012009-9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Lo Miranda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06012010-2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D84361" w:rsidP="00B51B51">
            <w:pPr>
              <w:widowControl w:val="0"/>
              <w:jc w:val="left"/>
              <w:rPr>
                <w:rFonts w:cs="Arial"/>
                <w:sz w:val="16"/>
                <w:szCs w:val="16"/>
              </w:rPr>
            </w:pPr>
            <w:r w:rsidRPr="00D75DE3">
              <w:rPr>
                <w:rFonts w:cs="Arial"/>
                <w:sz w:val="16"/>
                <w:szCs w:val="16"/>
              </w:rPr>
              <w:t>Álamos</w:t>
            </w:r>
            <w:r w:rsidR="0061726C" w:rsidRPr="00D75DE3">
              <w:rPr>
                <w:rFonts w:cs="Arial"/>
                <w:sz w:val="16"/>
                <w:szCs w:val="16"/>
              </w:rPr>
              <w:t xml:space="preserve"> Quemados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06012011-0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Doñihue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06012012-9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Coinco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06012013-7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El Rulo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05-05-1971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06012014-5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Pueblo C</w:t>
            </w:r>
            <w:r>
              <w:rPr>
                <w:rFonts w:cs="Arial"/>
                <w:sz w:val="16"/>
                <w:szCs w:val="16"/>
              </w:rPr>
              <w:t>opequé</w:t>
            </w:r>
            <w:r w:rsidRPr="00D75DE3">
              <w:rPr>
                <w:rFonts w:cs="Arial"/>
                <w:sz w:val="16"/>
                <w:szCs w:val="16"/>
              </w:rPr>
              <w:t xml:space="preserve">n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06012015-3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Coltauco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01/02/70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03-11-1971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06012016-1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Viña El Molino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38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06012017-K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Coinco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39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06012018-8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Coltauco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01/01/70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19/03/03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1989</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06012019-6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Asentamiento Choapino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31/07/89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06013007-8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Popeta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01/06/81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06014003-0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Asentamiento Santa Anita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01/06/69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06014004-9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Cerrillos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08-07-1970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06014005-7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Fundo Pichiguao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01/01/70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23-03-1972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06014006-5</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Rosario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01/10/54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24-03-1972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06014007-3</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Rosario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01/10/54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11-01-1972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06014008-1</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 </w:t>
            </w:r>
            <w:smartTag w:uri="urn:schemas-microsoft-com:office:smarttags" w:element="PersonName">
              <w:smartTagPr>
                <w:attr w:name="ProductID" w:val="La Ariana"/>
              </w:smartTagPr>
              <w:r w:rsidRPr="008240BE">
                <w:rPr>
                  <w:rFonts w:cs="Arial"/>
                  <w:sz w:val="16"/>
                  <w:szCs w:val="16"/>
                </w:rPr>
                <w:t>La Ariana</w:t>
              </w:r>
            </w:smartTag>
            <w:r w:rsidRPr="008240BE">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26/10/89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06015004-4</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Malambo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01/11/67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49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06015005-2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Malambo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01/12/69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06015006-0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Industria Indac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01/11/69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13-10-1971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06015007-9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Rengo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01/10/70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08-06-1971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06015008-7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Fundo </w:t>
            </w:r>
            <w:smartTag w:uri="urn:schemas-microsoft-com:office:smarttags" w:element="PersonName">
              <w:smartTagPr>
                <w:attr w:name="ProductID" w:val="La Granja"/>
              </w:smartTagPr>
              <w:r w:rsidRPr="008240BE">
                <w:rPr>
                  <w:rFonts w:cs="Arial"/>
                  <w:sz w:val="16"/>
                  <w:szCs w:val="16"/>
                </w:rPr>
                <w:t>La Granja</w:t>
              </w:r>
            </w:smartTag>
            <w:r w:rsidRPr="008240BE">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25241</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04-11-1971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06015009-5</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Rengo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08-06-1971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1980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06015010-9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Rengo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01/06/60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04-11-1971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1980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06015011-7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Industria Ticino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01/06/52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08-06-1971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06015012-5</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Panquehue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06015013-3</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Quinta De Tilcoco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16-10-2001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06015014-1</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Quinta De Tilcoco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01/09/70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16-10-2001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59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06015015-K</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Corcolen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01/09/66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04-11-1971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06015016-8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Zuñiga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12-01-1972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06015017-6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Cartagena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01/09/66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06015018-4</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Viña Santa Lucia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bl>
    <w:p w:rsidR="00F93622" w:rsidRDefault="00F93622" w:rsidP="00F93622">
      <w:pPr>
        <w:pStyle w:val="Epgrafe"/>
        <w:widowControl w:val="0"/>
      </w:pPr>
      <w:r>
        <w:lastRenderedPageBreak/>
        <w:t xml:space="preserve">Tabla </w:t>
      </w:r>
      <w:r>
        <w:fldChar w:fldCharType="begin"/>
      </w:r>
      <w:r>
        <w:instrText xml:space="preserve"> STYLEREF 1 \s </w:instrText>
      </w:r>
      <w:r>
        <w:fldChar w:fldCharType="separate"/>
      </w:r>
      <w:r w:rsidR="00264070">
        <w:rPr>
          <w:noProof/>
        </w:rPr>
        <w:t>2</w:t>
      </w:r>
      <w:r>
        <w:fldChar w:fldCharType="end"/>
      </w:r>
      <w:r>
        <w:t>.1</w:t>
      </w:r>
      <w:r w:rsidR="00F76146">
        <w:t>6</w:t>
      </w:r>
      <w:r>
        <w:t xml:space="preserve"> </w:t>
      </w:r>
      <w:r w:rsidRPr="00D75DE3">
        <w:t>Listado de Estaciones de Monitoreo VI Región</w:t>
      </w:r>
      <w:r>
        <w:t xml:space="preserve"> (continuación)</w:t>
      </w:r>
    </w:p>
    <w:tbl>
      <w:tblPr>
        <w:tblW w:w="9660" w:type="dxa"/>
        <w:tblInd w:w="55" w:type="dxa"/>
        <w:tblCellMar>
          <w:left w:w="70" w:type="dxa"/>
          <w:right w:w="70" w:type="dxa"/>
        </w:tblCellMar>
        <w:tblLook w:val="0000" w:firstRow="0" w:lastRow="0" w:firstColumn="0" w:lastColumn="0" w:noHBand="0" w:noVBand="0"/>
      </w:tblPr>
      <w:tblGrid>
        <w:gridCol w:w="441"/>
        <w:gridCol w:w="1191"/>
        <w:gridCol w:w="3471"/>
        <w:gridCol w:w="839"/>
        <w:gridCol w:w="1272"/>
        <w:gridCol w:w="1269"/>
        <w:gridCol w:w="1177"/>
      </w:tblGrid>
      <w:tr w:rsidR="00F93622" w:rsidRPr="00D75DE3">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ID</w:t>
            </w:r>
          </w:p>
        </w:tc>
        <w:tc>
          <w:tcPr>
            <w:tcW w:w="1191"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Código BNA</w:t>
            </w:r>
          </w:p>
        </w:tc>
        <w:tc>
          <w:tcPr>
            <w:tcW w:w="3471"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Nombre Estación</w:t>
            </w:r>
          </w:p>
        </w:tc>
        <w:tc>
          <w:tcPr>
            <w:tcW w:w="839"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Vigente</w:t>
            </w:r>
          </w:p>
        </w:tc>
        <w:tc>
          <w:tcPr>
            <w:tcW w:w="1272"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Fecha Instalación</w:t>
            </w:r>
          </w:p>
        </w:tc>
        <w:tc>
          <w:tcPr>
            <w:tcW w:w="1269"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Fecha Supresión</w:t>
            </w:r>
          </w:p>
        </w:tc>
        <w:tc>
          <w:tcPr>
            <w:tcW w:w="1177"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Ultimo Año Medición</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06015019-2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Toquihua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01/05/68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06016005-8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Agua Buena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01/11/66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11-11-1971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06016006-6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Fundo Talcarehue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16-03-1972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06016007-4</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Fundo Talcarehue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11-11-1971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06016008-2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01/10/58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16-03-2000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06016009-0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01/02/59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11-11-1971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69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06016010-4</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01/09/58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06016011-2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Frigorifico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01/08/73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31-05-2000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06016012-0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Maggi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11-11-1971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06016013-9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El Tambo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09-07-1970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06016014-7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Pueblo Cuesta Gonzalez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01/02/67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31-01-2003</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2003</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06016015-5</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Enap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01/04/66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06017002-9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Pelequen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21-08-2001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76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06017003-7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61726C" w:rsidP="00B51B51">
            <w:pPr>
              <w:widowControl w:val="0"/>
              <w:jc w:val="left"/>
              <w:rPr>
                <w:rFonts w:cs="Arial"/>
                <w:sz w:val="16"/>
                <w:szCs w:val="16"/>
              </w:rPr>
            </w:pPr>
            <w:r w:rsidRPr="008240BE">
              <w:rPr>
                <w:rFonts w:cs="Arial"/>
                <w:sz w:val="16"/>
                <w:szCs w:val="16"/>
              </w:rPr>
              <w:t xml:space="preserve">A.P. Pelequen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01/04/68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77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06018011-3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Lo Rioja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10-04-1970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78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06018012-1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San Juan Manantial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20-01-1972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79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06018013-K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Millahue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06018014-8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Requegua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08-11-1971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06018015-6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Rastrojos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06018016-4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D84361" w:rsidP="00B51B51">
            <w:pPr>
              <w:widowControl w:val="0"/>
              <w:jc w:val="left"/>
              <w:rPr>
                <w:rFonts w:cs="Arial"/>
                <w:sz w:val="16"/>
                <w:szCs w:val="16"/>
              </w:rPr>
            </w:pPr>
            <w:r>
              <w:rPr>
                <w:rFonts w:cs="Arial"/>
                <w:sz w:val="16"/>
                <w:szCs w:val="16"/>
              </w:rPr>
              <w:t>Pueblo d</w:t>
            </w:r>
            <w:r w:rsidR="0061726C" w:rsidRPr="00D75DE3">
              <w:rPr>
                <w:rFonts w:cs="Arial"/>
                <w:sz w:val="16"/>
                <w:szCs w:val="16"/>
              </w:rPr>
              <w:t xml:space="preserve">e Indios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19-05-1989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06018017-2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San Vicente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01/03/70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2005</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06018018-0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San Vicente Ap 2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01/10/01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06019006-2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Peumo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20-06-2001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06019007-0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Estadio Peumo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06019008-9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w:t>
            </w:r>
            <w:smartTag w:uri="urn:schemas-microsoft-com:office:smarttags" w:element="PersonName">
              <w:smartTagPr>
                <w:attr w:name="ProductID" w:val="La Rosa Sofruco"/>
              </w:smartTagPr>
              <w:r w:rsidRPr="00D75DE3">
                <w:rPr>
                  <w:rFonts w:cs="Arial"/>
                  <w:sz w:val="16"/>
                  <w:szCs w:val="16"/>
                </w:rPr>
                <w:t>La Rosa Sofruco</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15-03-1972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06019009-7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Pichidegua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27-04-1989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89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06019010-0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Las Cabras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12-02-2003</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2003</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06019011-9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Cerro Pueblo Patagua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09-11-1971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06019012-7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Pichidegua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27-04-1989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8240BE" w:rsidP="00B51B51">
            <w:pPr>
              <w:widowControl w:val="0"/>
              <w:jc w:val="center"/>
              <w:rPr>
                <w:rFonts w:cs="Arial"/>
                <w:color w:val="000000"/>
                <w:sz w:val="16"/>
                <w:szCs w:val="16"/>
              </w:rPr>
            </w:pPr>
            <w:r>
              <w:br w:type="page"/>
            </w:r>
            <w:r w:rsidR="00F93622" w:rsidRPr="00D75DE3">
              <w:rPr>
                <w:rFonts w:cs="Arial"/>
                <w:color w:val="000000"/>
                <w:sz w:val="16"/>
                <w:szCs w:val="16"/>
              </w:rPr>
              <w:t xml:space="preserve"> </w:t>
            </w:r>
            <w:r w:rsidR="00D47B2F" w:rsidRPr="00D75DE3">
              <w:rPr>
                <w:rFonts w:cs="Arial"/>
                <w:color w:val="000000"/>
                <w:sz w:val="16"/>
                <w:szCs w:val="16"/>
              </w:rPr>
              <w:t>92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06019013-5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Las Cabras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12-02-2003</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06019014-3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Las Juntas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06019016-K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Peumo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20-06-2001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06030002-K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Tres Puentes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06030003-8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Tinguiririca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01/08/74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16-03-1972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06030004-6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w:t>
            </w:r>
            <w:smartTag w:uri="urn:schemas-microsoft-com:office:smarttags" w:element="PersonName">
              <w:smartTagPr>
                <w:attr w:name="ProductID" w:val="La Macarena"/>
              </w:smartTagPr>
              <w:r w:rsidRPr="00D75DE3">
                <w:rPr>
                  <w:rFonts w:cs="Arial"/>
                  <w:sz w:val="16"/>
                  <w:szCs w:val="16"/>
                </w:rPr>
                <w:t>La Macarena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01/11/64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06030005-4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El Recreo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01/10/58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07-04-1972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99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06030006-2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Vigna Santa Elisa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28-11-2000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06030007-0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w:t>
            </w:r>
            <w:smartTag w:uri="urn:schemas-microsoft-com:office:smarttags" w:element="PersonName">
              <w:smartTagPr>
                <w:attr w:name="ProductID" w:val="La Tuna"/>
              </w:smartTagPr>
              <w:r w:rsidRPr="00D75DE3">
                <w:rPr>
                  <w:rFonts w:cs="Arial"/>
                  <w:sz w:val="16"/>
                  <w:szCs w:val="16"/>
                </w:rPr>
                <w:t>La Tuna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01/01/72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06030008-9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Cuesta González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06030009-7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Inacap San Fernando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06030010-0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Peñuelas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14/09/89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06031001-7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Nancagua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01/01/58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06031002-5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Nancagua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01/09/57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30-11-2000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06031003-3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Santa Eugenia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30-11-2000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06031004-1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Agua Santa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09-11-1971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06031005-K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Agua Santa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19-01-1972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109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06032002-0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Codegua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06033004-2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Chimbarongo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14-05-2001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06033005-0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Chimbarongo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06033007-7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Enrique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01/03/65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21-03-2001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06033008-5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San Enrique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06034005-6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Convento Viejo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06034006-4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Viña San Luis</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10-11-1971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06034007-2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Puquillay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23-03-1972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06034008-0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El Monte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21-03-2001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06034009-9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Fundo San José d</w:t>
            </w:r>
            <w:r w:rsidRPr="00D75DE3">
              <w:rPr>
                <w:rFonts w:cs="Arial"/>
                <w:sz w:val="16"/>
                <w:szCs w:val="16"/>
              </w:rPr>
              <w:t xml:space="preserve">e Bolda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22-03-1972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119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06034010-2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Cunaco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06034011-0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Santa Rosa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26-01-1988</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1988</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06034012-9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Santa Cruz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10-06-1970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06034013-7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Santa Cruz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01/04/61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18-11-1971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06034014-5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w:t>
            </w:r>
            <w:smartTag w:uri="urn:schemas-microsoft-com:office:smarttags" w:element="PersonName">
              <w:smartTagPr>
                <w:attr w:name="ProductID" w:val="La Tuna"/>
              </w:smartTagPr>
              <w:r w:rsidRPr="00D75DE3">
                <w:rPr>
                  <w:rFonts w:cs="Arial"/>
                  <w:sz w:val="16"/>
                  <w:szCs w:val="16"/>
                </w:rPr>
                <w:t>La Tuna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01/05/69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04-09-2001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06034015-3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Santa Cruz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10-06-1970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bl>
    <w:p w:rsidR="00F93622" w:rsidRDefault="00F93622" w:rsidP="00F93622">
      <w:pPr>
        <w:pStyle w:val="Epgrafe"/>
        <w:widowControl w:val="0"/>
      </w:pPr>
      <w:r>
        <w:lastRenderedPageBreak/>
        <w:t xml:space="preserve">Tabla </w:t>
      </w:r>
      <w:r>
        <w:fldChar w:fldCharType="begin"/>
      </w:r>
      <w:r>
        <w:instrText xml:space="preserve"> STYLEREF 1 \s </w:instrText>
      </w:r>
      <w:r>
        <w:fldChar w:fldCharType="separate"/>
      </w:r>
      <w:r w:rsidR="00264070">
        <w:rPr>
          <w:noProof/>
        </w:rPr>
        <w:t>2</w:t>
      </w:r>
      <w:r>
        <w:fldChar w:fldCharType="end"/>
      </w:r>
      <w:r>
        <w:t>.1</w:t>
      </w:r>
      <w:r w:rsidR="00F76146">
        <w:t>6</w:t>
      </w:r>
      <w:r>
        <w:t xml:space="preserve"> </w:t>
      </w:r>
      <w:r w:rsidRPr="00D75DE3">
        <w:t>Listado de Estaciones de Monitoreo VI Región</w:t>
      </w:r>
      <w:r>
        <w:t xml:space="preserve"> (continuación)</w:t>
      </w:r>
    </w:p>
    <w:tbl>
      <w:tblPr>
        <w:tblW w:w="9660" w:type="dxa"/>
        <w:tblInd w:w="55" w:type="dxa"/>
        <w:tblCellMar>
          <w:left w:w="70" w:type="dxa"/>
          <w:right w:w="70" w:type="dxa"/>
        </w:tblCellMar>
        <w:tblLook w:val="0000" w:firstRow="0" w:lastRow="0" w:firstColumn="0" w:lastColumn="0" w:noHBand="0" w:noVBand="0"/>
      </w:tblPr>
      <w:tblGrid>
        <w:gridCol w:w="441"/>
        <w:gridCol w:w="1191"/>
        <w:gridCol w:w="3471"/>
        <w:gridCol w:w="839"/>
        <w:gridCol w:w="1272"/>
        <w:gridCol w:w="1269"/>
        <w:gridCol w:w="1177"/>
      </w:tblGrid>
      <w:tr w:rsidR="00F93622" w:rsidRPr="00D75DE3">
        <w:tc>
          <w:tcPr>
            <w:tcW w:w="441" w:type="dxa"/>
            <w:tcBorders>
              <w:top w:val="single" w:sz="4" w:space="0" w:color="auto"/>
              <w:left w:val="single" w:sz="4" w:space="0" w:color="auto"/>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ID</w:t>
            </w:r>
          </w:p>
        </w:tc>
        <w:tc>
          <w:tcPr>
            <w:tcW w:w="1191"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Código BNA</w:t>
            </w:r>
          </w:p>
        </w:tc>
        <w:tc>
          <w:tcPr>
            <w:tcW w:w="3471"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Nombre Estación</w:t>
            </w:r>
          </w:p>
        </w:tc>
        <w:tc>
          <w:tcPr>
            <w:tcW w:w="839"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Vigente</w:t>
            </w:r>
          </w:p>
        </w:tc>
        <w:tc>
          <w:tcPr>
            <w:tcW w:w="1272"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Fecha Instalación</w:t>
            </w:r>
          </w:p>
        </w:tc>
        <w:tc>
          <w:tcPr>
            <w:tcW w:w="1269"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Fecha Supresión</w:t>
            </w:r>
          </w:p>
        </w:tc>
        <w:tc>
          <w:tcPr>
            <w:tcW w:w="1177" w:type="dxa"/>
            <w:tcBorders>
              <w:top w:val="single" w:sz="4" w:space="0" w:color="auto"/>
              <w:left w:val="nil"/>
              <w:bottom w:val="single" w:sz="4" w:space="0" w:color="auto"/>
              <w:right w:val="single" w:sz="4" w:space="0" w:color="auto"/>
            </w:tcBorders>
            <w:shd w:val="clear" w:color="auto" w:fill="auto"/>
            <w:vAlign w:val="center"/>
          </w:tcPr>
          <w:p w:rsidR="00F93622" w:rsidRPr="00B510A5" w:rsidRDefault="00F93622" w:rsidP="001D6285">
            <w:pPr>
              <w:widowControl w:val="0"/>
              <w:jc w:val="center"/>
              <w:rPr>
                <w:rFonts w:cs="Arial"/>
                <w:bCs/>
                <w:color w:val="000000"/>
                <w:sz w:val="16"/>
                <w:szCs w:val="16"/>
              </w:rPr>
            </w:pPr>
            <w:r w:rsidRPr="00B510A5">
              <w:rPr>
                <w:rFonts w:cs="Arial"/>
                <w:bCs/>
                <w:color w:val="000000"/>
                <w:sz w:val="16"/>
                <w:szCs w:val="16"/>
              </w:rPr>
              <w:t>Ultimo Año Medición</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06034016-1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Santa Virginia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22-03-1972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06034017-K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w:t>
            </w:r>
            <w:smartTag w:uri="urn:schemas-microsoft-com:office:smarttags" w:element="PersonName">
              <w:smartTagPr>
                <w:attr w:name="ProductID" w:val="La Puerta"/>
              </w:smartTagPr>
              <w:r w:rsidRPr="00D75DE3">
                <w:rPr>
                  <w:rFonts w:cs="Arial"/>
                  <w:sz w:val="16"/>
                  <w:szCs w:val="16"/>
                </w:rPr>
                <w:t>La Puerta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06034018-8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w:t>
            </w:r>
            <w:smartTag w:uri="urn:schemas-microsoft-com:office:smarttags" w:element="PersonName">
              <w:smartTagPr>
                <w:attr w:name="ProductID" w:val="La Palma"/>
              </w:smartTagPr>
              <w:r w:rsidRPr="00D75DE3">
                <w:rPr>
                  <w:rFonts w:cs="Arial"/>
                  <w:sz w:val="16"/>
                  <w:szCs w:val="16"/>
                </w:rPr>
                <w:t>La Palma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01/08/73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06034019-6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Auquinco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01/05/67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129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06034020-K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Isla Del Guindo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19/07/89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06034021-8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smartTag w:uri="urn:schemas-microsoft-com:office:smarttags" w:element="PersonName">
              <w:smartTagPr>
                <w:attr w:name="ProductID" w:val="La Palma A.P"/>
              </w:smartTagPr>
              <w:r w:rsidRPr="00D75DE3">
                <w:rPr>
                  <w:rFonts w:cs="Arial"/>
                  <w:sz w:val="16"/>
                  <w:szCs w:val="16"/>
                </w:rPr>
                <w:t>La Palma A.P</w:t>
              </w:r>
            </w:smartTag>
            <w:r w:rsidRPr="00D75DE3">
              <w:rPr>
                <w:rFonts w:cs="Arial"/>
                <w:sz w:val="16"/>
                <w:szCs w:val="16"/>
              </w:rPr>
              <w:t xml:space="preserve">.R.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06035002-7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Talhuen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01/08/56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10-03-1971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1971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06035003-5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El Triunfo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01/07/56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11-09-2002</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2002</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06035004-3</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Unión Campesina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13-10-1980</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06035005-1</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Las Garzas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06035006-K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Ni Un Paso Atrás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01/07/61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05-12-1984</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1984</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06036002-2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A.P. Chepica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22/07/82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06037001-K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El Abra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31-07-1986</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1986</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06037002-8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Quinahue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01/11/69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14-05-2001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139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06037003-6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Quinahue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06037004-4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w:t>
            </w:r>
            <w:smartTag w:uri="urn:schemas-microsoft-com:office:smarttags" w:element="PersonName">
              <w:smartTagPr>
                <w:attr w:name="ProductID" w:val="La Patagua"/>
              </w:smartTagPr>
              <w:r w:rsidRPr="00D75DE3">
                <w:rPr>
                  <w:rFonts w:cs="Arial"/>
                  <w:sz w:val="16"/>
                  <w:szCs w:val="16"/>
                </w:rPr>
                <w:t>La Patagua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01/06/64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06037005-2</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Pueblo </w:t>
            </w:r>
            <w:smartTag w:uri="urn:schemas-microsoft-com:office:smarttags" w:element="PersonName">
              <w:smartTagPr>
                <w:attr w:name="ProductID" w:val="La Finca"/>
              </w:smartTagPr>
              <w:r w:rsidRPr="00D75DE3">
                <w:rPr>
                  <w:rFonts w:cs="Arial"/>
                  <w:sz w:val="16"/>
                  <w:szCs w:val="16"/>
                </w:rPr>
                <w:t>La Finca</w:t>
              </w:r>
            </w:smartTag>
            <w:r w:rsidRPr="00D75DE3">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01/09/67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06037006-0</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Asentamiento 21 d</w:t>
            </w:r>
            <w:r w:rsidRPr="00D75DE3">
              <w:rPr>
                <w:rFonts w:cs="Arial"/>
                <w:sz w:val="16"/>
                <w:szCs w:val="16"/>
              </w:rPr>
              <w:t xml:space="preserve">e Mayo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01/01/66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24-09-1986</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1986</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143</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06037007-9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Asentamiento 21 d</w:t>
            </w:r>
            <w:r w:rsidRPr="00D75DE3">
              <w:rPr>
                <w:rFonts w:cs="Arial"/>
                <w:sz w:val="16"/>
                <w:szCs w:val="16"/>
              </w:rPr>
              <w:t xml:space="preserve">e Mayo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01/05/66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23-05-1989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144</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06037008-7</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Pr>
                <w:rFonts w:cs="Arial"/>
                <w:sz w:val="16"/>
                <w:szCs w:val="16"/>
              </w:rPr>
              <w:t>Asentamiento 21 d</w:t>
            </w:r>
            <w:r w:rsidRPr="00D75DE3">
              <w:rPr>
                <w:rFonts w:cs="Arial"/>
                <w:sz w:val="16"/>
                <w:szCs w:val="16"/>
              </w:rPr>
              <w:t xml:space="preserve">e Mayo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01/06/66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23-05-1989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145</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06037009-5</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Comité Camp. San Carlos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01/12/73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146</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06037010-9</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Asentamiento San Corazón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147</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06041002-K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Hacienda Polulo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01/12/68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14-04-1989</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1989</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148</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06041003-8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Alfonso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01/11/73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12-02-2003</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2003</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149</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06041004-6</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Alfonso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01/02/74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 xml:space="preserve"> -</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150</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06041005-4</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 Alfonso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01/03/74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19-06-2001</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2001</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151</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06042005-K</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Fundo Santa Lucia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23/03/90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D75DE3">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152</w:t>
            </w:r>
          </w:p>
        </w:tc>
        <w:tc>
          <w:tcPr>
            <w:tcW w:w="1191"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06042006-8</w:t>
            </w:r>
          </w:p>
        </w:tc>
        <w:tc>
          <w:tcPr>
            <w:tcW w:w="3471" w:type="dxa"/>
            <w:tcBorders>
              <w:top w:val="nil"/>
              <w:left w:val="nil"/>
              <w:bottom w:val="single" w:sz="4" w:space="0" w:color="auto"/>
              <w:right w:val="single" w:sz="4" w:space="0" w:color="auto"/>
            </w:tcBorders>
            <w:shd w:val="clear" w:color="auto" w:fill="auto"/>
            <w:noWrap/>
            <w:vAlign w:val="center"/>
          </w:tcPr>
          <w:p w:rsidR="00D47B2F" w:rsidRPr="00D75DE3" w:rsidRDefault="0061726C" w:rsidP="00B51B51">
            <w:pPr>
              <w:widowControl w:val="0"/>
              <w:jc w:val="left"/>
              <w:rPr>
                <w:rFonts w:cs="Arial"/>
                <w:sz w:val="16"/>
                <w:szCs w:val="16"/>
              </w:rPr>
            </w:pPr>
            <w:r w:rsidRPr="00D75DE3">
              <w:rPr>
                <w:rFonts w:cs="Arial"/>
                <w:sz w:val="16"/>
                <w:szCs w:val="16"/>
              </w:rPr>
              <w:t xml:space="preserve">San Vicente De Quilamuta                          </w:t>
            </w:r>
          </w:p>
        </w:tc>
        <w:tc>
          <w:tcPr>
            <w:tcW w:w="839"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sz w:val="16"/>
                <w:szCs w:val="16"/>
              </w:rPr>
            </w:pPr>
            <w:r w:rsidRPr="00D75DE3">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01/10/01    </w:t>
            </w:r>
          </w:p>
        </w:tc>
        <w:tc>
          <w:tcPr>
            <w:tcW w:w="1269" w:type="dxa"/>
            <w:tcBorders>
              <w:top w:val="nil"/>
              <w:left w:val="nil"/>
              <w:bottom w:val="single" w:sz="4" w:space="0" w:color="auto"/>
              <w:right w:val="single" w:sz="4" w:space="0" w:color="auto"/>
            </w:tcBorders>
            <w:shd w:val="clear" w:color="auto" w:fill="auto"/>
            <w:vAlign w:val="center"/>
          </w:tcPr>
          <w:p w:rsidR="00D47B2F" w:rsidRPr="00D75DE3" w:rsidRDefault="00D47B2F" w:rsidP="00B51B51">
            <w:pPr>
              <w:widowControl w:val="0"/>
              <w:jc w:val="center"/>
              <w:rPr>
                <w:rFonts w:cs="Arial"/>
                <w:sz w:val="16"/>
                <w:szCs w:val="16"/>
              </w:rPr>
            </w:pPr>
            <w:r w:rsidRPr="00D75DE3">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D75DE3" w:rsidRDefault="00D47B2F" w:rsidP="00B51B51">
            <w:pPr>
              <w:widowControl w:val="0"/>
              <w:jc w:val="center"/>
              <w:rPr>
                <w:rFonts w:cs="Arial"/>
                <w:color w:val="000000"/>
                <w:sz w:val="16"/>
                <w:szCs w:val="16"/>
              </w:rPr>
            </w:pPr>
            <w:r w:rsidRPr="00D75DE3">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06043002-0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Hacienda Quilamuta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01/07/58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20-12-2001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06043003-9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Fundo Santa Lucia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24/07/89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06050001-0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Rinconada </w:t>
            </w:r>
            <w:r>
              <w:rPr>
                <w:rFonts w:cs="Arial"/>
                <w:sz w:val="16"/>
                <w:szCs w:val="16"/>
              </w:rPr>
              <w:t>d</w:t>
            </w:r>
            <w:r w:rsidRPr="008240BE">
              <w:rPr>
                <w:rFonts w:cs="Arial"/>
                <w:sz w:val="16"/>
                <w:szCs w:val="16"/>
              </w:rPr>
              <w:t xml:space="preserve">e Halcones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01/01/69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09-11-1971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06051001-6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A.P. Peralillo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01/04/69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23-05-1989</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1989</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06051002-4</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A.P. Peralillo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01/02/69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14-10-1980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1980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06051003-2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Fundo Santa Teresa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01/04/66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23-03-1972</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1972</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159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06051004-0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A.P. Población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01/10/63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29-05-2001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06051005-9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A.P. Población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01/08/63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06051006-7</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Matadero Marchigue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01/11/68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06051007-5</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Criadero d</w:t>
            </w:r>
            <w:r w:rsidRPr="008240BE">
              <w:rPr>
                <w:rFonts w:cs="Arial"/>
                <w:sz w:val="16"/>
                <w:szCs w:val="16"/>
              </w:rPr>
              <w:t xml:space="preserve">e Aves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01/03/73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06051008-3</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Asentamiento San Isidro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01/10/65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06052001-1</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Fundo San José d</w:t>
            </w:r>
            <w:r w:rsidRPr="008240BE">
              <w:rPr>
                <w:rFonts w:cs="Arial"/>
                <w:sz w:val="16"/>
                <w:szCs w:val="16"/>
              </w:rPr>
              <w:t xml:space="preserve">e Marchihue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01/01/57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22-03-2001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06052002-K</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Fundo San José d</w:t>
            </w:r>
            <w:r w:rsidRPr="008240BE">
              <w:rPr>
                <w:rFonts w:cs="Arial"/>
                <w:sz w:val="16"/>
                <w:szCs w:val="16"/>
              </w:rPr>
              <w:t xml:space="preserve">e Marchihue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01/02/62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09-01-2001</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2001</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06052003-8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Pueblo </w:t>
            </w:r>
            <w:smartTag w:uri="urn:schemas-microsoft-com:office:smarttags" w:element="PersonName">
              <w:smartTagPr>
                <w:attr w:name="ProductID" w:val="La Estrella"/>
              </w:smartTagPr>
              <w:r w:rsidRPr="008240BE">
                <w:rPr>
                  <w:rFonts w:cs="Arial"/>
                  <w:sz w:val="16"/>
                  <w:szCs w:val="16"/>
                </w:rPr>
                <w:t>La Estrella</w:t>
              </w:r>
            </w:smartTag>
            <w:r w:rsidRPr="008240BE">
              <w:rPr>
                <w:rFonts w:cs="Arial"/>
                <w:sz w:val="16"/>
                <w:szCs w:val="16"/>
              </w:rPr>
              <w:t xml:space="preserv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01/04/63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17-03-1970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1970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06052004-6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smartTag w:uri="urn:schemas-microsoft-com:office:smarttags" w:element="PersonName">
              <w:smartTagPr>
                <w:attr w:name="ProductID" w:val="La Estrella A.P"/>
              </w:smartTagPr>
              <w:r w:rsidRPr="008240BE">
                <w:rPr>
                  <w:rFonts w:cs="Arial"/>
                  <w:sz w:val="16"/>
                  <w:szCs w:val="16"/>
                </w:rPr>
                <w:t>La Estrella A.P</w:t>
              </w:r>
            </w:smartTag>
            <w:r w:rsidRPr="008240BE">
              <w:rPr>
                <w:rFonts w:cs="Arial"/>
                <w:sz w:val="16"/>
                <w:szCs w:val="16"/>
              </w:rPr>
              <w:t xml:space="preserve">.R.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06055004-2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INIA</w:t>
            </w:r>
            <w:r w:rsidRPr="008240BE">
              <w:rPr>
                <w:rFonts w:cs="Arial"/>
                <w:sz w:val="16"/>
                <w:szCs w:val="16"/>
              </w:rPr>
              <w:t xml:space="preserve"> Litueche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169</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06055005-0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Litueche A.P.R.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170</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06056004-8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Pueblo d</w:t>
            </w:r>
            <w:r w:rsidRPr="008240BE">
              <w:rPr>
                <w:rFonts w:cs="Arial"/>
                <w:sz w:val="16"/>
                <w:szCs w:val="16"/>
              </w:rPr>
              <w:t xml:space="preserve">e Rapel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171</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06115001-3</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Pueblo El Abra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No</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01/08/67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20-03-1990</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1990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172</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06120002-9</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Pr>
                <w:rFonts w:cs="Arial"/>
                <w:sz w:val="16"/>
                <w:szCs w:val="16"/>
              </w:rPr>
              <w:t>San Antonio d</w:t>
            </w:r>
            <w:r w:rsidRPr="008240BE">
              <w:rPr>
                <w:rFonts w:cs="Arial"/>
                <w:sz w:val="16"/>
                <w:szCs w:val="16"/>
              </w:rPr>
              <w:t xml:space="preserve">e Petrel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173</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06130004-K</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Casa Silva 1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174</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06130005-8</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Casa Silva 2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175</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06130006-6</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Culenco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176</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06131001-0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Hacienda Lolol A.P.R.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177</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06132003-2</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Pueblo Chico A.P.R.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r w:rsidR="00D47B2F" w:rsidRPr="008240BE">
        <w:tc>
          <w:tcPr>
            <w:tcW w:w="441" w:type="dxa"/>
            <w:tcBorders>
              <w:top w:val="nil"/>
              <w:left w:val="single" w:sz="4" w:space="0" w:color="auto"/>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178</w:t>
            </w:r>
          </w:p>
        </w:tc>
        <w:tc>
          <w:tcPr>
            <w:tcW w:w="1191"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06132004-0</w:t>
            </w:r>
          </w:p>
        </w:tc>
        <w:tc>
          <w:tcPr>
            <w:tcW w:w="3471" w:type="dxa"/>
            <w:tcBorders>
              <w:top w:val="nil"/>
              <w:left w:val="nil"/>
              <w:bottom w:val="single" w:sz="4" w:space="0" w:color="auto"/>
              <w:right w:val="single" w:sz="4" w:space="0" w:color="auto"/>
            </w:tcBorders>
            <w:shd w:val="clear" w:color="auto" w:fill="auto"/>
            <w:noWrap/>
            <w:vAlign w:val="center"/>
          </w:tcPr>
          <w:p w:rsidR="00D47B2F" w:rsidRPr="008240BE" w:rsidRDefault="00B24AFA" w:rsidP="00B51B51">
            <w:pPr>
              <w:widowControl w:val="0"/>
              <w:jc w:val="left"/>
              <w:rPr>
                <w:rFonts w:cs="Arial"/>
                <w:sz w:val="16"/>
                <w:szCs w:val="16"/>
              </w:rPr>
            </w:pPr>
            <w:r w:rsidRPr="008240BE">
              <w:rPr>
                <w:rFonts w:cs="Arial"/>
                <w:sz w:val="16"/>
                <w:szCs w:val="16"/>
              </w:rPr>
              <w:t xml:space="preserve">Pumanque </w:t>
            </w:r>
            <w:smartTag w:uri="urn:schemas-microsoft-com:office:smarttags" w:element="metricconverter">
              <w:smartTagPr>
                <w:attr w:name="ProductID" w:val="1 a"/>
              </w:smartTagPr>
              <w:r w:rsidRPr="008240BE">
                <w:rPr>
                  <w:rFonts w:cs="Arial"/>
                  <w:sz w:val="16"/>
                  <w:szCs w:val="16"/>
                </w:rPr>
                <w:t>1 A</w:t>
              </w:r>
            </w:smartTag>
            <w:r w:rsidRPr="008240BE">
              <w:rPr>
                <w:rFonts w:cs="Arial"/>
                <w:sz w:val="16"/>
                <w:szCs w:val="16"/>
              </w:rPr>
              <w:t xml:space="preserve">.P.R.                                   </w:t>
            </w:r>
          </w:p>
        </w:tc>
        <w:tc>
          <w:tcPr>
            <w:tcW w:w="839"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sz w:val="16"/>
                <w:szCs w:val="16"/>
              </w:rPr>
            </w:pPr>
            <w:r w:rsidRPr="008240BE">
              <w:rPr>
                <w:rFonts w:cs="Arial"/>
                <w:sz w:val="16"/>
                <w:szCs w:val="16"/>
              </w:rPr>
              <w:t>Si</w:t>
            </w:r>
          </w:p>
        </w:tc>
        <w:tc>
          <w:tcPr>
            <w:tcW w:w="1272"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01/03/01    </w:t>
            </w:r>
          </w:p>
        </w:tc>
        <w:tc>
          <w:tcPr>
            <w:tcW w:w="1269" w:type="dxa"/>
            <w:tcBorders>
              <w:top w:val="nil"/>
              <w:left w:val="nil"/>
              <w:bottom w:val="single" w:sz="4" w:space="0" w:color="auto"/>
              <w:right w:val="single" w:sz="4" w:space="0" w:color="auto"/>
            </w:tcBorders>
            <w:shd w:val="clear" w:color="auto" w:fill="auto"/>
            <w:vAlign w:val="center"/>
          </w:tcPr>
          <w:p w:rsidR="00D47B2F" w:rsidRPr="008240BE" w:rsidRDefault="00D47B2F" w:rsidP="00B51B51">
            <w:pPr>
              <w:widowControl w:val="0"/>
              <w:jc w:val="center"/>
              <w:rPr>
                <w:rFonts w:cs="Arial"/>
                <w:sz w:val="16"/>
                <w:szCs w:val="16"/>
              </w:rPr>
            </w:pPr>
            <w:r w:rsidRPr="008240BE">
              <w:rPr>
                <w:rFonts w:cs="Arial"/>
                <w:sz w:val="16"/>
                <w:szCs w:val="16"/>
              </w:rPr>
              <w:t xml:space="preserve">    </w:t>
            </w:r>
          </w:p>
        </w:tc>
        <w:tc>
          <w:tcPr>
            <w:tcW w:w="1177" w:type="dxa"/>
            <w:tcBorders>
              <w:top w:val="nil"/>
              <w:left w:val="nil"/>
              <w:bottom w:val="single" w:sz="4" w:space="0" w:color="auto"/>
              <w:right w:val="single" w:sz="4" w:space="0" w:color="auto"/>
            </w:tcBorders>
            <w:shd w:val="clear" w:color="auto" w:fill="auto"/>
            <w:noWrap/>
            <w:vAlign w:val="center"/>
          </w:tcPr>
          <w:p w:rsidR="00D47B2F" w:rsidRPr="008240BE" w:rsidRDefault="00D47B2F" w:rsidP="00B51B51">
            <w:pPr>
              <w:widowControl w:val="0"/>
              <w:jc w:val="center"/>
              <w:rPr>
                <w:rFonts w:cs="Arial"/>
                <w:color w:val="000000"/>
                <w:sz w:val="16"/>
                <w:szCs w:val="16"/>
              </w:rPr>
            </w:pPr>
            <w:r w:rsidRPr="008240BE">
              <w:rPr>
                <w:rFonts w:cs="Arial"/>
                <w:color w:val="000000"/>
                <w:sz w:val="16"/>
                <w:szCs w:val="16"/>
              </w:rPr>
              <w:t>2010</w:t>
            </w:r>
          </w:p>
        </w:tc>
      </w:tr>
    </w:tbl>
    <w:p w:rsidR="00D47B2F" w:rsidRDefault="00D47B2F" w:rsidP="00B51B51">
      <w:pPr>
        <w:widowControl w:val="0"/>
        <w:jc w:val="center"/>
        <w:rPr>
          <w:rFonts w:cs="Arial"/>
          <w:b/>
          <w:szCs w:val="22"/>
          <w:lang w:val="es-CL"/>
        </w:rPr>
      </w:pPr>
    </w:p>
    <w:p w:rsidR="00D47B2F" w:rsidRPr="00362688" w:rsidRDefault="00D47B2F" w:rsidP="00B51B51">
      <w:pPr>
        <w:widowControl w:val="0"/>
        <w:rPr>
          <w:lang w:val="es-CL"/>
        </w:rPr>
      </w:pPr>
      <w:r w:rsidRPr="00362688">
        <w:rPr>
          <w:lang w:val="es-CL"/>
        </w:rPr>
        <w:t>Otro antecedente de interés corresponde a las zonas de restricción que han sido declaradas en la región.</w:t>
      </w:r>
    </w:p>
    <w:p w:rsidR="00D47B2F" w:rsidRPr="00362688" w:rsidRDefault="00D47B2F" w:rsidP="00B51B51">
      <w:pPr>
        <w:widowControl w:val="0"/>
        <w:rPr>
          <w:lang w:val="es-CL"/>
        </w:rPr>
      </w:pPr>
    </w:p>
    <w:p w:rsidR="00D47B2F" w:rsidRPr="00362688" w:rsidRDefault="00D47B2F" w:rsidP="00B51B51">
      <w:pPr>
        <w:widowControl w:val="0"/>
        <w:rPr>
          <w:rFonts w:cs="Arial"/>
          <w:szCs w:val="22"/>
          <w:lang w:val="es-CL"/>
        </w:rPr>
      </w:pPr>
      <w:r w:rsidRPr="00362688">
        <w:rPr>
          <w:rFonts w:cs="Arial"/>
          <w:szCs w:val="22"/>
          <w:lang w:val="es-CL"/>
        </w:rPr>
        <w:t xml:space="preserve">De acuerdo a lo establecido en el Código de Aguas (Artículo 31), </w:t>
      </w:r>
      <w:smartTag w:uri="urn:schemas-microsoft-com:office:smarttags" w:element="PersonName">
        <w:smartTagPr>
          <w:attr w:name="ProductID" w:val="la Dirección General"/>
        </w:smartTagPr>
        <w:r w:rsidRPr="00362688">
          <w:rPr>
            <w:rFonts w:cs="Arial"/>
            <w:szCs w:val="22"/>
            <w:lang w:val="es-CL"/>
          </w:rPr>
          <w:t>la Dirección General</w:t>
        </w:r>
      </w:smartTag>
      <w:r w:rsidRPr="00362688">
        <w:rPr>
          <w:rFonts w:cs="Arial"/>
          <w:szCs w:val="22"/>
          <w:lang w:val="es-CL"/>
        </w:rPr>
        <w:t xml:space="preserve"> de Aguas deberá, declarar un determinado sector hidrogeológico de aprovechamiento común </w:t>
      </w:r>
      <w:r w:rsidRPr="00362688">
        <w:rPr>
          <w:rFonts w:cs="Arial"/>
          <w:szCs w:val="22"/>
          <w:lang w:val="es-CL"/>
        </w:rPr>
        <w:lastRenderedPageBreak/>
        <w:t>como área de restricción para nuevas explotaciones de aguas subterráneas, de oficio o a petición de cualquier usuario del respectivo sector, cuando los estudios técnicos demuestren que la explotación previsible del acuífero ocasionará alguno de los siguientes efectos:</w:t>
      </w:r>
    </w:p>
    <w:p w:rsidR="00D47B2F" w:rsidRPr="005A5CAA" w:rsidRDefault="00D47B2F" w:rsidP="00B51B51">
      <w:pPr>
        <w:widowControl w:val="0"/>
        <w:rPr>
          <w:rFonts w:cs="Arial"/>
          <w:szCs w:val="22"/>
          <w:lang w:val="es-CL"/>
        </w:rPr>
      </w:pP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Que los descensos generalizados provoquen el agotamiento de algunas zonas del acuífero, imposibilitando la extracción de aguas subterráneas de derechos de aprovechamiento existentes en dichas zonas.</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Que la recarga del acuífero sea superada, produciendo descensos sostenidos de sus niveles, al grado que provoque reducciones superiores al cinco por ciento del volumen almacenado en un plazo de cincuenta años.</w:t>
      </w:r>
    </w:p>
    <w:p w:rsidR="00D47B2F" w:rsidRDefault="00D47B2F" w:rsidP="00145762">
      <w:pPr>
        <w:pStyle w:val="NormalSangra"/>
        <w:numPr>
          <w:ilvl w:val="0"/>
          <w:numId w:val="1"/>
        </w:numPr>
        <w:tabs>
          <w:tab w:val="clear" w:pos="870"/>
        </w:tabs>
        <w:ind w:left="709" w:hanging="709"/>
        <w:rPr>
          <w:sz w:val="22"/>
          <w:szCs w:val="22"/>
        </w:rPr>
      </w:pPr>
      <w:r w:rsidRPr="00362688">
        <w:rPr>
          <w:sz w:val="22"/>
          <w:szCs w:val="22"/>
        </w:rPr>
        <w:t>Que se produzca afección a los caudales de los cursos de aguas superficiales y vertientes en más de una diez por ciento del caudal medio de estiaje del año con un ochenta y cinco por ciento de probabilidad de excedencia, afectando derechos de aprovechamiento existentes.</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Que exista peligro de contaminación del acuífero por desplazamiento de aguas contaminadas o de la interfase agua dulce-salada en sectores próximos a aguas salobres, comprometiendo las captaciones existentes.</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 xml:space="preserve">Que exista peligro de afección al medio ambiente en los sectores protegidos indicados en el artículo 22 letra f) de </w:t>
      </w:r>
      <w:smartTag w:uri="urn:schemas-microsoft-com:office:smarttags" w:element="PersonName">
        <w:smartTagPr>
          <w:attr w:name="ProductID" w:val="la Resolución DGA"/>
        </w:smartTagPr>
        <w:r w:rsidRPr="00362688">
          <w:rPr>
            <w:sz w:val="22"/>
            <w:szCs w:val="22"/>
          </w:rPr>
          <w:t>la Resolución DGA</w:t>
        </w:r>
      </w:smartTag>
      <w:r w:rsidRPr="00362688">
        <w:rPr>
          <w:sz w:val="22"/>
          <w:szCs w:val="22"/>
        </w:rPr>
        <w:t xml:space="preserve"> Nº 425 (2007) y Nº 341(2005). </w:t>
      </w:r>
    </w:p>
    <w:p w:rsidR="00D47B2F" w:rsidRDefault="00D47B2F" w:rsidP="00B51B51">
      <w:pPr>
        <w:widowControl w:val="0"/>
        <w:rPr>
          <w:lang w:val="es-CL"/>
        </w:rPr>
      </w:pPr>
    </w:p>
    <w:p w:rsidR="00D47B2F" w:rsidRPr="00DA5EEC" w:rsidRDefault="00D47B2F" w:rsidP="00B51B51">
      <w:pPr>
        <w:widowControl w:val="0"/>
        <w:rPr>
          <w:rFonts w:cs="Arial"/>
          <w:szCs w:val="22"/>
          <w:lang w:val="es-CL"/>
        </w:rPr>
      </w:pPr>
      <w:r>
        <w:rPr>
          <w:rFonts w:cs="Arial"/>
          <w:szCs w:val="22"/>
          <w:lang w:val="es-CL"/>
        </w:rPr>
        <w:t xml:space="preserve">Por otro lado y de acuerdo a lo indicado en el </w:t>
      </w:r>
      <w:r w:rsidRPr="00DA5EEC">
        <w:rPr>
          <w:rFonts w:cs="Arial"/>
          <w:szCs w:val="22"/>
          <w:lang w:val="es-CL"/>
        </w:rPr>
        <w:t>Artículo 66 del Código de Aguas: “</w:t>
      </w:r>
      <w:smartTag w:uri="urn:schemas-microsoft-com:office:smarttags" w:element="PersonName">
        <w:smartTagPr>
          <w:attr w:name="ProductID" w:val="la Dirección General"/>
        </w:smartTagPr>
        <w:r w:rsidRPr="00DA5EEC">
          <w:rPr>
            <w:rFonts w:cs="Arial"/>
            <w:szCs w:val="22"/>
            <w:lang w:val="es-CL"/>
          </w:rPr>
          <w:t>La Dirección General</w:t>
        </w:r>
      </w:smartTag>
      <w:r w:rsidRPr="00DA5EEC">
        <w:rPr>
          <w:rFonts w:cs="Arial"/>
          <w:szCs w:val="22"/>
          <w:lang w:val="es-CL"/>
        </w:rPr>
        <w:t xml:space="preserve"> de Aguas podrá otorgar provisionalmente derechos de aprovechamiento en aquellas zonas que haya declarado de restricción. En dichas zonas, la citada Dirección limitará prudencialmente los nuevos derechos pudiendo incluso dejarlos sin efecto en caso de constatar perjuicios a los derechos ya constituidos.</w:t>
      </w:r>
    </w:p>
    <w:p w:rsidR="00D47B2F" w:rsidRPr="00DA5EEC" w:rsidRDefault="00D47B2F" w:rsidP="00B51B51">
      <w:pPr>
        <w:widowControl w:val="0"/>
      </w:pPr>
    </w:p>
    <w:p w:rsidR="00D47B2F" w:rsidRDefault="00D47B2F" w:rsidP="00B51B51">
      <w:pPr>
        <w:widowControl w:val="0"/>
        <w:rPr>
          <w:lang w:val="es-CL"/>
        </w:rPr>
      </w:pPr>
      <w:r>
        <w:rPr>
          <w:lang w:val="es-CL"/>
        </w:rPr>
        <w:t xml:space="preserve">Teniendo en consideración lo anteriormente expuesto, </w:t>
      </w:r>
      <w:smartTag w:uri="urn:schemas-microsoft-com:office:smarttags" w:element="PersonName">
        <w:smartTagPr>
          <w:attr w:name="ProductID" w:val="la DGA"/>
        </w:smartTagPr>
        <w:r>
          <w:rPr>
            <w:lang w:val="es-CL"/>
          </w:rPr>
          <w:t>la DGA</w:t>
        </w:r>
      </w:smartTag>
      <w:r>
        <w:rPr>
          <w:lang w:val="es-CL"/>
        </w:rPr>
        <w:t xml:space="preserve"> ha declarado hasta la fecha en </w:t>
      </w:r>
      <w:smartTag w:uri="urn:schemas-microsoft-com:office:smarttags" w:element="PersonName">
        <w:smartTagPr>
          <w:attr w:name="ProductID" w:val="la VI Región"/>
        </w:smartTagPr>
        <w:r>
          <w:rPr>
            <w:lang w:val="es-CL"/>
          </w:rPr>
          <w:t>la VI Región</w:t>
        </w:r>
      </w:smartTag>
      <w:r>
        <w:rPr>
          <w:lang w:val="es-CL"/>
        </w:rPr>
        <w:t xml:space="preserve">, un total de 25 Zonas de Restricción, las cuales cubren casi en su totalidad el acuífero del valle central, quedando solo algunos sectores costeros y partes altas de cuencas sin restricción de explotación de recursos subterráneos. En base a la información proporcionada por </w:t>
      </w:r>
      <w:smartTag w:uri="urn:schemas-microsoft-com:office:smarttags" w:element="PersonName">
        <w:smartTagPr>
          <w:attr w:name="ProductID" w:val="la DGA"/>
        </w:smartTagPr>
        <w:r>
          <w:rPr>
            <w:lang w:val="es-CL"/>
          </w:rPr>
          <w:t>la DGA</w:t>
        </w:r>
      </w:smartTag>
      <w:r>
        <w:rPr>
          <w:lang w:val="es-CL"/>
        </w:rPr>
        <w:t xml:space="preserve"> (SIG áreas de restricción), en el Plano 2 adjunto se incluye la ubicación, extensión y límites de cada uno de las zonas de restricción existentes. En </w:t>
      </w:r>
      <w:smartTag w:uri="urn:schemas-microsoft-com:office:smarttags" w:element="PersonName">
        <w:smartTagPr>
          <w:attr w:name="ProductID" w:val="la ￼￼￼￼￼￼￼￼￼￼￼￼￼￼￼￼￼￼￼￼￼￼￼￼￼￼￼￼￼￼￼￼￼￼￼￼￼￼￼￼￼Tabla"/>
        </w:smartTagPr>
        <w:r>
          <w:rPr>
            <w:lang w:val="es-CL"/>
          </w:rPr>
          <w:t>la Tabla</w:t>
        </w:r>
      </w:smartTag>
      <w:r>
        <w:rPr>
          <w:lang w:val="es-CL"/>
        </w:rPr>
        <w:t xml:space="preserve"> siguiente se identifican cada una de las zonas de restricción delimitadas: </w:t>
      </w:r>
    </w:p>
    <w:p w:rsidR="00D47B2F" w:rsidRDefault="00D47B2F" w:rsidP="00B51B51">
      <w:pPr>
        <w:widowControl w:val="0"/>
        <w:rPr>
          <w:lang w:val="es-CL"/>
        </w:rPr>
      </w:pPr>
    </w:p>
    <w:p w:rsidR="00D47B2F" w:rsidRPr="008714A3" w:rsidRDefault="00D47B2F" w:rsidP="00B51B51">
      <w:pPr>
        <w:pStyle w:val="Epgrafe"/>
        <w:widowControl w:val="0"/>
      </w:pPr>
      <w:r w:rsidRPr="008714A3">
        <w:t xml:space="preserve">Tabla </w:t>
      </w:r>
      <w:r w:rsidR="007F3102">
        <w:fldChar w:fldCharType="begin"/>
      </w:r>
      <w:r w:rsidR="007F3102">
        <w:instrText xml:space="preserve"> STYLEREF 1 \s </w:instrText>
      </w:r>
      <w:r w:rsidR="007F3102">
        <w:fldChar w:fldCharType="separate"/>
      </w:r>
      <w:r w:rsidR="00264070">
        <w:rPr>
          <w:noProof/>
        </w:rPr>
        <w:t>2</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17</w:t>
      </w:r>
      <w:r w:rsidR="007F3102">
        <w:fldChar w:fldCharType="end"/>
      </w:r>
      <w:r w:rsidRPr="008714A3">
        <w:t xml:space="preserve"> Identificación Zonas de Restricción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925"/>
        <w:gridCol w:w="1494"/>
      </w:tblGrid>
      <w:tr w:rsidR="00D47B2F" w:rsidRPr="008714A3">
        <w:trPr>
          <w:jc w:val="center"/>
        </w:trPr>
        <w:tc>
          <w:tcPr>
            <w:tcW w:w="1728" w:type="dxa"/>
          </w:tcPr>
          <w:p w:rsidR="00D47B2F" w:rsidRPr="008714A3" w:rsidRDefault="00D47B2F" w:rsidP="00B51B51">
            <w:pPr>
              <w:widowControl w:val="0"/>
              <w:jc w:val="center"/>
              <w:rPr>
                <w:sz w:val="18"/>
                <w:szCs w:val="20"/>
                <w:lang w:val="es-CL"/>
              </w:rPr>
            </w:pPr>
            <w:r w:rsidRPr="008714A3">
              <w:rPr>
                <w:sz w:val="18"/>
                <w:szCs w:val="20"/>
                <w:lang w:val="es-CL"/>
              </w:rPr>
              <w:t>Zona Restricción</w:t>
            </w:r>
          </w:p>
        </w:tc>
        <w:tc>
          <w:tcPr>
            <w:tcW w:w="4925" w:type="dxa"/>
            <w:vAlign w:val="center"/>
          </w:tcPr>
          <w:p w:rsidR="00D47B2F" w:rsidRPr="008714A3" w:rsidRDefault="00D47B2F" w:rsidP="00B51B51">
            <w:pPr>
              <w:widowControl w:val="0"/>
              <w:jc w:val="center"/>
              <w:rPr>
                <w:sz w:val="18"/>
                <w:szCs w:val="20"/>
                <w:lang w:val="es-CL"/>
              </w:rPr>
            </w:pPr>
            <w:r w:rsidRPr="008714A3">
              <w:rPr>
                <w:sz w:val="18"/>
                <w:szCs w:val="20"/>
                <w:lang w:val="es-CL"/>
              </w:rPr>
              <w:t>Sector</w:t>
            </w:r>
          </w:p>
        </w:tc>
        <w:tc>
          <w:tcPr>
            <w:tcW w:w="1494" w:type="dxa"/>
            <w:vAlign w:val="center"/>
          </w:tcPr>
          <w:p w:rsidR="00D47B2F" w:rsidRPr="008714A3" w:rsidRDefault="00D47B2F" w:rsidP="00B51B51">
            <w:pPr>
              <w:widowControl w:val="0"/>
              <w:jc w:val="center"/>
              <w:rPr>
                <w:sz w:val="18"/>
                <w:szCs w:val="20"/>
                <w:lang w:val="es-CL"/>
              </w:rPr>
            </w:pPr>
            <w:r w:rsidRPr="008714A3">
              <w:rPr>
                <w:sz w:val="18"/>
                <w:szCs w:val="20"/>
                <w:lang w:val="es-CL"/>
              </w:rPr>
              <w:t>Superficie (km</w:t>
            </w:r>
            <w:r w:rsidRPr="008714A3">
              <w:rPr>
                <w:sz w:val="18"/>
                <w:szCs w:val="20"/>
                <w:vertAlign w:val="superscript"/>
                <w:lang w:val="es-CL"/>
              </w:rPr>
              <w:t>2</w:t>
            </w:r>
            <w:r w:rsidRPr="008714A3">
              <w:rPr>
                <w:sz w:val="18"/>
                <w:szCs w:val="20"/>
                <w:lang w:val="es-CL"/>
              </w:rPr>
              <w:t>)</w:t>
            </w:r>
          </w:p>
        </w:tc>
      </w:tr>
      <w:tr w:rsidR="00D47B2F" w:rsidRPr="008714A3">
        <w:trPr>
          <w:jc w:val="center"/>
        </w:trPr>
        <w:tc>
          <w:tcPr>
            <w:tcW w:w="1728" w:type="dxa"/>
          </w:tcPr>
          <w:p w:rsidR="00D47B2F" w:rsidRPr="008714A3" w:rsidRDefault="00D47B2F" w:rsidP="00B51B51">
            <w:pPr>
              <w:widowControl w:val="0"/>
              <w:jc w:val="center"/>
              <w:rPr>
                <w:rFonts w:cs="Arial"/>
                <w:sz w:val="18"/>
                <w:szCs w:val="20"/>
                <w:lang w:val="es-CL"/>
              </w:rPr>
            </w:pPr>
            <w:r w:rsidRPr="008714A3">
              <w:rPr>
                <w:rFonts w:cs="Arial"/>
                <w:sz w:val="18"/>
                <w:szCs w:val="20"/>
                <w:lang w:val="es-CL"/>
              </w:rPr>
              <w:t>ZR1</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Río Rapel Bajo junta Estero Rosario</w:t>
            </w:r>
          </w:p>
        </w:tc>
        <w:tc>
          <w:tcPr>
            <w:tcW w:w="1494" w:type="dxa"/>
          </w:tcPr>
          <w:p w:rsidR="00D47B2F" w:rsidRPr="008714A3" w:rsidRDefault="00D47B2F" w:rsidP="00B51B51">
            <w:pPr>
              <w:widowControl w:val="0"/>
              <w:jc w:val="center"/>
              <w:rPr>
                <w:rFonts w:cs="Arial"/>
                <w:sz w:val="18"/>
                <w:szCs w:val="20"/>
                <w:lang w:val="es-CL"/>
              </w:rPr>
            </w:pPr>
            <w:r w:rsidRPr="008714A3">
              <w:rPr>
                <w:rFonts w:cs="Arial"/>
                <w:sz w:val="18"/>
                <w:szCs w:val="20"/>
                <w:lang w:val="es-CL"/>
              </w:rPr>
              <w:t>141,11</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el Rosario</w:t>
            </w:r>
          </w:p>
        </w:tc>
        <w:tc>
          <w:tcPr>
            <w:tcW w:w="1494" w:type="dxa"/>
          </w:tcPr>
          <w:p w:rsidR="00D47B2F" w:rsidRPr="008714A3" w:rsidRDefault="00D47B2F" w:rsidP="00B51B51">
            <w:pPr>
              <w:widowControl w:val="0"/>
              <w:jc w:val="center"/>
              <w:rPr>
                <w:rFonts w:cs="Arial"/>
                <w:sz w:val="18"/>
                <w:szCs w:val="20"/>
                <w:lang w:val="es-CL"/>
              </w:rPr>
            </w:pPr>
            <w:r w:rsidRPr="008714A3">
              <w:rPr>
                <w:rFonts w:cs="Arial"/>
                <w:sz w:val="18"/>
                <w:szCs w:val="20"/>
                <w:lang w:val="es-CL"/>
              </w:rPr>
              <w:t>210.67</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ZR3</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Río Rapel antes junta Estero Rosario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376,06</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ZR4</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Alhué</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985,46</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ZR5</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Codegua</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402,68</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ZR6</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Graneros-Rancagua</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774,52</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ZR7</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Doñihue-Coinco-Coltauco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357,27</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ZR8</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Olivar</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157,60</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ZR9</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Requinoa-Rosario-Rengo-Quinta Tilcoco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711,80</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ZR10</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Peumo-Pichidegua-Las Cabras</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340,67</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ZR11</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Tinguiririca Inferior</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942,24</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ZR12</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San Antonio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98,99</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ZR13</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Cadenas Yerbas Buenas</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223,80</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ZR14</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Cadenas Marchihue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257,99</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ZR15</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Laguna San Vicente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246,06</w:t>
            </w:r>
          </w:p>
        </w:tc>
      </w:tr>
    </w:tbl>
    <w:p w:rsidR="00F93622" w:rsidRPr="008714A3" w:rsidRDefault="00F93622" w:rsidP="00F93622">
      <w:pPr>
        <w:pStyle w:val="Epgrafe"/>
        <w:widowControl w:val="0"/>
      </w:pPr>
      <w:r w:rsidRPr="008714A3">
        <w:lastRenderedPageBreak/>
        <w:t xml:space="preserve">Tabla </w:t>
      </w:r>
      <w:r>
        <w:fldChar w:fldCharType="begin"/>
      </w:r>
      <w:r>
        <w:instrText xml:space="preserve"> STYLEREF 1 \s </w:instrText>
      </w:r>
      <w:r>
        <w:fldChar w:fldCharType="separate"/>
      </w:r>
      <w:r w:rsidR="00264070">
        <w:rPr>
          <w:noProof/>
        </w:rPr>
        <w:t>2</w:t>
      </w:r>
      <w:r>
        <w:fldChar w:fldCharType="end"/>
      </w:r>
      <w:r>
        <w:t>.1</w:t>
      </w:r>
      <w:r w:rsidR="00F76146">
        <w:t>7</w:t>
      </w:r>
      <w:r w:rsidRPr="008714A3">
        <w:t xml:space="preserve"> Identificación Zonas de Restricción</w:t>
      </w:r>
      <w:r>
        <w:t xml:space="preserve"> (continuación)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925"/>
        <w:gridCol w:w="1494"/>
      </w:tblGrid>
      <w:tr w:rsidR="00F93622" w:rsidRPr="008714A3">
        <w:trPr>
          <w:jc w:val="center"/>
        </w:trPr>
        <w:tc>
          <w:tcPr>
            <w:tcW w:w="1728" w:type="dxa"/>
          </w:tcPr>
          <w:p w:rsidR="00F93622" w:rsidRPr="008714A3" w:rsidRDefault="00F93622" w:rsidP="001D6285">
            <w:pPr>
              <w:widowControl w:val="0"/>
              <w:jc w:val="center"/>
              <w:rPr>
                <w:sz w:val="18"/>
                <w:szCs w:val="20"/>
                <w:lang w:val="es-CL"/>
              </w:rPr>
            </w:pPr>
            <w:r w:rsidRPr="008714A3">
              <w:rPr>
                <w:sz w:val="18"/>
                <w:szCs w:val="20"/>
                <w:lang w:val="es-CL"/>
              </w:rPr>
              <w:t>Zona Restricción</w:t>
            </w:r>
          </w:p>
        </w:tc>
        <w:tc>
          <w:tcPr>
            <w:tcW w:w="4925" w:type="dxa"/>
            <w:vAlign w:val="center"/>
          </w:tcPr>
          <w:p w:rsidR="00F93622" w:rsidRPr="008714A3" w:rsidRDefault="00F93622" w:rsidP="001D6285">
            <w:pPr>
              <w:widowControl w:val="0"/>
              <w:jc w:val="center"/>
              <w:rPr>
                <w:sz w:val="18"/>
                <w:szCs w:val="20"/>
                <w:lang w:val="es-CL"/>
              </w:rPr>
            </w:pPr>
            <w:r w:rsidRPr="008714A3">
              <w:rPr>
                <w:sz w:val="18"/>
                <w:szCs w:val="20"/>
                <w:lang w:val="es-CL"/>
              </w:rPr>
              <w:t>Sector</w:t>
            </w:r>
          </w:p>
        </w:tc>
        <w:tc>
          <w:tcPr>
            <w:tcW w:w="1494" w:type="dxa"/>
            <w:vAlign w:val="center"/>
          </w:tcPr>
          <w:p w:rsidR="00F93622" w:rsidRPr="008714A3" w:rsidRDefault="00F93622" w:rsidP="001D6285">
            <w:pPr>
              <w:widowControl w:val="0"/>
              <w:jc w:val="center"/>
              <w:rPr>
                <w:sz w:val="18"/>
                <w:szCs w:val="20"/>
                <w:lang w:val="es-CL"/>
              </w:rPr>
            </w:pPr>
            <w:r w:rsidRPr="008714A3">
              <w:rPr>
                <w:sz w:val="18"/>
                <w:szCs w:val="20"/>
                <w:lang w:val="es-CL"/>
              </w:rPr>
              <w:t>Superficie (km</w:t>
            </w:r>
            <w:r w:rsidRPr="008714A3">
              <w:rPr>
                <w:sz w:val="18"/>
                <w:szCs w:val="20"/>
                <w:vertAlign w:val="superscript"/>
                <w:lang w:val="es-CL"/>
              </w:rPr>
              <w:t>2</w:t>
            </w:r>
            <w:r w:rsidRPr="008714A3">
              <w:rPr>
                <w:sz w:val="18"/>
                <w:szCs w:val="20"/>
                <w:lang w:val="es-CL"/>
              </w:rPr>
              <w:t>)</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ZR16</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Pelequén-Malloa-San Vicente de Tagua- Tagua</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278,83</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ZR17</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San Fernando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696,42</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ZR18</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Nilahue en santa Teresa</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112,75</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ZR19</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El Monte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163,44</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ZR20</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Tinguiririca Superior</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927,07</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ZR21</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Chimbarongo</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574,78</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ZR22</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Pumanque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189,52</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ZR23</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Lolol</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457,83</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ZR24</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Estero Quilahue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277,51</w:t>
            </w:r>
          </w:p>
        </w:tc>
      </w:tr>
      <w:tr w:rsidR="00D47B2F" w:rsidRPr="008714A3">
        <w:trPr>
          <w:jc w:val="center"/>
        </w:trPr>
        <w:tc>
          <w:tcPr>
            <w:tcW w:w="1728" w:type="dxa"/>
          </w:tcPr>
          <w:p w:rsidR="00D47B2F" w:rsidRPr="008714A3" w:rsidRDefault="00D47B2F" w:rsidP="00B51B51">
            <w:pPr>
              <w:widowControl w:val="0"/>
              <w:jc w:val="center"/>
              <w:rPr>
                <w:rFonts w:cs="Arial"/>
                <w:sz w:val="18"/>
                <w:szCs w:val="20"/>
              </w:rPr>
            </w:pPr>
            <w:r w:rsidRPr="008714A3">
              <w:rPr>
                <w:rFonts w:cs="Arial"/>
                <w:sz w:val="18"/>
                <w:szCs w:val="20"/>
                <w:lang w:val="es-CL"/>
              </w:rPr>
              <w:t>ZR25</w:t>
            </w:r>
          </w:p>
        </w:tc>
        <w:tc>
          <w:tcPr>
            <w:tcW w:w="4925" w:type="dxa"/>
          </w:tcPr>
          <w:p w:rsidR="00D47B2F" w:rsidRPr="008714A3" w:rsidRDefault="00D47B2F" w:rsidP="00B51B51">
            <w:pPr>
              <w:widowControl w:val="0"/>
              <w:rPr>
                <w:rFonts w:cs="Arial"/>
                <w:sz w:val="18"/>
                <w:szCs w:val="20"/>
                <w:lang w:val="es-CL"/>
              </w:rPr>
            </w:pPr>
            <w:r w:rsidRPr="008714A3">
              <w:rPr>
                <w:rFonts w:cs="Arial"/>
                <w:sz w:val="18"/>
                <w:szCs w:val="20"/>
                <w:lang w:val="es-CL"/>
              </w:rPr>
              <w:t>Nilahue antes de Quiahue</w:t>
            </w:r>
          </w:p>
        </w:tc>
        <w:tc>
          <w:tcPr>
            <w:tcW w:w="1494" w:type="dxa"/>
            <w:vAlign w:val="bottom"/>
          </w:tcPr>
          <w:p w:rsidR="00D47B2F" w:rsidRPr="008714A3" w:rsidRDefault="00D47B2F" w:rsidP="00B51B51">
            <w:pPr>
              <w:widowControl w:val="0"/>
              <w:jc w:val="center"/>
              <w:rPr>
                <w:rFonts w:cs="Arial"/>
                <w:color w:val="000000"/>
                <w:sz w:val="18"/>
                <w:szCs w:val="20"/>
              </w:rPr>
            </w:pPr>
            <w:r w:rsidRPr="008714A3">
              <w:rPr>
                <w:rFonts w:cs="Arial"/>
                <w:color w:val="000000"/>
                <w:sz w:val="18"/>
                <w:szCs w:val="20"/>
              </w:rPr>
              <w:t>141,50</w:t>
            </w:r>
          </w:p>
        </w:tc>
      </w:tr>
      <w:tr w:rsidR="00D47B2F" w:rsidRPr="008240BE">
        <w:trPr>
          <w:jc w:val="center"/>
        </w:trPr>
        <w:tc>
          <w:tcPr>
            <w:tcW w:w="1728" w:type="dxa"/>
          </w:tcPr>
          <w:p w:rsidR="00D47B2F" w:rsidRPr="008714A3" w:rsidRDefault="00D47B2F" w:rsidP="00B51B51">
            <w:pPr>
              <w:widowControl w:val="0"/>
              <w:jc w:val="center"/>
              <w:rPr>
                <w:rFonts w:cs="Arial"/>
                <w:sz w:val="18"/>
                <w:szCs w:val="20"/>
                <w:lang w:val="es-CL"/>
              </w:rPr>
            </w:pPr>
          </w:p>
        </w:tc>
        <w:tc>
          <w:tcPr>
            <w:tcW w:w="4925" w:type="dxa"/>
          </w:tcPr>
          <w:p w:rsidR="00D47B2F" w:rsidRPr="008714A3" w:rsidRDefault="00D47B2F" w:rsidP="00B51B51">
            <w:pPr>
              <w:widowControl w:val="0"/>
              <w:jc w:val="center"/>
              <w:rPr>
                <w:rFonts w:cs="Arial"/>
                <w:sz w:val="18"/>
                <w:szCs w:val="20"/>
                <w:lang w:val="es-CL"/>
              </w:rPr>
            </w:pPr>
            <w:r w:rsidRPr="008714A3">
              <w:rPr>
                <w:rFonts w:cs="Arial"/>
                <w:sz w:val="18"/>
                <w:szCs w:val="20"/>
                <w:lang w:val="es-CL"/>
              </w:rPr>
              <w:t>Total</w:t>
            </w:r>
          </w:p>
        </w:tc>
        <w:tc>
          <w:tcPr>
            <w:tcW w:w="1494" w:type="dxa"/>
            <w:vAlign w:val="bottom"/>
          </w:tcPr>
          <w:p w:rsidR="00D47B2F" w:rsidRPr="008240BE" w:rsidRDefault="00D47B2F" w:rsidP="00B51B51">
            <w:pPr>
              <w:widowControl w:val="0"/>
              <w:jc w:val="center"/>
              <w:rPr>
                <w:rFonts w:cs="Arial"/>
                <w:color w:val="000000"/>
                <w:sz w:val="18"/>
                <w:szCs w:val="20"/>
              </w:rPr>
            </w:pPr>
            <w:r w:rsidRPr="008714A3">
              <w:rPr>
                <w:rFonts w:cs="Arial"/>
                <w:color w:val="000000"/>
                <w:sz w:val="18"/>
                <w:szCs w:val="20"/>
              </w:rPr>
              <w:t>10.046,56</w:t>
            </w:r>
          </w:p>
        </w:tc>
      </w:tr>
    </w:tbl>
    <w:p w:rsidR="00D47B2F"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4128EE">
        <w:rPr>
          <w:rFonts w:cs="Arial"/>
          <w:szCs w:val="22"/>
          <w:lang w:val="es-CL"/>
        </w:rPr>
        <w:t xml:space="preserve">En relación a la labor de búsqueda e identificación de estudios hidrogeológicos que hayan sido desarrollados en alguna de las cuencas que pertenecen a </w:t>
      </w:r>
      <w:smartTag w:uri="urn:schemas-microsoft-com:office:smarttags" w:element="PersonName">
        <w:smartTagPr>
          <w:attr w:name="ProductID" w:val="la VI Región"/>
        </w:smartTagPr>
        <w:r w:rsidRPr="004128EE">
          <w:rPr>
            <w:rFonts w:cs="Arial"/>
            <w:szCs w:val="22"/>
            <w:lang w:val="es-CL"/>
          </w:rPr>
          <w:t>la VI Región</w:t>
        </w:r>
      </w:smartTag>
      <w:r>
        <w:rPr>
          <w:rFonts w:cs="Arial"/>
          <w:szCs w:val="22"/>
          <w:lang w:val="es-CL"/>
        </w:rPr>
        <w:t xml:space="preserve">, ésta </w:t>
      </w:r>
      <w:r w:rsidRPr="004128EE">
        <w:rPr>
          <w:rFonts w:cs="Arial"/>
          <w:szCs w:val="22"/>
          <w:lang w:val="es-CL"/>
        </w:rPr>
        <w:t xml:space="preserve">se centró básicamente en estudios públicos realizados para </w:t>
      </w:r>
      <w:smartTag w:uri="urn:schemas-microsoft-com:office:smarttags" w:element="PersonName">
        <w:smartTagPr>
          <w:attr w:name="ProductID" w:val="la DGA"/>
        </w:smartTagPr>
        <w:r w:rsidRPr="004128EE">
          <w:rPr>
            <w:rFonts w:cs="Arial"/>
            <w:szCs w:val="22"/>
            <w:lang w:val="es-CL"/>
          </w:rPr>
          <w:t>la DGA</w:t>
        </w:r>
      </w:smartTag>
      <w:r w:rsidRPr="004128EE">
        <w:rPr>
          <w:rFonts w:cs="Arial"/>
          <w:szCs w:val="22"/>
          <w:lang w:val="es-CL"/>
        </w:rPr>
        <w:t>, DOH y CNR. Específicamente se identificaron 13 estudios hidrogeológicos con las carac</w:t>
      </w:r>
      <w:r>
        <w:rPr>
          <w:rFonts w:cs="Arial"/>
          <w:szCs w:val="22"/>
          <w:lang w:val="es-CL"/>
        </w:rPr>
        <w:t xml:space="preserve">terísticas antes mencionadas y </w:t>
      </w:r>
      <w:r w:rsidRPr="004128EE">
        <w:rPr>
          <w:rFonts w:cs="Arial"/>
          <w:szCs w:val="22"/>
          <w:lang w:val="es-CL"/>
        </w:rPr>
        <w:t>cuya fecha de elaboración y/o ejecución está comprendida entre los años 2000 y 2012.</w:t>
      </w:r>
    </w:p>
    <w:p w:rsidR="008240BE" w:rsidRPr="000A582E" w:rsidRDefault="008240BE"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A continuación se presentan los estudios recopilados:</w:t>
      </w:r>
    </w:p>
    <w:p w:rsidR="00D47B2F" w:rsidRPr="000A582E" w:rsidRDefault="00D47B2F" w:rsidP="00B51B51">
      <w:pPr>
        <w:widowControl w:val="0"/>
        <w:rPr>
          <w:rFonts w:cs="Arial"/>
          <w:szCs w:val="22"/>
          <w:lang w:val="es-CL"/>
        </w:rPr>
      </w:pP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1</w:t>
      </w:r>
      <w:r w:rsidRPr="00B24AFA">
        <w:rPr>
          <w:sz w:val="22"/>
          <w:szCs w:val="22"/>
        </w:rPr>
        <w:tab/>
        <w:t>Diagnóstico de Recursos Hídricos en Secano Interior y Costero VI a VIII Región. CNR- AC Ingenieros Consultores Ltda.-2003.</w:t>
      </w:r>
    </w:p>
    <w:p w:rsidR="00D47B2F" w:rsidRPr="00B24AFA" w:rsidRDefault="00D47B2F" w:rsidP="00B24AFA">
      <w:pPr>
        <w:pStyle w:val="NormalSangra"/>
        <w:ind w:firstLine="0"/>
        <w:rPr>
          <w:sz w:val="22"/>
          <w:szCs w:val="22"/>
        </w:rPr>
      </w:pP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2</w:t>
      </w:r>
      <w:r w:rsidRPr="00B24AFA">
        <w:rPr>
          <w:sz w:val="22"/>
          <w:szCs w:val="22"/>
        </w:rPr>
        <w:tab/>
        <w:t xml:space="preserve">Evaluación de los Recursos Hídricos Subterráneos de </w:t>
      </w:r>
      <w:smartTag w:uri="urn:schemas-microsoft-com:office:smarttags" w:element="PersonName">
        <w:smartTagPr>
          <w:attr w:name="ProductID" w:val="la VI"/>
        </w:smartTagPr>
        <w:r w:rsidRPr="00B24AFA">
          <w:rPr>
            <w:sz w:val="22"/>
            <w:szCs w:val="22"/>
          </w:rPr>
          <w:t>la VI</w:t>
        </w:r>
      </w:smartTag>
      <w:r w:rsidRPr="00B24AFA">
        <w:rPr>
          <w:sz w:val="22"/>
          <w:szCs w:val="22"/>
        </w:rPr>
        <w:t xml:space="preserve"> región. DARH S.D.T. Nº 160-Noviembre de 2003</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3</w:t>
      </w:r>
      <w:r w:rsidRPr="00B24AFA">
        <w:rPr>
          <w:sz w:val="22"/>
          <w:szCs w:val="22"/>
        </w:rPr>
        <w:tab/>
        <w:t xml:space="preserve">Evaluación de Los Recursos Hídricos Subterráneos de </w:t>
      </w:r>
      <w:smartTag w:uri="urn:schemas-microsoft-com:office:smarttags" w:element="PersonName">
        <w:smartTagPr>
          <w:attr w:name="ProductID" w:val="la VI Región"/>
        </w:smartTagPr>
        <w:r w:rsidRPr="00B24AFA">
          <w:rPr>
            <w:sz w:val="22"/>
            <w:szCs w:val="22"/>
          </w:rPr>
          <w:t>la VI Región</w:t>
        </w:r>
      </w:smartTag>
      <w:r w:rsidRPr="00B24AFA">
        <w:rPr>
          <w:sz w:val="22"/>
          <w:szCs w:val="22"/>
        </w:rPr>
        <w:t xml:space="preserve"> “Modelación Hidrogeológica de los Valles de Alhué, Cachapoal y Tinguiririca” Informe Técnico DARH- S.D.T. Nº 209 Octubre de 2005</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4</w:t>
      </w:r>
      <w:r w:rsidRPr="00B24AFA">
        <w:rPr>
          <w:sz w:val="22"/>
          <w:szCs w:val="22"/>
        </w:rPr>
        <w:tab/>
        <w:t>Informe Técnico Nº 351 de noviembre de 2005. Declara área de restricción sector hidrogeológico de aprovechamiento común denominado Estero Las  Cadenas –Marchihue VI Región</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5</w:t>
      </w:r>
      <w:r w:rsidRPr="00B24AFA">
        <w:rPr>
          <w:sz w:val="22"/>
          <w:szCs w:val="22"/>
        </w:rPr>
        <w:tab/>
        <w:t xml:space="preserve">Evaluación de </w:t>
      </w:r>
      <w:smartTag w:uri="urn:schemas-microsoft-com:office:smarttags" w:element="PersonName">
        <w:smartTagPr>
          <w:attr w:name="ProductID" w:val="La Explotación Máxima"/>
        </w:smartTagPr>
        <w:r w:rsidRPr="00B24AFA">
          <w:rPr>
            <w:sz w:val="22"/>
            <w:szCs w:val="22"/>
          </w:rPr>
          <w:t>La Explotación Máxima</w:t>
        </w:r>
      </w:smartTag>
      <w:r w:rsidRPr="00B24AFA">
        <w:rPr>
          <w:sz w:val="22"/>
          <w:szCs w:val="22"/>
        </w:rPr>
        <w:t xml:space="preserve"> Sustentable de Los Acuíferos de </w:t>
      </w:r>
      <w:smartTag w:uri="urn:schemas-microsoft-com:office:smarttags" w:element="PersonName">
        <w:smartTagPr>
          <w:attr w:name="ProductID" w:val="la VI Región"/>
        </w:smartTagPr>
        <w:r w:rsidRPr="00B24AFA">
          <w:rPr>
            <w:sz w:val="22"/>
            <w:szCs w:val="22"/>
          </w:rPr>
          <w:t>la VI Región</w:t>
        </w:r>
      </w:smartTag>
      <w:r w:rsidRPr="00B24AFA">
        <w:rPr>
          <w:sz w:val="22"/>
          <w:szCs w:val="22"/>
        </w:rPr>
        <w:t xml:space="preserve"> “Modelación Hidrogeológica de los Valles de Alhué, Cachapoal y Tinguiririca” Informe Técnico DARH - S.D.T. Nº 229, Julio de 2006</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6</w:t>
      </w:r>
      <w:r w:rsidRPr="00B24AFA">
        <w:rPr>
          <w:sz w:val="22"/>
          <w:szCs w:val="22"/>
        </w:rPr>
        <w:tab/>
        <w:t>Catastro de Obras en Cauces Naturales y Áreas de Restricción. S.I.T. Nº 141. Vol 1: Catastros de Obras de Captación de Agua Subterránea en Áreas de Restricción. Len y Asociados, Dictuc S.A. Noviembre de 2006.</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7</w:t>
      </w:r>
      <w:r w:rsidRPr="00B24AFA">
        <w:rPr>
          <w:sz w:val="22"/>
          <w:szCs w:val="22"/>
        </w:rPr>
        <w:tab/>
        <w:t>Informe Técnico Nº 46 Febrero 2007 Declaración Área de Restricción Sectores Hidrogeológicos de Aprovechamiento Común del Cachapoal , VI Región</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8</w:t>
      </w:r>
      <w:r w:rsidRPr="00B24AFA">
        <w:rPr>
          <w:sz w:val="22"/>
          <w:szCs w:val="22"/>
        </w:rPr>
        <w:tab/>
        <w:t>Informe Técnico Nº 314 Octubre 2007 Declaración Área de Restricción Sector Hidrogeológico de Aprovechamiento Común de Codegua , VI Región</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9</w:t>
      </w:r>
      <w:r w:rsidRPr="00B24AFA">
        <w:rPr>
          <w:sz w:val="22"/>
          <w:szCs w:val="22"/>
        </w:rPr>
        <w:tab/>
        <w:t>Evaluación de los Recursos Hídrico subterráneos del Acuífero de Nilahue DARH- S.D.T. Nº 246, Agosto 2007</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REF10</w:t>
      </w:r>
      <w:r w:rsidRPr="00B24AFA">
        <w:rPr>
          <w:sz w:val="22"/>
          <w:szCs w:val="22"/>
        </w:rPr>
        <w:tab/>
        <w:t xml:space="preserve">Actualización de </w:t>
      </w:r>
      <w:smartTag w:uri="urn:schemas-microsoft-com:office:smarttags" w:element="PersonName">
        <w:smartTagPr>
          <w:attr w:name="ProductID" w:val="la Oferta"/>
        </w:smartTagPr>
        <w:r w:rsidRPr="00B24AFA">
          <w:rPr>
            <w:sz w:val="22"/>
            <w:szCs w:val="22"/>
          </w:rPr>
          <w:t>la Oferta</w:t>
        </w:r>
      </w:smartTag>
      <w:r w:rsidRPr="00B24AFA">
        <w:rPr>
          <w:sz w:val="22"/>
          <w:szCs w:val="22"/>
        </w:rPr>
        <w:t xml:space="preserve"> del recurso Hídrico Subterráneo en el Sector Acuífero Codegua. DARH-S.D.T. Nº 245, Agosto 2007</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11</w:t>
      </w:r>
      <w:r w:rsidRPr="00B24AFA">
        <w:rPr>
          <w:sz w:val="22"/>
          <w:szCs w:val="22"/>
        </w:rPr>
        <w:tab/>
        <w:t>Informe Técnico Nº 22 Enero 2008 Declaración Área de Restricción Sector Hidrogeológico de Aprovechamiento Común del Estero Alhué, VI Región</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t>REF 12</w:t>
      </w:r>
      <w:r w:rsidRPr="00B24AFA">
        <w:rPr>
          <w:sz w:val="22"/>
          <w:szCs w:val="22"/>
        </w:rPr>
        <w:tab/>
        <w:t>Diagnóstico y Clasificación de Sectores Acuíferos V y VI Región. GeoHidrología Consultores Ltda. S.I.T. Nº 183. Julio 2009.</w:t>
      </w:r>
    </w:p>
    <w:p w:rsidR="00D47B2F" w:rsidRPr="00B24AFA" w:rsidRDefault="00D47B2F" w:rsidP="00145762">
      <w:pPr>
        <w:pStyle w:val="NormalSangra"/>
        <w:numPr>
          <w:ilvl w:val="0"/>
          <w:numId w:val="1"/>
        </w:numPr>
        <w:tabs>
          <w:tab w:val="clear" w:pos="870"/>
        </w:tabs>
        <w:ind w:left="709" w:hanging="709"/>
        <w:rPr>
          <w:sz w:val="22"/>
          <w:szCs w:val="22"/>
        </w:rPr>
      </w:pPr>
      <w:r w:rsidRPr="00B24AFA">
        <w:rPr>
          <w:sz w:val="22"/>
          <w:szCs w:val="22"/>
        </w:rPr>
        <w:lastRenderedPageBreak/>
        <w:t>REF 13</w:t>
      </w:r>
      <w:r w:rsidRPr="00B24AFA">
        <w:rPr>
          <w:sz w:val="22"/>
          <w:szCs w:val="22"/>
        </w:rPr>
        <w:tab/>
        <w:t xml:space="preserve">Diagnóstico de </w:t>
      </w:r>
      <w:smartTag w:uri="urn:schemas-microsoft-com:office:smarttags" w:element="PersonName">
        <w:smartTagPr>
          <w:attr w:name="ProductID" w:val="la Red"/>
        </w:smartTagPr>
        <w:r w:rsidRPr="00B24AFA">
          <w:rPr>
            <w:sz w:val="22"/>
            <w:szCs w:val="22"/>
          </w:rPr>
          <w:t>la Red</w:t>
        </w:r>
      </w:smartTag>
      <w:r w:rsidRPr="00B24AFA">
        <w:rPr>
          <w:sz w:val="22"/>
          <w:szCs w:val="22"/>
        </w:rPr>
        <w:t xml:space="preserve"> de Aguas Subterráneas  Región del Libertador Bernardo O’Higgins INGEOREC Ltda.-S.I.T. Nº 227, Enero 2011.</w:t>
      </w:r>
    </w:p>
    <w:p w:rsidR="00D47B2F" w:rsidRPr="00362688" w:rsidRDefault="00D47B2F" w:rsidP="00B51B51">
      <w:pPr>
        <w:widowControl w:val="0"/>
        <w:rPr>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Como primera gran conclusión de </w:t>
      </w:r>
      <w:r>
        <w:rPr>
          <w:rFonts w:cs="Arial"/>
          <w:szCs w:val="22"/>
          <w:lang w:val="es-CL"/>
        </w:rPr>
        <w:t>la</w:t>
      </w:r>
      <w:r w:rsidRPr="000A582E">
        <w:rPr>
          <w:rFonts w:cs="Arial"/>
          <w:szCs w:val="22"/>
          <w:lang w:val="es-CL"/>
        </w:rPr>
        <w:t xml:space="preserve"> recopilación de antecedentes realizada, resalta el hecho que gran parte de los acuíferos de </w:t>
      </w:r>
      <w:smartTag w:uri="urn:schemas-microsoft-com:office:smarttags" w:element="PersonName">
        <w:smartTagPr>
          <w:attr w:name="ProductID" w:val="la VI"/>
        </w:smartTagPr>
        <w:r w:rsidRPr="000A582E">
          <w:rPr>
            <w:rFonts w:cs="Arial"/>
            <w:szCs w:val="22"/>
            <w:lang w:val="es-CL"/>
          </w:rPr>
          <w:t>la VI</w:t>
        </w:r>
      </w:smartTag>
      <w:r w:rsidRPr="000A582E">
        <w:rPr>
          <w:rFonts w:cs="Arial"/>
          <w:szCs w:val="22"/>
          <w:lang w:val="es-CL"/>
        </w:rPr>
        <w:t xml:space="preserve"> región han sido declarados zona de restricción, en relación a la extracción de nuevos recursos subterráneos, esto quiere decir, que no se otorgan más derechos de aguas subterráneos permanentes, solo pueden entregar</w:t>
      </w:r>
      <w:r>
        <w:rPr>
          <w:rFonts w:cs="Arial"/>
          <w:szCs w:val="22"/>
          <w:lang w:val="es-CL"/>
        </w:rPr>
        <w:t>se derechos de aguas subterránea</w:t>
      </w:r>
      <w:r w:rsidRPr="000A582E">
        <w:rPr>
          <w:rFonts w:cs="Arial"/>
          <w:szCs w:val="22"/>
          <w:lang w:val="es-CL"/>
        </w:rPr>
        <w:t>s provisionales, los cuales tienen un plazo de validez igual a 5 años. Cabe señalar que el monto total de derechos provisionales que son entregados, una vez declarada un área de restricción, corresponde a un porcentaje de los derechos ya otorgado</w:t>
      </w:r>
      <w:r>
        <w:rPr>
          <w:rFonts w:cs="Arial"/>
          <w:szCs w:val="22"/>
          <w:lang w:val="es-CL"/>
        </w:rPr>
        <w:t>s</w:t>
      </w:r>
      <w:r w:rsidRPr="000A582E">
        <w:rPr>
          <w:rFonts w:cs="Arial"/>
          <w:szCs w:val="22"/>
          <w:lang w:val="es-CL"/>
        </w:rPr>
        <w:t xml:space="preserve"> y varía dependiendo de las condiciones para cada sector. En el Plano</w:t>
      </w:r>
      <w:r>
        <w:rPr>
          <w:rFonts w:cs="Arial"/>
          <w:szCs w:val="22"/>
          <w:lang w:val="es-CL"/>
        </w:rPr>
        <w:t xml:space="preserve"> </w:t>
      </w:r>
      <w:r w:rsidRPr="000A582E">
        <w:rPr>
          <w:rFonts w:cs="Arial"/>
          <w:szCs w:val="22"/>
          <w:lang w:val="es-CL"/>
        </w:rPr>
        <w:t>1, se aprecia que solo las cuencas costeras y las partes altas de las cuencas de Tinguiririca</w:t>
      </w:r>
      <w:r>
        <w:rPr>
          <w:rFonts w:cs="Arial"/>
          <w:szCs w:val="22"/>
          <w:lang w:val="es-CL"/>
        </w:rPr>
        <w:t>, Cachapoal y e</w:t>
      </w:r>
      <w:r w:rsidRPr="000A582E">
        <w:rPr>
          <w:rFonts w:cs="Arial"/>
          <w:szCs w:val="22"/>
          <w:lang w:val="es-CL"/>
        </w:rPr>
        <w:t>stero Angostura, no han sido decla</w:t>
      </w:r>
      <w:r>
        <w:rPr>
          <w:rFonts w:cs="Arial"/>
          <w:szCs w:val="22"/>
          <w:lang w:val="es-CL"/>
        </w:rPr>
        <w:t>radas como áreas de restricción;</w:t>
      </w:r>
      <w:r w:rsidRPr="000A582E">
        <w:rPr>
          <w:rFonts w:cs="Arial"/>
          <w:szCs w:val="22"/>
          <w:lang w:val="es-CL"/>
        </w:rPr>
        <w:t xml:space="preserve"> en contraposición, prácticamente todo el valle central de l</w:t>
      </w:r>
      <w:r>
        <w:rPr>
          <w:rFonts w:cs="Arial"/>
          <w:szCs w:val="22"/>
          <w:lang w:val="es-CL"/>
        </w:rPr>
        <w:t>a región si lo está</w:t>
      </w:r>
      <w:r w:rsidRPr="000A582E">
        <w:rPr>
          <w:rFonts w:cs="Arial"/>
          <w:szCs w:val="22"/>
          <w:lang w:val="es-CL"/>
        </w:rPr>
        <w:t xml:space="preserve">. Existen actualmente definidas 25 zonas de restricción. </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Por otro lado, y a partir de la revisión de estudios realizada, se puede establecer que para los valles de Alhué, Cachapoal y Tinguiririca los antecedentes de los estudios del Departamento de Administración de Recursos Hídricos (DARH), SDT Nº 209 y SDT Nº 229 (REF 3 y REF5), contienen una amplia información estratigráfica, de condiciones en régimen natural y de geometría de los acuíferos. Si bien el SDT Nº 229 se basó en la modelación del SDT Nº 209, presenta nuevos antecedentes que se complementan con el estudio base (SDT 209). </w:t>
      </w:r>
    </w:p>
    <w:p w:rsidR="00B24AFA" w:rsidRPr="000A582E" w:rsidRDefault="00B24AFA"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Hay que agregar como antecedente de importancia el informe S.D.T Nº 245  (REF10), que agrega a la modelación realizada en el S.D.T Nº 209, la modelación del acuífero Codegua, no incluida anteriormente.</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Los informes técnicos Nº 351, Nº 4</w:t>
      </w:r>
      <w:r>
        <w:rPr>
          <w:rFonts w:cs="Arial"/>
          <w:szCs w:val="22"/>
          <w:lang w:val="es-CL"/>
        </w:rPr>
        <w:t xml:space="preserve">6 y Nº 22 (REF4, REF7 y REF11) </w:t>
      </w:r>
      <w:r w:rsidRPr="000A582E">
        <w:rPr>
          <w:rFonts w:cs="Arial"/>
          <w:szCs w:val="22"/>
          <w:lang w:val="es-CL"/>
        </w:rPr>
        <w:t>del DARH, aluden a los estudios SDT Nº 209 y SDT Nº 229, y no aportan información relevante, a excepción de una actualización de la demanda previsible de aguas subterráneas. Igualmente el informe Técnico Nº 314 (REF8) se basa en el informe S.D.T. Nº 245, y no aporta información relevante.</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El Informe S.D.T Nº 160 (REF2), cubre prácticamente toda </w:t>
      </w:r>
      <w:smartTag w:uri="urn:schemas-microsoft-com:office:smarttags" w:element="PersonName">
        <w:smartTagPr>
          <w:attr w:name="ProductID" w:val="la VI"/>
        </w:smartTagPr>
        <w:r w:rsidRPr="000A582E">
          <w:rPr>
            <w:rFonts w:cs="Arial"/>
            <w:szCs w:val="22"/>
            <w:lang w:val="es-CL"/>
          </w:rPr>
          <w:t>la VI</w:t>
        </w:r>
      </w:smartTag>
      <w:r w:rsidRPr="000A582E">
        <w:rPr>
          <w:rFonts w:cs="Arial"/>
          <w:szCs w:val="22"/>
          <w:lang w:val="es-CL"/>
        </w:rPr>
        <w:t xml:space="preserve"> región, y presenta antecedentes principalmente de espesor y transmisividad de acuíferos.</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Por otra parte el estudio CNR-AC (2003) (REF1) proporciona amplia información de niveles y parámetros elásticos de acuíferos costeros, así como características de embalses existentes en esos sectores, que cubren áreas no cubiertas por los demás estudios. </w:t>
      </w:r>
    </w:p>
    <w:p w:rsidR="00D47B2F" w:rsidRPr="000A582E" w:rsidRDefault="00D47B2F" w:rsidP="00B51B51">
      <w:pPr>
        <w:widowControl w:val="0"/>
        <w:rPr>
          <w:rFonts w:cs="Arial"/>
          <w:szCs w:val="22"/>
          <w:lang w:val="es-CL"/>
        </w:rPr>
      </w:pPr>
      <w:r w:rsidRPr="000A582E">
        <w:rPr>
          <w:rFonts w:cs="Arial"/>
          <w:szCs w:val="22"/>
          <w:lang w:val="es-CL"/>
        </w:rPr>
        <w:t xml:space="preserve"> </w:t>
      </w:r>
    </w:p>
    <w:p w:rsidR="00D47B2F" w:rsidRPr="000A582E" w:rsidRDefault="00D47B2F" w:rsidP="00B51B51">
      <w:pPr>
        <w:widowControl w:val="0"/>
        <w:rPr>
          <w:rFonts w:cs="Arial"/>
          <w:szCs w:val="22"/>
          <w:lang w:val="es-CL"/>
        </w:rPr>
      </w:pPr>
      <w:r w:rsidRPr="000A582E">
        <w:rPr>
          <w:rFonts w:cs="Arial"/>
          <w:szCs w:val="22"/>
          <w:lang w:val="es-CL"/>
        </w:rPr>
        <w:t>El Catastro del informe REF6 puede servir para complementar los datos de pozos existentes en los sectores acuíferos Graneros-Ra</w:t>
      </w:r>
      <w:r>
        <w:rPr>
          <w:rFonts w:cs="Arial"/>
          <w:szCs w:val="22"/>
          <w:lang w:val="es-CL"/>
        </w:rPr>
        <w:t>ncagua y Las Cadenas-Marchigüe.</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El Informe S.D.T. Nº 246 (REF9) presenta antecedentes de recarga en el sector acuífero Nilahue, con una sectorización más fina que en los demás estudio que incluyen este sector.</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El estudio REF12 presente datos de niveles de aguas subterráneas en el sector Estero Las Cadenas, para el período 1968-2005.</w:t>
      </w:r>
    </w:p>
    <w:p w:rsidR="00D47B2F" w:rsidRPr="000A582E" w:rsidRDefault="00D47B2F" w:rsidP="00B51B51">
      <w:pPr>
        <w:widowControl w:val="0"/>
        <w:rPr>
          <w:rFonts w:cs="Arial"/>
          <w:szCs w:val="22"/>
          <w:lang w:val="es-CL"/>
        </w:rPr>
      </w:pPr>
    </w:p>
    <w:p w:rsidR="00D47B2F" w:rsidRDefault="00D47B2F" w:rsidP="00B51B51">
      <w:pPr>
        <w:widowControl w:val="0"/>
        <w:rPr>
          <w:rFonts w:cs="Arial"/>
          <w:szCs w:val="22"/>
          <w:lang w:val="es-CL"/>
        </w:rPr>
      </w:pPr>
      <w:r w:rsidRPr="000A582E">
        <w:rPr>
          <w:rFonts w:cs="Arial"/>
          <w:szCs w:val="22"/>
          <w:lang w:val="es-CL"/>
        </w:rPr>
        <w:t xml:space="preserve">Finalmente el estudio REF13 proporciona datos sobre la continuidad de la información de </w:t>
      </w:r>
      <w:r w:rsidRPr="000A582E">
        <w:rPr>
          <w:rFonts w:cs="Arial"/>
          <w:szCs w:val="22"/>
          <w:lang w:val="es-CL"/>
        </w:rPr>
        <w:lastRenderedPageBreak/>
        <w:t xml:space="preserve">niveles observados en 78 pozos distribuidos en los acuíferos de Cachapoal, Tinguiririca, Nilahue, Alhué y Rapel. </w:t>
      </w:r>
    </w:p>
    <w:p w:rsidR="00D47B2F" w:rsidRPr="000A582E" w:rsidRDefault="00D47B2F" w:rsidP="00B51B51">
      <w:pPr>
        <w:widowControl w:val="0"/>
      </w:pPr>
    </w:p>
    <w:p w:rsidR="00D47B2F" w:rsidRPr="000A582E" w:rsidRDefault="00D47B2F" w:rsidP="00B51B51">
      <w:pPr>
        <w:pStyle w:val="Ttulo2"/>
        <w:keepNext w:val="0"/>
      </w:pPr>
      <w:bookmarkStart w:id="52" w:name="_Toc338179086"/>
      <w:bookmarkStart w:id="53" w:name="_Toc344391743"/>
      <w:r w:rsidRPr="000A582E">
        <w:t>Antecedentes Agronómicos y de Demandas de Riego</w:t>
      </w:r>
      <w:bookmarkEnd w:id="52"/>
      <w:bookmarkEnd w:id="53"/>
    </w:p>
    <w:p w:rsidR="00D47B2F" w:rsidRPr="000A582E" w:rsidRDefault="00D47B2F" w:rsidP="00B51B51">
      <w:pPr>
        <w:widowControl w:val="0"/>
      </w:pPr>
    </w:p>
    <w:p w:rsidR="00D47B2F" w:rsidRPr="000A582E" w:rsidRDefault="00D47B2F" w:rsidP="00B51B51">
      <w:pPr>
        <w:widowControl w:val="0"/>
        <w:rPr>
          <w:rFonts w:cs="Arial"/>
          <w:szCs w:val="22"/>
          <w:lang w:val="es-CL"/>
        </w:rPr>
      </w:pPr>
      <w:r w:rsidRPr="000A582E">
        <w:rPr>
          <w:rFonts w:cs="Arial"/>
          <w:szCs w:val="22"/>
          <w:lang w:val="es-CL"/>
        </w:rPr>
        <w:t>La recopilación de antecedentes se logró a través de la revisión de información bibliográfica.</w:t>
      </w:r>
      <w:r>
        <w:rPr>
          <w:rFonts w:cs="Arial"/>
          <w:szCs w:val="22"/>
          <w:lang w:val="es-CL"/>
        </w:rPr>
        <w:t xml:space="preserve"> </w:t>
      </w:r>
      <w:r w:rsidRPr="000A582E">
        <w:rPr>
          <w:rFonts w:cs="Arial"/>
          <w:szCs w:val="22"/>
          <w:lang w:val="es-CL"/>
        </w:rPr>
        <w:t>La información bibliográfica se obtuvo de la revisión de publicaciones de las siguientes instituciones: Dirección General de Aguas, Comisión Nacional de Riego, CIREN CORFO, Universidad de Chile, FAO y ODEPA, entre otros.</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Dentro de la revisión destacan los Catastros </w:t>
      </w:r>
      <w:r>
        <w:rPr>
          <w:rFonts w:cs="Arial"/>
          <w:szCs w:val="22"/>
          <w:lang w:val="es-CL"/>
        </w:rPr>
        <w:t xml:space="preserve">de </w:t>
      </w:r>
      <w:smartTag w:uri="urn:schemas-microsoft-com:office:smarttags" w:element="PersonName">
        <w:smartTagPr>
          <w:attr w:name="ProductID" w:val="la Dirección General"/>
        </w:smartTagPr>
        <w:r>
          <w:rPr>
            <w:rFonts w:cs="Arial"/>
            <w:szCs w:val="22"/>
            <w:lang w:val="es-CL"/>
          </w:rPr>
          <w:t xml:space="preserve">la </w:t>
        </w:r>
        <w:r w:rsidRPr="000A582E">
          <w:rPr>
            <w:rFonts w:cs="Arial"/>
            <w:szCs w:val="22"/>
            <w:lang w:val="es-CL"/>
          </w:rPr>
          <w:t>Dirección General</w:t>
        </w:r>
      </w:smartTag>
      <w:r w:rsidRPr="000A582E">
        <w:rPr>
          <w:rFonts w:cs="Arial"/>
          <w:szCs w:val="22"/>
          <w:lang w:val="es-CL"/>
        </w:rPr>
        <w:t xml:space="preserve"> de Aguas, con los cuales se está en condiciones de limitar las áreas de riego y secano, para fines de determinar la superficie efectivamente demandante de agua de riego.</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Para </w:t>
      </w:r>
      <w:smartTag w:uri="urn:schemas-microsoft-com:office:smarttags" w:element="PersonName">
        <w:smartTagPr>
          <w:attr w:name="ProductID" w:val="la VI Región"/>
        </w:smartTagPr>
        <w:r w:rsidRPr="000A582E">
          <w:rPr>
            <w:rFonts w:cs="Arial"/>
            <w:szCs w:val="22"/>
            <w:lang w:val="es-CL"/>
          </w:rPr>
          <w:t>la VI Región</w:t>
        </w:r>
      </w:smartTag>
      <w:r w:rsidRPr="000A582E">
        <w:rPr>
          <w:rFonts w:cs="Arial"/>
          <w:szCs w:val="22"/>
          <w:lang w:val="es-CL"/>
        </w:rPr>
        <w:t xml:space="preserve"> del General Bernardo O´Higgins se cuenta con los siguientes catastros de usuarios:</w:t>
      </w:r>
    </w:p>
    <w:p w:rsidR="00D47B2F" w:rsidRPr="000A582E" w:rsidRDefault="00D47B2F" w:rsidP="00B51B51">
      <w:pPr>
        <w:widowControl w:val="0"/>
        <w:ind w:left="600"/>
        <w:rPr>
          <w:rFonts w:cs="Arial"/>
          <w:szCs w:val="22"/>
          <w:lang w:val="es-CL"/>
        </w:rPr>
      </w:pP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 xml:space="preserve">Catastro General de Usuarios de Aguas de </w:t>
      </w:r>
      <w:smartTag w:uri="urn:schemas-microsoft-com:office:smarttags" w:element="PersonName">
        <w:smartTagPr>
          <w:attr w:name="ProductID" w:val="la Ribera Norte"/>
        </w:smartTagPr>
        <w:r w:rsidRPr="00362688">
          <w:rPr>
            <w:sz w:val="22"/>
            <w:szCs w:val="22"/>
          </w:rPr>
          <w:t>la Ribera Norte</w:t>
        </w:r>
      </w:smartTag>
      <w:r w:rsidRPr="00362688">
        <w:rPr>
          <w:sz w:val="22"/>
          <w:szCs w:val="22"/>
        </w:rPr>
        <w:t xml:space="preserve"> del Río Cachapoal y del Río Rapel, VI Región. Elaborado por la empresa Consultores en Economía, Planificación y Administración Ltda., en el año 1986.</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 xml:space="preserve">Catastro General de Usuarios de Aguas de </w:t>
      </w:r>
      <w:smartTag w:uri="urn:schemas-microsoft-com:office:smarttags" w:element="PersonName">
        <w:smartTagPr>
          <w:attr w:name="ProductID" w:val="la Ribera Sur"/>
        </w:smartTagPr>
        <w:r w:rsidRPr="00362688">
          <w:rPr>
            <w:sz w:val="22"/>
            <w:szCs w:val="22"/>
          </w:rPr>
          <w:t>la Ribera Sur</w:t>
        </w:r>
      </w:smartTag>
      <w:r w:rsidRPr="00362688">
        <w:rPr>
          <w:sz w:val="22"/>
          <w:szCs w:val="22"/>
        </w:rPr>
        <w:t xml:space="preserve"> del Río Cachapoal y sus Afluentes, Cuenca del Río Rapel, VI Región. Elaborado por la empresa Consultores en Economía, Planificación y Administración Ltda., en el año 1985.</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Cuencas del Río Claro de Rengo y del Estero Zamorano. Catastro de Usuarios. Elaborado por la empresa Solano Vega y Asociados Ingenieros Consultores, en el año 1984.</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Catastro de Usuarios del Río Tinguiririca y sus Afluentes. Elaborado por la empresa REG Ingenieros Consultores Asociados Ltda., en el año 1984.</w:t>
      </w:r>
    </w:p>
    <w:p w:rsidR="00D47B2F" w:rsidRPr="000A582E" w:rsidRDefault="00D47B2F" w:rsidP="00B51B51">
      <w:pPr>
        <w:widowControl w:val="0"/>
        <w:tabs>
          <w:tab w:val="left" w:pos="709"/>
          <w:tab w:val="left" w:pos="1134"/>
        </w:tabs>
        <w:ind w:right="6"/>
        <w:rPr>
          <w:rFonts w:cs="Arial"/>
          <w:sz w:val="24"/>
        </w:rPr>
      </w:pPr>
    </w:p>
    <w:p w:rsidR="00D47B2F" w:rsidRPr="000A582E" w:rsidRDefault="00D47B2F" w:rsidP="00B51B51">
      <w:pPr>
        <w:widowControl w:val="0"/>
        <w:rPr>
          <w:rFonts w:cs="Arial"/>
          <w:szCs w:val="22"/>
          <w:lang w:val="es-CL"/>
        </w:rPr>
      </w:pPr>
      <w:r w:rsidRPr="000A582E">
        <w:rPr>
          <w:rFonts w:cs="Arial"/>
          <w:szCs w:val="22"/>
          <w:lang w:val="es-CL"/>
        </w:rPr>
        <w:t xml:space="preserve">El estudio de Diagnóstico Actual del Riego y Drenaje en Chile y su Proyección, elaborado por la firma Ayala, Cabrera y Asociados Ltda. para </w:t>
      </w:r>
      <w:smartTag w:uri="urn:schemas-microsoft-com:office:smarttags" w:element="PersonName">
        <w:smartTagPr>
          <w:attr w:name="ProductID" w:val="la Comisión Nacional"/>
        </w:smartTagPr>
        <w:r w:rsidRPr="000A582E">
          <w:rPr>
            <w:rFonts w:cs="Arial"/>
            <w:szCs w:val="22"/>
            <w:lang w:val="es-CL"/>
          </w:rPr>
          <w:t>la Comisión Nacional</w:t>
        </w:r>
      </w:smartTag>
      <w:r w:rsidRPr="000A582E">
        <w:rPr>
          <w:rFonts w:cs="Arial"/>
          <w:szCs w:val="22"/>
          <w:lang w:val="es-CL"/>
        </w:rPr>
        <w:t xml:space="preserve"> de Riego, del año 2003, posee una amplia cantidad de información en forma cartográfica. Entre los antecedentes de importancia para el presente proyecto se pueden considerar las siguientes variables: suelos, clima, población, red de canales y embalses, uso actual del suelo, proyectos bonificados por </w:t>
      </w:r>
      <w:smartTag w:uri="urn:schemas-microsoft-com:office:smarttags" w:element="PersonName">
        <w:smartTagPr>
          <w:attr w:name="ProductID" w:val="la Ley"/>
        </w:smartTagPr>
        <w:r w:rsidRPr="000A582E">
          <w:rPr>
            <w:rFonts w:cs="Arial"/>
            <w:szCs w:val="22"/>
            <w:lang w:val="es-CL"/>
          </w:rPr>
          <w:t>la Ley</w:t>
        </w:r>
      </w:smartTag>
      <w:r w:rsidRPr="000A582E">
        <w:rPr>
          <w:rFonts w:cs="Arial"/>
          <w:szCs w:val="22"/>
          <w:lang w:val="es-CL"/>
        </w:rPr>
        <w:t xml:space="preserve"> 18.450, etc.</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De este estudio se ut</w:t>
      </w:r>
      <w:r>
        <w:rPr>
          <w:rFonts w:cs="Arial"/>
          <w:szCs w:val="22"/>
          <w:lang w:val="es-CL"/>
        </w:rPr>
        <w:t>ilizará</w:t>
      </w:r>
      <w:r w:rsidRPr="000A582E">
        <w:rPr>
          <w:rFonts w:cs="Arial"/>
          <w:szCs w:val="22"/>
          <w:lang w:val="es-CL"/>
        </w:rPr>
        <w:t xml:space="preserve"> la información cartográfica de manera preliminar para hacer el vaciado de los antecedentes de uso del suelo y del catastro frutícola de CirenCorfo a escala 1:50.000.</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En cuanto al informe de AC Ingenieros para </w:t>
      </w:r>
      <w:smartTag w:uri="urn:schemas-microsoft-com:office:smarttags" w:element="PersonName">
        <w:smartTagPr>
          <w:attr w:name="ProductID" w:val="la Dirección General"/>
        </w:smartTagPr>
        <w:r w:rsidRPr="000A582E">
          <w:rPr>
            <w:rFonts w:cs="Arial"/>
            <w:szCs w:val="22"/>
            <w:lang w:val="es-CL"/>
          </w:rPr>
          <w:t>la Dirección General</w:t>
        </w:r>
      </w:smartTag>
      <w:r w:rsidRPr="000A582E">
        <w:rPr>
          <w:rFonts w:cs="Arial"/>
          <w:szCs w:val="22"/>
          <w:lang w:val="es-CL"/>
        </w:rPr>
        <w:t xml:space="preserve"> de Aguas, 2007, correspondiente a </w:t>
      </w:r>
      <w:smartTag w:uri="urn:schemas-microsoft-com:office:smarttags" w:element="PersonName">
        <w:smartTagPr>
          <w:attr w:name="ProductID" w:val="la Actualización Uso"/>
        </w:smartTagPr>
        <w:r w:rsidRPr="000A582E">
          <w:rPr>
            <w:rFonts w:cs="Arial"/>
            <w:szCs w:val="22"/>
            <w:lang w:val="es-CL"/>
          </w:rPr>
          <w:t>la Actualización Uso</w:t>
        </w:r>
      </w:smartTag>
      <w:r w:rsidRPr="000A582E">
        <w:rPr>
          <w:rFonts w:cs="Arial"/>
          <w:szCs w:val="22"/>
          <w:lang w:val="es-CL"/>
        </w:rPr>
        <w:t xml:space="preserve"> Actual y Futuro de los Recursos Hídricos Zona II Sur, Regiones V Sur a </w:t>
      </w:r>
      <w:smartTag w:uri="urn:schemas-microsoft-com:office:smarttags" w:element="PersonName">
        <w:smartTagPr>
          <w:attr w:name="ProductID" w:val="la XII"/>
        </w:smartTagPr>
        <w:r w:rsidRPr="000A582E">
          <w:rPr>
            <w:rFonts w:cs="Arial"/>
            <w:szCs w:val="22"/>
            <w:lang w:val="es-CL"/>
          </w:rPr>
          <w:t>la XII</w:t>
        </w:r>
      </w:smartTag>
      <w:r w:rsidRPr="000A582E">
        <w:rPr>
          <w:rFonts w:cs="Arial"/>
          <w:szCs w:val="22"/>
          <w:lang w:val="es-CL"/>
        </w:rPr>
        <w:t xml:space="preserve">, se utilizarán en la caracterización de las cuencas y subcuencas de </w:t>
      </w:r>
      <w:smartTag w:uri="urn:schemas-microsoft-com:office:smarttags" w:element="PersonName">
        <w:smartTagPr>
          <w:attr w:name="ProductID" w:val="la VI Región"/>
        </w:smartTagPr>
        <w:r w:rsidRPr="000A582E">
          <w:rPr>
            <w:rFonts w:cs="Arial"/>
            <w:szCs w:val="22"/>
            <w:lang w:val="es-CL"/>
          </w:rPr>
          <w:t>la VI Región</w:t>
        </w:r>
      </w:smartTag>
      <w:r w:rsidRPr="000A582E">
        <w:rPr>
          <w:rFonts w:cs="Arial"/>
          <w:szCs w:val="22"/>
          <w:lang w:val="es-CL"/>
        </w:rPr>
        <w:t xml:space="preserve"> con fines de determinar las demandas de agua en uso agropecuario.</w:t>
      </w:r>
    </w:p>
    <w:p w:rsidR="00D47B2F" w:rsidRPr="000A582E" w:rsidRDefault="00D47B2F" w:rsidP="00B51B51">
      <w:pPr>
        <w:widowControl w:val="0"/>
        <w:rPr>
          <w:rFonts w:cs="Arial"/>
          <w:szCs w:val="22"/>
          <w:lang w:val="es-CL"/>
        </w:rPr>
      </w:pPr>
      <w:r>
        <w:rPr>
          <w:rFonts w:cs="Arial"/>
          <w:szCs w:val="22"/>
          <w:lang w:val="es-CL"/>
        </w:rPr>
        <w:t>El</w:t>
      </w:r>
      <w:r w:rsidRPr="000A582E">
        <w:rPr>
          <w:rFonts w:cs="Arial"/>
          <w:szCs w:val="22"/>
          <w:lang w:val="es-CL"/>
        </w:rPr>
        <w:t xml:space="preserve"> VI y VII Censo Nacional Agropecuario del Instituto Nacional de Estadísticas, de los años 1997 y 2007, respectivamente, son fundamentales en la obtención del uso actual y potencial del suelo, lo anterior de acuerdo a las evoluciones de superficie de cada rubro productivo.</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Además, con el propósito de determinar el uso del suelo histórico por cada comuna y cuenca, se utilizarán  los Censos Nacionales Agropecuarios de los años 1997 y 2007, de </w:t>
      </w:r>
      <w:r w:rsidRPr="000A582E">
        <w:rPr>
          <w:rFonts w:cs="Arial"/>
          <w:szCs w:val="22"/>
          <w:lang w:val="es-CL"/>
        </w:rPr>
        <w:lastRenderedPageBreak/>
        <w:t>manera de ser comparables con los resultados obtenidos tanto para la situación actual y proyectada o futura.</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Por otra parte, el Centro Información Recursos Naturales (CIREN-CORFO) proporciona información muy útil al momento de determinar las demandas actualizadas para cada cuenca. La información recopilada en esta institución comprende los siguientes antecedentes:</w:t>
      </w:r>
    </w:p>
    <w:p w:rsidR="00D47B2F" w:rsidRPr="000A582E" w:rsidRDefault="00D47B2F" w:rsidP="00B51B51">
      <w:pPr>
        <w:widowControl w:val="0"/>
        <w:tabs>
          <w:tab w:val="left" w:pos="709"/>
          <w:tab w:val="left" w:pos="1134"/>
        </w:tabs>
        <w:ind w:right="6"/>
        <w:rPr>
          <w:rFonts w:cs="Arial"/>
          <w:sz w:val="24"/>
        </w:rPr>
      </w:pP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 xml:space="preserve">Catastro Frutícola de </w:t>
      </w:r>
      <w:smartTag w:uri="urn:schemas-microsoft-com:office:smarttags" w:element="PersonName">
        <w:smartTagPr>
          <w:attr w:name="ProductID" w:val="la VI Región"/>
        </w:smartTagPr>
        <w:r w:rsidRPr="00362688">
          <w:rPr>
            <w:sz w:val="22"/>
            <w:szCs w:val="22"/>
          </w:rPr>
          <w:t>la VI Región</w:t>
        </w:r>
      </w:smartTag>
      <w:r w:rsidRPr="00362688">
        <w:rPr>
          <w:sz w:val="22"/>
          <w:szCs w:val="22"/>
        </w:rPr>
        <w:t xml:space="preserve"> con antecedentes que sirven para determinar las especies frutales presentes en el área de estudio y sus superficies. Este material elaborado en forma especial para </w:t>
      </w:r>
      <w:r>
        <w:rPr>
          <w:sz w:val="22"/>
          <w:szCs w:val="22"/>
        </w:rPr>
        <w:t>el presente C</w:t>
      </w:r>
      <w:r w:rsidRPr="00362688">
        <w:rPr>
          <w:sz w:val="22"/>
          <w:szCs w:val="22"/>
        </w:rPr>
        <w:t>onsultor por CirenCorfo, fue entregado en formato digital ArcGis y es utilizado para elaborar los mapas de uso actual del suelo.</w:t>
      </w:r>
    </w:p>
    <w:p w:rsidR="00D47B2F" w:rsidRPr="00362688" w:rsidRDefault="00D47B2F" w:rsidP="00145762">
      <w:pPr>
        <w:pStyle w:val="NormalSangra"/>
        <w:numPr>
          <w:ilvl w:val="0"/>
          <w:numId w:val="1"/>
        </w:numPr>
        <w:tabs>
          <w:tab w:val="clear" w:pos="870"/>
        </w:tabs>
        <w:ind w:left="709" w:hanging="709"/>
        <w:rPr>
          <w:sz w:val="22"/>
          <w:szCs w:val="22"/>
        </w:rPr>
      </w:pPr>
      <w:r w:rsidRPr="00362688">
        <w:rPr>
          <w:sz w:val="22"/>
          <w:szCs w:val="22"/>
        </w:rPr>
        <w:t xml:space="preserve">Directorio de Infraestructura y Agroindustria Frutícola de </w:t>
      </w:r>
      <w:smartTag w:uri="urn:schemas-microsoft-com:office:smarttags" w:element="PersonName">
        <w:smartTagPr>
          <w:attr w:name="ProductID" w:val="la VI Región."/>
        </w:smartTagPr>
        <w:r w:rsidRPr="00362688">
          <w:rPr>
            <w:sz w:val="22"/>
            <w:szCs w:val="22"/>
          </w:rPr>
          <w:t>la VI Región.</w:t>
        </w:r>
      </w:smartTag>
      <w:r w:rsidRPr="00362688">
        <w:rPr>
          <w:sz w:val="22"/>
          <w:szCs w:val="22"/>
        </w:rPr>
        <w:t xml:space="preserve"> Publicación elaborada por CIREN - CORFO en donde se detalla las agroindustrias de deshidratados, elaboradoras de aceite de oliva, plantas de embalaje, cámaras de frío y fumigación, entre otras. Estos antecedentes servirán de base en la determinación de criterios de proyección del uso futuro del suelo.</w:t>
      </w:r>
    </w:p>
    <w:p w:rsidR="00D47B2F" w:rsidRPr="000A582E" w:rsidRDefault="00D47B2F" w:rsidP="00B51B51">
      <w:pPr>
        <w:widowControl w:val="0"/>
        <w:tabs>
          <w:tab w:val="left" w:pos="709"/>
          <w:tab w:val="left" w:pos="1134"/>
        </w:tabs>
        <w:ind w:right="6"/>
        <w:rPr>
          <w:rFonts w:cs="Arial"/>
          <w:sz w:val="24"/>
        </w:rPr>
      </w:pPr>
    </w:p>
    <w:p w:rsidR="00D47B2F" w:rsidRDefault="00D47B2F" w:rsidP="00B51B51">
      <w:pPr>
        <w:widowControl w:val="0"/>
        <w:rPr>
          <w:rFonts w:cs="Arial"/>
          <w:szCs w:val="22"/>
          <w:lang w:val="es-CL"/>
        </w:rPr>
      </w:pPr>
      <w:smartTag w:uri="urn:schemas-microsoft-com:office:smarttags" w:element="PersonName">
        <w:smartTagPr>
          <w:attr w:name="ProductID" w:val="La Oficina"/>
        </w:smartTagPr>
        <w:r w:rsidRPr="000A582E">
          <w:rPr>
            <w:rFonts w:cs="Arial"/>
            <w:szCs w:val="22"/>
            <w:lang w:val="es-CL"/>
          </w:rPr>
          <w:t>La Oficina</w:t>
        </w:r>
      </w:smartTag>
      <w:r w:rsidRPr="000A582E">
        <w:rPr>
          <w:rFonts w:cs="Arial"/>
          <w:szCs w:val="22"/>
          <w:lang w:val="es-CL"/>
        </w:rPr>
        <w:t xml:space="preserve"> de Estudios y Políticas Agrarias (ODEPA), posee registros de importaciones y de exportaciones, como también de los retornos FOB de las distintas especies exportadas. Con estos antecedentes se podrá obtener una orientación de los criterios de proyección del uso futuro de los suelos.</w:t>
      </w:r>
    </w:p>
    <w:p w:rsidR="00F93622" w:rsidRPr="000A582E" w:rsidRDefault="00F93622" w:rsidP="00B51B51">
      <w:pPr>
        <w:widowControl w:val="0"/>
        <w:rPr>
          <w:rFonts w:cs="Arial"/>
          <w:szCs w:val="22"/>
          <w:lang w:val="es-CL"/>
        </w:rPr>
      </w:pPr>
    </w:p>
    <w:p w:rsidR="00D47B2F" w:rsidRPr="000A582E" w:rsidRDefault="00D47B2F" w:rsidP="00B51B51">
      <w:pPr>
        <w:widowControl w:val="0"/>
        <w:rPr>
          <w:rFonts w:cs="Arial"/>
          <w:szCs w:val="22"/>
          <w:lang w:val="es-CL"/>
        </w:rPr>
      </w:pPr>
      <w:r>
        <w:rPr>
          <w:rFonts w:cs="Arial"/>
          <w:szCs w:val="22"/>
          <w:lang w:val="es-CL"/>
        </w:rPr>
        <w:t>El objetivo que</w:t>
      </w:r>
      <w:r w:rsidRPr="000A582E">
        <w:rPr>
          <w:rFonts w:cs="Arial"/>
          <w:szCs w:val="22"/>
          <w:lang w:val="es-CL"/>
        </w:rPr>
        <w:t xml:space="preserve"> ti</w:t>
      </w:r>
      <w:r>
        <w:rPr>
          <w:rFonts w:cs="Arial"/>
          <w:szCs w:val="22"/>
          <w:lang w:val="es-CL"/>
        </w:rPr>
        <w:t>ene este organismo es proveer</w:t>
      </w:r>
      <w:r w:rsidRPr="000A582E">
        <w:rPr>
          <w:rFonts w:cs="Arial"/>
          <w:szCs w:val="22"/>
          <w:lang w:val="es-CL"/>
        </w:rPr>
        <w:t xml:space="preserve"> la información necesaria de tipo agroeconómica</w:t>
      </w:r>
      <w:r>
        <w:rPr>
          <w:rFonts w:cs="Arial"/>
          <w:szCs w:val="22"/>
          <w:lang w:val="es-CL"/>
        </w:rPr>
        <w:t>,</w:t>
      </w:r>
      <w:r w:rsidRPr="000A582E">
        <w:rPr>
          <w:rFonts w:cs="Arial"/>
          <w:szCs w:val="22"/>
          <w:lang w:val="es-CL"/>
        </w:rPr>
        <w:t xml:space="preserve"> para que los agricultores y los </w:t>
      </w:r>
      <w:r>
        <w:rPr>
          <w:rFonts w:cs="Arial"/>
          <w:szCs w:val="22"/>
          <w:lang w:val="es-CL"/>
        </w:rPr>
        <w:t>organismos estatales y privados</w:t>
      </w:r>
      <w:r w:rsidRPr="000A582E">
        <w:rPr>
          <w:rFonts w:cs="Arial"/>
          <w:szCs w:val="22"/>
          <w:lang w:val="es-CL"/>
        </w:rPr>
        <w:t xml:space="preserve"> tengan las herramientas suficientes para la toma de decisiones y políticas gubernamentales en el ámbito agroalimenticio.</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En la página WEB de ODEPA se puede obtener estadísticas de importaciones y  exportaciones, como también de los retornos FOB de las distintas especies que son transadas en el exterior. Además, en este sitio se dispone de estadísticas de superficie de las diferentes especies cultivadas en el área de proyecto como también de las existencias de ganado.</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Por otra parte de </w:t>
      </w:r>
      <w:smartTag w:uri="urn:schemas-microsoft-com:office:smarttags" w:element="PersonName">
        <w:smartTagPr>
          <w:attr w:name="ProductID" w:val="la Universidad"/>
        </w:smartTagPr>
        <w:r w:rsidRPr="000A582E">
          <w:rPr>
            <w:rFonts w:cs="Arial"/>
            <w:szCs w:val="22"/>
            <w:lang w:val="es-CL"/>
          </w:rPr>
          <w:t>la Universidad</w:t>
        </w:r>
      </w:smartTag>
      <w:r w:rsidRPr="000A582E">
        <w:rPr>
          <w:rFonts w:cs="Arial"/>
          <w:szCs w:val="22"/>
          <w:lang w:val="es-CL"/>
        </w:rPr>
        <w:t xml:space="preserve"> de Chile se utilizará el Atlas Agroclimático de Chile. Este atlas fue elaborado por el profesor Ingeniero Agrónomo PhD. Fernando Santibáñez en el año 1993.</w:t>
      </w:r>
    </w:p>
    <w:p w:rsidR="00D47B2F" w:rsidRPr="000A582E" w:rsidRDefault="00D47B2F" w:rsidP="00B51B51">
      <w:pPr>
        <w:widowControl w:val="0"/>
        <w:rPr>
          <w:rFonts w:cs="Arial"/>
          <w:szCs w:val="22"/>
          <w:lang w:val="es-CL"/>
        </w:rPr>
      </w:pPr>
    </w:p>
    <w:p w:rsidR="00D47B2F" w:rsidRDefault="00D47B2F" w:rsidP="00B51B51">
      <w:pPr>
        <w:widowControl w:val="0"/>
        <w:rPr>
          <w:rFonts w:cs="Arial"/>
          <w:szCs w:val="22"/>
          <w:lang w:val="es-CL"/>
        </w:rPr>
      </w:pPr>
      <w:r w:rsidRPr="000A582E">
        <w:rPr>
          <w:rFonts w:cs="Arial"/>
          <w:szCs w:val="22"/>
          <w:lang w:val="es-CL"/>
        </w:rPr>
        <w:t>Para caracterizar el clima y agroclima de</w:t>
      </w:r>
      <w:r>
        <w:rPr>
          <w:rFonts w:cs="Arial"/>
          <w:szCs w:val="22"/>
          <w:lang w:val="es-CL"/>
        </w:rPr>
        <w:t xml:space="preserve"> </w:t>
      </w:r>
      <w:r w:rsidRPr="000A582E">
        <w:rPr>
          <w:rFonts w:cs="Arial"/>
          <w:szCs w:val="22"/>
          <w:lang w:val="es-CL"/>
        </w:rPr>
        <w:t xml:space="preserve">las áreas de interés se utiliza fundamentalmente la información contenida en este Atlas Agroclimático de Chile de </w:t>
      </w:r>
      <w:smartTag w:uri="urn:schemas-microsoft-com:office:smarttags" w:element="PersonName">
        <w:smartTagPr>
          <w:attr w:name="ProductID" w:val="la Universidad"/>
        </w:smartTagPr>
        <w:r w:rsidRPr="000A582E">
          <w:rPr>
            <w:rFonts w:cs="Arial"/>
            <w:szCs w:val="22"/>
            <w:lang w:val="es-CL"/>
          </w:rPr>
          <w:t>la Universidad</w:t>
        </w:r>
      </w:smartTag>
      <w:r w:rsidRPr="000A582E">
        <w:rPr>
          <w:rFonts w:cs="Arial"/>
          <w:szCs w:val="22"/>
          <w:lang w:val="es-CL"/>
        </w:rPr>
        <w:t xml:space="preserve"> de Chile. Además de la </w:t>
      </w:r>
      <w:r>
        <w:rPr>
          <w:rFonts w:cs="Arial"/>
          <w:szCs w:val="22"/>
          <w:lang w:val="es-CL"/>
        </w:rPr>
        <w:t>caracterización señalada, este A</w:t>
      </w:r>
      <w:r w:rsidRPr="000A582E">
        <w:rPr>
          <w:rFonts w:cs="Arial"/>
          <w:szCs w:val="22"/>
          <w:lang w:val="es-CL"/>
        </w:rPr>
        <w:t>tlas permite establecer las potencialidades que los diferentes agroclimas</w:t>
      </w:r>
      <w:r>
        <w:rPr>
          <w:rFonts w:cs="Arial"/>
          <w:szCs w:val="22"/>
          <w:lang w:val="es-CL"/>
        </w:rPr>
        <w:t xml:space="preserve"> </w:t>
      </w:r>
      <w:r w:rsidRPr="000A582E">
        <w:rPr>
          <w:rFonts w:cs="Arial"/>
          <w:szCs w:val="22"/>
          <w:lang w:val="es-CL"/>
        </w:rPr>
        <w:t xml:space="preserve">ofrecen para el desarrollo agropecuario futuro. </w:t>
      </w:r>
    </w:p>
    <w:p w:rsidR="006D6432" w:rsidRPr="000A582E" w:rsidRDefault="006D6432"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De </w:t>
      </w:r>
      <w:smartTag w:uri="urn:schemas-microsoft-com:office:smarttags" w:element="PersonName">
        <w:smartTagPr>
          <w:attr w:name="ProductID" w:val="la FAO"/>
        </w:smartTagPr>
        <w:r w:rsidRPr="000A582E">
          <w:rPr>
            <w:rFonts w:cs="Arial"/>
            <w:szCs w:val="22"/>
            <w:lang w:val="es-CL"/>
          </w:rPr>
          <w:t>la FAO</w:t>
        </w:r>
      </w:smartTag>
      <w:r w:rsidRPr="000A582E">
        <w:rPr>
          <w:rFonts w:cs="Arial"/>
          <w:szCs w:val="22"/>
          <w:lang w:val="es-CL"/>
        </w:rPr>
        <w:t xml:space="preserve"> de utilizarán las publicaciones FAO Nº 24 y Nº 56. El FAO Nº56 fue elaborado en el año 1990 y contiene información más actualizada que el FAO Nº24 que corresponde al año 1976, para verificar y complementar los factores de cultivo en la determinación de las necesidades de agua de riego.</w:t>
      </w:r>
    </w:p>
    <w:p w:rsidR="008240BE" w:rsidRPr="000A582E" w:rsidRDefault="008240BE"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El objetivo de estos estudios de </w:t>
      </w:r>
      <w:smartTag w:uri="urn:schemas-microsoft-com:office:smarttags" w:element="PersonName">
        <w:smartTagPr>
          <w:attr w:name="ProductID" w:val="la FAO"/>
        </w:smartTagPr>
        <w:r w:rsidRPr="000A582E">
          <w:rPr>
            <w:rFonts w:cs="Arial"/>
            <w:szCs w:val="22"/>
            <w:lang w:val="es-CL"/>
          </w:rPr>
          <w:t>la FAO</w:t>
        </w:r>
      </w:smartTag>
      <w:r w:rsidRPr="000A582E">
        <w:rPr>
          <w:rFonts w:cs="Arial"/>
          <w:szCs w:val="22"/>
          <w:lang w:val="es-CL"/>
        </w:rPr>
        <w:t xml:space="preserve"> es entregar las herramientas necesarias para que los </w:t>
      </w:r>
      <w:r w:rsidRPr="000A582E">
        <w:rPr>
          <w:rFonts w:cs="Arial"/>
          <w:szCs w:val="22"/>
          <w:lang w:val="es-CL"/>
        </w:rPr>
        <w:lastRenderedPageBreak/>
        <w:t xml:space="preserve">distintos países en donde participa </w:t>
      </w:r>
      <w:smartTag w:uri="urn:schemas-microsoft-com:office:smarttags" w:element="PersonName">
        <w:smartTagPr>
          <w:attr w:name="ProductID" w:val="la FAO"/>
        </w:smartTagPr>
        <w:r w:rsidRPr="000A582E">
          <w:rPr>
            <w:rFonts w:cs="Arial"/>
            <w:szCs w:val="22"/>
            <w:lang w:val="es-CL"/>
          </w:rPr>
          <w:t>la FAO</w:t>
        </w:r>
      </w:smartTag>
      <w:r w:rsidRPr="000A582E">
        <w:rPr>
          <w:rFonts w:cs="Arial"/>
          <w:szCs w:val="22"/>
          <w:lang w:val="es-CL"/>
        </w:rPr>
        <w:t xml:space="preserve"> puedan determinar de la manera más exacta posible las demandas evapotranspirativas de los cultivos bajo riego. </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No existe un área específica de acción de estos docu</w:t>
      </w:r>
      <w:r>
        <w:rPr>
          <w:rFonts w:cs="Arial"/>
          <w:szCs w:val="22"/>
          <w:lang w:val="es-CL"/>
        </w:rPr>
        <w:t>mentos. Se puede precisar que se</w:t>
      </w:r>
      <w:r w:rsidRPr="000A582E">
        <w:rPr>
          <w:rFonts w:cs="Arial"/>
          <w:szCs w:val="22"/>
          <w:lang w:val="es-CL"/>
        </w:rPr>
        <w:t xml:space="preserve"> entrega</w:t>
      </w:r>
      <w:r>
        <w:rPr>
          <w:rFonts w:cs="Arial"/>
          <w:szCs w:val="22"/>
          <w:lang w:val="es-CL"/>
        </w:rPr>
        <w:t>n</w:t>
      </w:r>
      <w:r w:rsidRPr="000A582E">
        <w:rPr>
          <w:rFonts w:cs="Arial"/>
          <w:szCs w:val="22"/>
          <w:lang w:val="es-CL"/>
        </w:rPr>
        <w:t xml:space="preserve"> antecedentes de acuerdo a las características agroclimáticas de los diferentes hemisferios.</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De </w:t>
      </w:r>
      <w:smartTag w:uri="urn:schemas-microsoft-com:office:smarttags" w:element="PersonName">
        <w:smartTagPr>
          <w:attr w:name="ProductID" w:val="la Comisión Nacional"/>
        </w:smartTagPr>
        <w:r w:rsidRPr="000A582E">
          <w:rPr>
            <w:rFonts w:cs="Arial"/>
            <w:szCs w:val="22"/>
            <w:lang w:val="es-CL"/>
          </w:rPr>
          <w:t>la Comisión Nacional</w:t>
        </w:r>
      </w:smartTag>
      <w:r w:rsidRPr="000A582E">
        <w:rPr>
          <w:rFonts w:cs="Arial"/>
          <w:szCs w:val="22"/>
          <w:lang w:val="es-CL"/>
        </w:rPr>
        <w:t xml:space="preserve"> de Riego se utilizará un estudio elaborado por </w:t>
      </w:r>
      <w:r w:rsidR="006D6432">
        <w:rPr>
          <w:rFonts w:cs="Arial"/>
          <w:szCs w:val="22"/>
          <w:lang w:val="es-CL"/>
        </w:rPr>
        <w:t>CIREN</w:t>
      </w:r>
      <w:r w:rsidRPr="000A582E">
        <w:rPr>
          <w:rFonts w:cs="Arial"/>
          <w:szCs w:val="22"/>
          <w:lang w:val="es-CL"/>
        </w:rPr>
        <w:t xml:space="preserve"> para esta institución estatal</w:t>
      </w:r>
      <w:r>
        <w:rPr>
          <w:rFonts w:cs="Arial"/>
          <w:szCs w:val="22"/>
          <w:lang w:val="es-CL"/>
        </w:rPr>
        <w:t>,</w:t>
      </w:r>
      <w:r w:rsidRPr="000A582E">
        <w:rPr>
          <w:rFonts w:cs="Arial"/>
          <w:szCs w:val="22"/>
          <w:lang w:val="es-CL"/>
        </w:rPr>
        <w:t xml:space="preserve"> denominado Cálculo y Cartografía de </w:t>
      </w:r>
      <w:smartTag w:uri="urn:schemas-microsoft-com:office:smarttags" w:element="PersonName">
        <w:smartTagPr>
          <w:attr w:name="ProductID" w:val="la Evapotranspiración Potencial"/>
        </w:smartTagPr>
        <w:r w:rsidRPr="000A582E">
          <w:rPr>
            <w:rFonts w:cs="Arial"/>
            <w:szCs w:val="22"/>
            <w:lang w:val="es-CL"/>
          </w:rPr>
          <w:t>la Evapotra</w:t>
        </w:r>
        <w:r>
          <w:rPr>
            <w:rFonts w:cs="Arial"/>
            <w:szCs w:val="22"/>
            <w:lang w:val="es-CL"/>
          </w:rPr>
          <w:t>n</w:t>
        </w:r>
        <w:r w:rsidRPr="000A582E">
          <w:rPr>
            <w:rFonts w:cs="Arial"/>
            <w:szCs w:val="22"/>
            <w:lang w:val="es-CL"/>
          </w:rPr>
          <w:t>spiración Potencial</w:t>
        </w:r>
      </w:smartTag>
      <w:r w:rsidRPr="000A582E">
        <w:rPr>
          <w:rFonts w:cs="Arial"/>
          <w:szCs w:val="22"/>
          <w:lang w:val="es-CL"/>
        </w:rPr>
        <w:t xml:space="preserve"> en Chile. Fue elaborado en el año 1997 y en él se determinaron las Evapotranspiraciones Potenciales para todo Chile, esencialmente con la aplicación del método de Penman y, en aq</w:t>
      </w:r>
      <w:r>
        <w:rPr>
          <w:rFonts w:cs="Arial"/>
          <w:szCs w:val="22"/>
          <w:lang w:val="es-CL"/>
        </w:rPr>
        <w:t>uellos lugares donde no se pudo,</w:t>
      </w:r>
      <w:r w:rsidRPr="000A582E">
        <w:rPr>
          <w:rFonts w:cs="Arial"/>
          <w:szCs w:val="22"/>
          <w:lang w:val="es-CL"/>
        </w:rPr>
        <w:t xml:space="preserve"> por falta de algún parámetro, se aplicó una de otras cuatro fórmulas, ajustadas mediante coeficientes de regresión, teniendo como referencia la ecuación de Penman. Las otras cuatro fórmulas empíricas consideradas fueron las de Turc, de Ivanov, de Blaney y Criddle y el método de la bandeja de evaporación.</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Además, de la misma Comisión Nacional de Riego, se recopiló aquella información correspondiente a estudios efectuados a través de </w:t>
      </w:r>
      <w:smartTag w:uri="urn:schemas-microsoft-com:office:smarttags" w:element="PersonName">
        <w:smartTagPr>
          <w:attr w:name="ProductID" w:val="la Comisión Nacional"/>
        </w:smartTagPr>
        <w:r w:rsidRPr="000A582E">
          <w:rPr>
            <w:rFonts w:cs="Arial"/>
            <w:szCs w:val="22"/>
            <w:lang w:val="es-CL"/>
          </w:rPr>
          <w:t>la Comisión Nacional</w:t>
        </w:r>
      </w:smartTag>
      <w:r w:rsidRPr="000A582E">
        <w:rPr>
          <w:rFonts w:cs="Arial"/>
          <w:szCs w:val="22"/>
          <w:lang w:val="es-CL"/>
        </w:rPr>
        <w:t xml:space="preserve"> de Riego, de manera de que sean un aporte a la determinación de la situación actual agropecuaria, histórica y criterios de asignación futura.</w:t>
      </w:r>
    </w:p>
    <w:p w:rsidR="00D47B2F" w:rsidRPr="000A582E" w:rsidRDefault="00D47B2F" w:rsidP="00B51B51">
      <w:pPr>
        <w:widowControl w:val="0"/>
        <w:rPr>
          <w:rFonts w:cs="Arial"/>
          <w:szCs w:val="22"/>
          <w:lang w:val="es-CL"/>
        </w:rPr>
      </w:pPr>
    </w:p>
    <w:p w:rsidR="00D47B2F" w:rsidRPr="000A582E" w:rsidRDefault="00D47B2F" w:rsidP="00B51B51">
      <w:pPr>
        <w:widowControl w:val="0"/>
        <w:rPr>
          <w:rFonts w:cs="Arial"/>
          <w:szCs w:val="22"/>
          <w:lang w:val="es-CL"/>
        </w:rPr>
      </w:pPr>
      <w:r w:rsidRPr="000A582E">
        <w:rPr>
          <w:rFonts w:cs="Arial"/>
          <w:szCs w:val="22"/>
          <w:lang w:val="es-CL"/>
        </w:rPr>
        <w:t xml:space="preserve">De </w:t>
      </w:r>
      <w:smartTag w:uri="urn:schemas-microsoft-com:office:smarttags" w:element="PersonName">
        <w:smartTagPr>
          <w:attr w:name="ProductID" w:val="la Dirección"/>
        </w:smartTagPr>
        <w:r w:rsidRPr="000A582E">
          <w:rPr>
            <w:rFonts w:cs="Arial"/>
            <w:szCs w:val="22"/>
            <w:lang w:val="es-CL"/>
          </w:rPr>
          <w:t>la Dirección</w:t>
        </w:r>
      </w:smartTag>
      <w:r w:rsidRPr="000A582E">
        <w:rPr>
          <w:rFonts w:cs="Arial"/>
          <w:szCs w:val="22"/>
          <w:lang w:val="es-CL"/>
        </w:rPr>
        <w:t xml:space="preserve"> de Obras Hidráulicas (DOH) se recopiló aquella información correspondiente a estudios efectuados a través de </w:t>
      </w:r>
      <w:smartTag w:uri="urn:schemas-microsoft-com:office:smarttags" w:element="PersonName">
        <w:smartTagPr>
          <w:attr w:name="ProductID" w:val="la Dirección"/>
        </w:smartTagPr>
        <w:r w:rsidRPr="000A582E">
          <w:rPr>
            <w:rFonts w:cs="Arial"/>
            <w:szCs w:val="22"/>
            <w:lang w:val="es-CL"/>
          </w:rPr>
          <w:t>la Dirección</w:t>
        </w:r>
      </w:smartTag>
      <w:r w:rsidRPr="000A582E">
        <w:rPr>
          <w:rFonts w:cs="Arial"/>
          <w:szCs w:val="22"/>
          <w:lang w:val="es-CL"/>
        </w:rPr>
        <w:t xml:space="preserve"> de Obras Hidráulicas del MOP, de manera de que sean un aporte a la determinación de la situación actual agropecuaria, histórica y criterios de asignación futura. De </w:t>
      </w:r>
      <w:smartTag w:uri="urn:schemas-microsoft-com:office:smarttags" w:element="PersonName">
        <w:smartTagPr>
          <w:attr w:name="ProductID" w:val="la VI Región"/>
        </w:smartTagPr>
        <w:r w:rsidRPr="000A582E">
          <w:rPr>
            <w:rFonts w:cs="Arial"/>
            <w:szCs w:val="22"/>
            <w:lang w:val="es-CL"/>
          </w:rPr>
          <w:t>la VI Región</w:t>
        </w:r>
      </w:smartTag>
      <w:r w:rsidRPr="000A582E">
        <w:rPr>
          <w:rFonts w:cs="Arial"/>
          <w:szCs w:val="22"/>
          <w:lang w:val="es-CL"/>
        </w:rPr>
        <w:t xml:space="preserve"> destacan los estudios efectuados para la ampliación del embalse Convento Viejo y la introducción al riego de toda el área del valle del Estero Nilahue en Lolol. </w:t>
      </w:r>
    </w:p>
    <w:p w:rsidR="00D47B2F" w:rsidRDefault="00D47B2F" w:rsidP="00B51B51">
      <w:pPr>
        <w:widowControl w:val="0"/>
      </w:pPr>
    </w:p>
    <w:p w:rsidR="00D47B2F" w:rsidRPr="000A582E" w:rsidRDefault="00D47B2F" w:rsidP="00B51B51">
      <w:pPr>
        <w:pStyle w:val="Ttulo2"/>
        <w:keepNext w:val="0"/>
      </w:pPr>
      <w:bookmarkStart w:id="54" w:name="_Toc338179087"/>
      <w:bookmarkStart w:id="55" w:name="_Toc344391744"/>
      <w:r w:rsidRPr="000A582E">
        <w:t>Antecedentes de Demandas Mineras</w:t>
      </w:r>
      <w:bookmarkEnd w:id="54"/>
      <w:bookmarkEnd w:id="55"/>
    </w:p>
    <w:p w:rsidR="00D47B2F" w:rsidRPr="000A582E" w:rsidRDefault="00D47B2F" w:rsidP="00B51B51">
      <w:pPr>
        <w:widowControl w:val="0"/>
      </w:pPr>
    </w:p>
    <w:p w:rsidR="00D47B2F" w:rsidRPr="000A582E" w:rsidRDefault="00D47B2F" w:rsidP="00B51B51">
      <w:pPr>
        <w:widowControl w:val="0"/>
      </w:pPr>
      <w:r w:rsidRPr="000A582E">
        <w:t xml:space="preserve">La información disponible respecto </w:t>
      </w:r>
      <w:r>
        <w:t xml:space="preserve">a las </w:t>
      </w:r>
      <w:r w:rsidRPr="000A582E">
        <w:t>demandas</w:t>
      </w:r>
      <w:r>
        <w:t xml:space="preserve"> de agua</w:t>
      </w:r>
      <w:r w:rsidRPr="000A582E">
        <w:t xml:space="preserve"> asociadas a la actividad minera para la región en estudio es bastante escasa.</w:t>
      </w:r>
    </w:p>
    <w:p w:rsidR="00D47B2F" w:rsidRPr="000A582E" w:rsidRDefault="00D47B2F" w:rsidP="00B51B51">
      <w:pPr>
        <w:widowControl w:val="0"/>
      </w:pPr>
      <w:r w:rsidRPr="000A582E">
        <w:t xml:space="preserve"> </w:t>
      </w:r>
    </w:p>
    <w:p w:rsidR="00D47B2F" w:rsidRPr="000A582E" w:rsidRDefault="00D47B2F" w:rsidP="00B51B51">
      <w:pPr>
        <w:widowControl w:val="0"/>
      </w:pPr>
      <w:r w:rsidRPr="000A582E">
        <w:t>Lo anterior obedece básicamente a que la información manejada por las empresas mineras tiene un carácter estratégico, no estando disponible para su libre consulta valores de consumo asociados a procesos que emplean, ni tampoco de proyecciones de producción.</w:t>
      </w:r>
    </w:p>
    <w:p w:rsidR="00D47B2F" w:rsidRPr="000A582E" w:rsidRDefault="00D47B2F" w:rsidP="00B51B51">
      <w:pPr>
        <w:widowControl w:val="0"/>
      </w:pPr>
    </w:p>
    <w:p w:rsidR="00D47B2F" w:rsidRPr="000A582E" w:rsidRDefault="00D47B2F" w:rsidP="00B51B51">
      <w:pPr>
        <w:widowControl w:val="0"/>
      </w:pPr>
      <w:r w:rsidRPr="000A582E">
        <w:t>A raíz de ello</w:t>
      </w:r>
      <w:r>
        <w:t>,</w:t>
      </w:r>
      <w:r w:rsidRPr="000A582E">
        <w:t xml:space="preserve"> los antecedentes disponibles dan cuenta de estimaciones históricas y futuras obtenidas principalmente por aproximaciones indirectas.</w:t>
      </w:r>
    </w:p>
    <w:p w:rsidR="00D47B2F" w:rsidRPr="000A582E" w:rsidRDefault="00D47B2F" w:rsidP="00B51B51">
      <w:pPr>
        <w:widowControl w:val="0"/>
      </w:pPr>
    </w:p>
    <w:p w:rsidR="00D47B2F" w:rsidRDefault="00D47B2F" w:rsidP="00B51B51">
      <w:pPr>
        <w:widowControl w:val="0"/>
        <w:rPr>
          <w:rFonts w:cs="Arial"/>
          <w:szCs w:val="22"/>
        </w:rPr>
      </w:pPr>
      <w:r w:rsidRPr="000A582E">
        <w:t>Uno de los primeros estudios que entrega una aproximación de las demandas del sector minero se encuentra en el documento “</w:t>
      </w:r>
      <w:r w:rsidRPr="000A582E">
        <w:rPr>
          <w:rFonts w:cs="Arial"/>
          <w:szCs w:val="22"/>
        </w:rPr>
        <w:t>Análisis del Uso Actual y Futuro de los Recursos Hídricos de Chile” desarrollado por IPLA el año 1996.</w:t>
      </w:r>
    </w:p>
    <w:p w:rsidR="00E073DC" w:rsidRPr="000A582E" w:rsidRDefault="00E073DC"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En este estudio se entrega una estimación de la demanda minera actual para la región</w:t>
      </w:r>
      <w:r>
        <w:rPr>
          <w:rFonts w:cs="Arial"/>
          <w:szCs w:val="22"/>
        </w:rPr>
        <w:t>,</w:t>
      </w:r>
      <w:r w:rsidRPr="000A582E">
        <w:rPr>
          <w:rFonts w:cs="Arial"/>
          <w:szCs w:val="22"/>
        </w:rPr>
        <w:t xml:space="preserve"> basada en la información de derechos de aprovechamiento de aguas otorgados por </w:t>
      </w:r>
      <w:smartTag w:uri="urn:schemas-microsoft-com:office:smarttags" w:element="PersonName">
        <w:smartTagPr>
          <w:attr w:name="ProductID" w:val="la DGA."/>
        </w:smartTagPr>
        <w:r w:rsidRPr="000A582E">
          <w:rPr>
            <w:rFonts w:cs="Arial"/>
            <w:szCs w:val="22"/>
          </w:rPr>
          <w:t>la DGA.</w:t>
        </w:r>
      </w:smartTag>
    </w:p>
    <w:p w:rsidR="00D47B2F" w:rsidRPr="000A582E" w:rsidRDefault="00D47B2F" w:rsidP="00B51B51">
      <w:pPr>
        <w:widowControl w:val="0"/>
      </w:pPr>
    </w:p>
    <w:p w:rsidR="00D47B2F" w:rsidRDefault="00D47B2F" w:rsidP="00B51B51">
      <w:pPr>
        <w:widowControl w:val="0"/>
      </w:pPr>
      <w:r w:rsidRPr="000A582E">
        <w:t xml:space="preserve">También se entregan estimaciones de la demanda futura, </w:t>
      </w:r>
      <w:r>
        <w:t xml:space="preserve">al </w:t>
      </w:r>
      <w:r w:rsidRPr="000A582E">
        <w:t>año 2017, como una proyección en función del crecimiento económico del sector minero, expresado mediante la variación del indicador PIB</w:t>
      </w:r>
      <w:r>
        <w:t>,</w:t>
      </w:r>
      <w:r w:rsidRPr="000A582E">
        <w:t xml:space="preserve"> según lo informado por</w:t>
      </w:r>
      <w:r>
        <w:t xml:space="preserve"> </w:t>
      </w:r>
      <w:r w:rsidRPr="000A582E">
        <w:t>el Banco Central.</w:t>
      </w:r>
    </w:p>
    <w:p w:rsidR="00D47B2F" w:rsidRPr="000A582E" w:rsidRDefault="00D47B2F" w:rsidP="00B51B51">
      <w:pPr>
        <w:widowControl w:val="0"/>
      </w:pPr>
      <w:r w:rsidRPr="000A582E">
        <w:lastRenderedPageBreak/>
        <w:t>A modo de referencia</w:t>
      </w:r>
      <w:r>
        <w:t>,</w:t>
      </w:r>
      <w:r w:rsidRPr="000A582E">
        <w:t xml:space="preserve"> en este estudio se determinaron las demandas al año 1993 para la región en 7,2 m</w:t>
      </w:r>
      <w:r w:rsidRPr="000A582E">
        <w:rPr>
          <w:vertAlign w:val="superscript"/>
        </w:rPr>
        <w:t>3</w:t>
      </w:r>
      <w:r w:rsidRPr="000A582E">
        <w:t>/s, mientras que al año 2017 en 9,0 m</w:t>
      </w:r>
      <w:r w:rsidRPr="000A582E">
        <w:rPr>
          <w:vertAlign w:val="superscript"/>
        </w:rPr>
        <w:t>3</w:t>
      </w:r>
      <w:r w:rsidRPr="000A582E">
        <w:t>/s.</w:t>
      </w:r>
    </w:p>
    <w:p w:rsidR="00D47B2F" w:rsidRPr="000A582E" w:rsidRDefault="00D47B2F" w:rsidP="00B51B51">
      <w:pPr>
        <w:widowControl w:val="0"/>
      </w:pPr>
    </w:p>
    <w:p w:rsidR="00D47B2F" w:rsidRPr="000A582E" w:rsidRDefault="00D47B2F" w:rsidP="00B51B51">
      <w:pPr>
        <w:widowControl w:val="0"/>
      </w:pPr>
      <w:r w:rsidRPr="000A582E">
        <w:t>Otro estudio más actualizado en donde también se estimaron las demandas mineras mediante la metodología antes señalada se encuentra informada en el estudio desarrollado por Ayala Cabre</w:t>
      </w:r>
      <w:r>
        <w:t>ra y Asociados Ltda. el año 2007</w:t>
      </w:r>
      <w:r w:rsidRPr="000A582E">
        <w:t xml:space="preserve"> para </w:t>
      </w:r>
      <w:smartTag w:uri="urn:schemas-microsoft-com:office:smarttags" w:element="PersonName">
        <w:smartTagPr>
          <w:attr w:name="ProductID" w:val="la DGA"/>
        </w:smartTagPr>
        <w:r w:rsidRPr="000A582E">
          <w:t>la DGA</w:t>
        </w:r>
      </w:smartTag>
      <w:r w:rsidRPr="000A582E">
        <w:t>, denominado “Estimaciones de Demanda de Agua y Proyecciones Futuras Zona II : Regiones V a XII y Región Metropolitana”.</w:t>
      </w:r>
    </w:p>
    <w:p w:rsidR="00D47B2F" w:rsidRPr="000A582E" w:rsidRDefault="00D47B2F" w:rsidP="00B51B51">
      <w:pPr>
        <w:widowControl w:val="0"/>
      </w:pPr>
    </w:p>
    <w:p w:rsidR="00D47B2F" w:rsidRPr="000A582E" w:rsidRDefault="00D47B2F" w:rsidP="00B51B51">
      <w:pPr>
        <w:widowControl w:val="0"/>
      </w:pPr>
      <w:r w:rsidRPr="000A582E">
        <w:t>De este estudio se obtuvieron valores base estimados para el año 1993 en el estudio de IPLA, los cuales fueron proyectados en función del crecimiento económico del sector minero</w:t>
      </w:r>
      <w:r>
        <w:t xml:space="preserve"> hasta el año 2030.</w:t>
      </w:r>
    </w:p>
    <w:p w:rsidR="00D47B2F" w:rsidRPr="000A582E" w:rsidRDefault="00D47B2F" w:rsidP="00B51B51">
      <w:pPr>
        <w:widowControl w:val="0"/>
      </w:pPr>
    </w:p>
    <w:p w:rsidR="00D47B2F" w:rsidRPr="000A582E" w:rsidRDefault="00D47B2F" w:rsidP="00B51B51">
      <w:pPr>
        <w:widowControl w:val="0"/>
      </w:pPr>
      <w:r w:rsidRPr="000A582E">
        <w:t xml:space="preserve">Antecedentes más específicos respecto de la demanda de agua de la actividad minera se encuentran disponibles en dos publicaciones realizadas para </w:t>
      </w:r>
      <w:smartTag w:uri="urn:schemas-microsoft-com:office:smarttags" w:element="PersonName">
        <w:smartTagPr>
          <w:attr w:name="ProductID" w:val="la DGA"/>
        </w:smartTagPr>
        <w:r w:rsidRPr="000A582E">
          <w:t>la DGA</w:t>
        </w:r>
      </w:smartTag>
      <w:r w:rsidRPr="000A582E">
        <w:t xml:space="preserve"> y COCHILCO en los años 2008 y 2009, respectivamente.</w:t>
      </w:r>
    </w:p>
    <w:p w:rsidR="00D47B2F" w:rsidRPr="000A582E" w:rsidRDefault="00D47B2F" w:rsidP="00B51B51">
      <w:pPr>
        <w:widowControl w:val="0"/>
      </w:pPr>
    </w:p>
    <w:p w:rsidR="00D47B2F" w:rsidRPr="000A582E" w:rsidRDefault="00D47B2F" w:rsidP="00B51B51">
      <w:pPr>
        <w:widowControl w:val="0"/>
        <w:rPr>
          <w:rFonts w:cs="Arial"/>
          <w:szCs w:val="22"/>
        </w:rPr>
      </w:pPr>
      <w:r w:rsidRPr="000A582E">
        <w:rPr>
          <w:rFonts w:cs="Arial"/>
          <w:szCs w:val="22"/>
        </w:rPr>
        <w:t xml:space="preserve">El estudio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tuvo como objetivo establecer los derechos de aprovech</w:t>
      </w:r>
      <w:r>
        <w:rPr>
          <w:rFonts w:cs="Arial"/>
          <w:szCs w:val="22"/>
        </w:rPr>
        <w:t xml:space="preserve">amiento de agua con que cuenta </w:t>
      </w:r>
      <w:r w:rsidRPr="000A582E">
        <w:rPr>
          <w:rFonts w:cs="Arial"/>
          <w:szCs w:val="22"/>
        </w:rPr>
        <w:t xml:space="preserve">el sector minero nacional, el caudal de extracciones de agua empleado en las faenas mineras como agua fresca y la tasa de consumo unitario de agua fresca por proceso minero. </w:t>
      </w:r>
    </w:p>
    <w:p w:rsidR="00E073DC" w:rsidRPr="000A582E" w:rsidRDefault="00E073DC" w:rsidP="00B51B51">
      <w:pPr>
        <w:widowControl w:val="0"/>
        <w:rPr>
          <w:rFonts w:cs="Arial"/>
          <w:szCs w:val="22"/>
        </w:rPr>
      </w:pPr>
    </w:p>
    <w:p w:rsidR="00D47B2F" w:rsidRDefault="00D47B2F" w:rsidP="00B51B51">
      <w:pPr>
        <w:widowControl w:val="0"/>
        <w:rPr>
          <w:rFonts w:cs="Arial"/>
          <w:szCs w:val="22"/>
        </w:rPr>
      </w:pPr>
      <w:r w:rsidRPr="000A582E">
        <w:rPr>
          <w:rFonts w:cs="Arial"/>
          <w:szCs w:val="22"/>
        </w:rPr>
        <w:t xml:space="preserve">Un aspecto relevante de este documento es que fue elaborado a partir de la información disponible en el Catastro Público de Aguas de </w:t>
      </w:r>
      <w:smartTag w:uri="urn:schemas-microsoft-com:office:smarttags" w:element="PersonName">
        <w:smartTagPr>
          <w:attr w:name="ProductID" w:val="la DGA"/>
        </w:smartTagPr>
        <w:r w:rsidRPr="000A582E">
          <w:rPr>
            <w:rFonts w:cs="Arial"/>
            <w:szCs w:val="22"/>
          </w:rPr>
          <w:t>la DGA</w:t>
        </w:r>
      </w:smartTag>
      <w:r w:rsidRPr="000A582E">
        <w:rPr>
          <w:rFonts w:cs="Arial"/>
          <w:szCs w:val="22"/>
        </w:rPr>
        <w:t xml:space="preserve"> y en los derechos de aprovechamiento, extracciones de agua y tasa promedio de procesamiento de minerales informados por las empresas mineras para el período 2006.</w:t>
      </w:r>
    </w:p>
    <w:p w:rsidR="006D6432" w:rsidRPr="000A582E" w:rsidRDefault="006D6432" w:rsidP="00B51B51">
      <w:pPr>
        <w:widowControl w:val="0"/>
        <w:rPr>
          <w:rFonts w:cs="Arial"/>
          <w:szCs w:val="22"/>
        </w:rPr>
      </w:pPr>
    </w:p>
    <w:p w:rsidR="00D47B2F" w:rsidRPr="000A582E" w:rsidRDefault="00D47B2F" w:rsidP="00B51B51">
      <w:pPr>
        <w:widowControl w:val="0"/>
      </w:pPr>
      <w:r w:rsidRPr="000A582E">
        <w:t>De acuerdo a este estudio</w:t>
      </w:r>
      <w:r>
        <w:t>,</w:t>
      </w:r>
      <w:r w:rsidRPr="000A582E">
        <w:t xml:space="preserve"> las demandas del sector minero que han sido informadas por las empresas alcanzarían los 2.100 l/s, siendo los derechos consuntivos constituidos una cifra mayor de 4.966 l/s.</w:t>
      </w:r>
    </w:p>
    <w:p w:rsidR="00D47B2F" w:rsidRPr="000A582E" w:rsidRDefault="00D47B2F" w:rsidP="00B51B51">
      <w:pPr>
        <w:widowControl w:val="0"/>
      </w:pPr>
    </w:p>
    <w:p w:rsidR="00D47B2F" w:rsidRPr="000A582E" w:rsidRDefault="00D47B2F" w:rsidP="00B51B51">
      <w:pPr>
        <w:widowControl w:val="0"/>
      </w:pPr>
      <w:r w:rsidRPr="000A582E">
        <w:t xml:space="preserve">Un dato relevante de este estudio es que se da cuenta de una tasa de consumo de agua en </w:t>
      </w:r>
      <w:r>
        <w:t xml:space="preserve">los </w:t>
      </w:r>
      <w:r w:rsidRPr="000A582E">
        <w:t>proceso</w:t>
      </w:r>
      <w:r>
        <w:t>s</w:t>
      </w:r>
      <w:r w:rsidRPr="000A582E">
        <w:t xml:space="preserve"> de concentración y/o hidrometalurgia.</w:t>
      </w:r>
    </w:p>
    <w:p w:rsidR="00D47B2F" w:rsidRPr="000A582E" w:rsidRDefault="00D47B2F" w:rsidP="00B51B51">
      <w:pPr>
        <w:widowControl w:val="0"/>
      </w:pPr>
    </w:p>
    <w:p w:rsidR="00D47B2F" w:rsidRPr="000A582E" w:rsidRDefault="00D47B2F" w:rsidP="00B51B51">
      <w:pPr>
        <w:widowControl w:val="0"/>
      </w:pPr>
      <w:r w:rsidRPr="000A582E">
        <w:t>Esta tasa para las empresas que operan en la región</w:t>
      </w:r>
      <w:r>
        <w:t>,</w:t>
      </w:r>
      <w:r w:rsidRPr="000A582E">
        <w:t xml:space="preserve"> que se encuentran representadas por </w:t>
      </w:r>
      <w:smartTag w:uri="urn:schemas-microsoft-com:office:smarttags" w:element="PersonName">
        <w:smartTagPr>
          <w:attr w:name="ProductID" w:val="la División"/>
        </w:smartTagPr>
        <w:r w:rsidRPr="000A582E">
          <w:t>la División</w:t>
        </w:r>
      </w:smartTag>
      <w:r>
        <w:t xml:space="preserve"> de El Teniente, </w:t>
      </w:r>
      <w:r w:rsidRPr="000A582E">
        <w:t>sería de 1,41 m</w:t>
      </w:r>
      <w:r w:rsidRPr="000A582E">
        <w:rPr>
          <w:vertAlign w:val="superscript"/>
        </w:rPr>
        <w:t>3</w:t>
      </w:r>
      <w:r w:rsidRPr="000A582E">
        <w:t>/t.</w:t>
      </w:r>
    </w:p>
    <w:p w:rsidR="00D47B2F" w:rsidRPr="000A582E" w:rsidRDefault="00D47B2F" w:rsidP="00B51B51">
      <w:pPr>
        <w:widowControl w:val="0"/>
      </w:pPr>
    </w:p>
    <w:p w:rsidR="00D47B2F" w:rsidRPr="000A582E" w:rsidRDefault="00D47B2F" w:rsidP="00B51B51">
      <w:pPr>
        <w:widowControl w:val="0"/>
      </w:pPr>
      <w:r w:rsidRPr="000A582E">
        <w:t>Siguiendo esta misma línea</w:t>
      </w:r>
      <w:r>
        <w:t>,</w:t>
      </w:r>
      <w:r w:rsidRPr="000A582E">
        <w:t xml:space="preserve"> en el estudio de COCHILCO se estimaron las demandas del sector minero</w:t>
      </w:r>
      <w:r>
        <w:t>,</w:t>
      </w:r>
      <w:r w:rsidRPr="000A582E">
        <w:t xml:space="preserve"> definiendo como año base el 2009 y su proyección al año 2020.</w:t>
      </w:r>
    </w:p>
    <w:p w:rsidR="00D47B2F" w:rsidRPr="000A582E" w:rsidRDefault="00D47B2F" w:rsidP="00B51B51">
      <w:pPr>
        <w:widowControl w:val="0"/>
      </w:pPr>
    </w:p>
    <w:p w:rsidR="00D47B2F" w:rsidRDefault="00D47B2F" w:rsidP="00B51B51">
      <w:pPr>
        <w:widowControl w:val="0"/>
      </w:pPr>
      <w:r w:rsidRPr="000A582E">
        <w:t>Para ello se utilizó como referencia la tasa de consumo de agua 1,41 m</w:t>
      </w:r>
      <w:r w:rsidRPr="000A582E">
        <w:rPr>
          <w:vertAlign w:val="superscript"/>
        </w:rPr>
        <w:t>3</w:t>
      </w:r>
      <w:r w:rsidRPr="000A582E">
        <w:t>/t y la producción de las empresas mineras.</w:t>
      </w:r>
    </w:p>
    <w:p w:rsidR="008240BE" w:rsidRPr="000A582E" w:rsidRDefault="008240BE" w:rsidP="00B51B51">
      <w:pPr>
        <w:widowControl w:val="0"/>
      </w:pPr>
    </w:p>
    <w:p w:rsidR="00D47B2F" w:rsidRPr="000A582E" w:rsidRDefault="00D47B2F" w:rsidP="00B51B51">
      <w:pPr>
        <w:widowControl w:val="0"/>
        <w:autoSpaceDE w:val="0"/>
        <w:autoSpaceDN w:val="0"/>
        <w:adjustRightInd w:val="0"/>
        <w:rPr>
          <w:rFonts w:cs="Arial"/>
          <w:szCs w:val="22"/>
        </w:rPr>
      </w:pPr>
      <w:r w:rsidRPr="000A582E">
        <w:rPr>
          <w:rFonts w:cs="Arial"/>
          <w:szCs w:val="22"/>
        </w:rPr>
        <w:t xml:space="preserve">Para </w:t>
      </w:r>
      <w:smartTag w:uri="urn:schemas-microsoft-com:office:smarttags" w:element="PersonName">
        <w:smartTagPr>
          <w:attr w:name="ProductID" w:val="la VI Región"/>
        </w:smartTagPr>
        <w:r w:rsidRPr="000A582E">
          <w:rPr>
            <w:rFonts w:cs="Arial"/>
            <w:szCs w:val="22"/>
          </w:rPr>
          <w:t>la VI Región</w:t>
        </w:r>
      </w:smartTag>
      <w:r w:rsidRPr="000A582E">
        <w:rPr>
          <w:rFonts w:cs="Arial"/>
          <w:szCs w:val="22"/>
        </w:rPr>
        <w:t xml:space="preserve"> </w:t>
      </w:r>
      <w:r>
        <w:rPr>
          <w:rFonts w:cs="Arial"/>
          <w:szCs w:val="22"/>
        </w:rPr>
        <w:t>se tiene</w:t>
      </w:r>
      <w:r w:rsidRPr="000A582E">
        <w:rPr>
          <w:rFonts w:cs="Arial"/>
          <w:szCs w:val="22"/>
        </w:rPr>
        <w:t xml:space="preserve"> un incremento sostenido de las demandas de agua hasta el año 2013 alcanzando este año un valor de 74,6 Mm</w:t>
      </w:r>
      <w:r w:rsidRPr="000A582E">
        <w:rPr>
          <w:rFonts w:cs="Arial"/>
          <w:szCs w:val="22"/>
          <w:vertAlign w:val="superscript"/>
        </w:rPr>
        <w:t>3</w:t>
      </w:r>
      <w:r w:rsidRPr="000A582E">
        <w:rPr>
          <w:rFonts w:cs="Arial"/>
          <w:szCs w:val="22"/>
        </w:rPr>
        <w:t>. Para el período 2015 – 2020 se estimó una demanda promedio menor de 65 Mm</w:t>
      </w:r>
      <w:r w:rsidRPr="000A582E">
        <w:rPr>
          <w:rFonts w:cs="Arial"/>
          <w:szCs w:val="22"/>
          <w:vertAlign w:val="superscript"/>
        </w:rPr>
        <w:t>3</w:t>
      </w:r>
      <w:r w:rsidRPr="000A582E">
        <w:rPr>
          <w:rFonts w:cs="Arial"/>
          <w:szCs w:val="22"/>
        </w:rPr>
        <w:t>.</w:t>
      </w:r>
    </w:p>
    <w:p w:rsidR="008240BE" w:rsidRPr="000A582E" w:rsidRDefault="008240BE" w:rsidP="00B51B51">
      <w:pPr>
        <w:widowControl w:val="0"/>
      </w:pPr>
    </w:p>
    <w:p w:rsidR="00D47B2F" w:rsidRPr="000A582E" w:rsidRDefault="00D47B2F" w:rsidP="00B51B51">
      <w:pPr>
        <w:pStyle w:val="Ttulo2"/>
        <w:keepNext w:val="0"/>
      </w:pPr>
      <w:bookmarkStart w:id="56" w:name="_Toc338179088"/>
      <w:bookmarkStart w:id="57" w:name="_Toc344391745"/>
      <w:r w:rsidRPr="000A582E">
        <w:t>Antecedentes de Demandas de Agua Potable</w:t>
      </w:r>
      <w:bookmarkEnd w:id="56"/>
      <w:bookmarkEnd w:id="57"/>
    </w:p>
    <w:p w:rsidR="00D47B2F" w:rsidRDefault="00D47B2F" w:rsidP="00B51B51">
      <w:pPr>
        <w:widowControl w:val="0"/>
        <w:rPr>
          <w:rFonts w:cs="Arial"/>
          <w:szCs w:val="22"/>
        </w:rPr>
      </w:pPr>
    </w:p>
    <w:p w:rsidR="00D47B2F" w:rsidRPr="000A582E" w:rsidRDefault="00D47B2F" w:rsidP="00B51B51">
      <w:pPr>
        <w:widowControl w:val="0"/>
        <w:rPr>
          <w:rFonts w:cs="Arial"/>
          <w:szCs w:val="22"/>
        </w:rPr>
      </w:pPr>
      <w:r>
        <w:rPr>
          <w:rFonts w:cs="Arial"/>
          <w:szCs w:val="22"/>
        </w:rPr>
        <w:t xml:space="preserve">A partir de los Planes de Desarrollo de las Empresas de Servicios Sanitarios disponibles en </w:t>
      </w:r>
      <w:smartTag w:uri="urn:schemas-microsoft-com:office:smarttags" w:element="PersonName">
        <w:smartTagPr>
          <w:attr w:name="ProductID" w:val="la SISS"/>
        </w:smartTagPr>
        <w:r>
          <w:rPr>
            <w:rFonts w:cs="Arial"/>
            <w:szCs w:val="22"/>
          </w:rPr>
          <w:lastRenderedPageBreak/>
          <w:t>la SISS</w:t>
        </w:r>
      </w:smartTag>
      <w:r>
        <w:rPr>
          <w:rFonts w:cs="Arial"/>
          <w:szCs w:val="22"/>
        </w:rPr>
        <w:t xml:space="preserve"> y la información del Programa de Agua Potable Rural de </w:t>
      </w:r>
      <w:smartTag w:uri="urn:schemas-microsoft-com:office:smarttags" w:element="PersonName">
        <w:smartTagPr>
          <w:attr w:name="ProductID" w:val="la DOH"/>
        </w:smartTagPr>
        <w:r>
          <w:rPr>
            <w:rFonts w:cs="Arial"/>
            <w:szCs w:val="22"/>
          </w:rPr>
          <w:t>la DOH</w:t>
        </w:r>
      </w:smartTag>
      <w:r>
        <w:rPr>
          <w:rFonts w:cs="Arial"/>
          <w:szCs w:val="22"/>
        </w:rPr>
        <w:t>, se obtuvieron las demandas actuales y proyectadas de agua potable urbana y rural a nivel comunal.</w:t>
      </w:r>
    </w:p>
    <w:p w:rsidR="00D47B2F" w:rsidRPr="000A582E" w:rsidRDefault="00D47B2F" w:rsidP="00B51B51">
      <w:pPr>
        <w:widowControl w:val="0"/>
      </w:pPr>
    </w:p>
    <w:p w:rsidR="00D47B2F" w:rsidRPr="000A582E" w:rsidRDefault="00D47B2F" w:rsidP="00B51B51">
      <w:pPr>
        <w:widowControl w:val="0"/>
        <w:rPr>
          <w:rFonts w:cs="Arial"/>
          <w:szCs w:val="22"/>
        </w:rPr>
      </w:pPr>
      <w:r w:rsidRPr="000A582E">
        <w:rPr>
          <w:rFonts w:cs="Arial"/>
          <w:szCs w:val="22"/>
        </w:rPr>
        <w:t xml:space="preserve">Cabe señalar que la calidad de la información básica obtenida en </w:t>
      </w:r>
      <w:smartTag w:uri="urn:schemas-microsoft-com:office:smarttags" w:element="PersonName">
        <w:smartTagPr>
          <w:attr w:name="ProductID" w:val="la SISS"/>
        </w:smartTagPr>
        <w:r w:rsidRPr="000A582E">
          <w:rPr>
            <w:rFonts w:cs="Arial"/>
            <w:szCs w:val="22"/>
          </w:rPr>
          <w:t>la SISS</w:t>
        </w:r>
      </w:smartTag>
      <w:r w:rsidRPr="000A582E">
        <w:rPr>
          <w:rFonts w:cs="Arial"/>
          <w:szCs w:val="22"/>
        </w:rPr>
        <w:t xml:space="preserve"> permite identificar claramente el tipo de fuente de abastecimiento, la población actualmente abastecida, la dotación de agua potable por habitante y el caudal extraído y su proyección</w:t>
      </w:r>
      <w:r>
        <w:rPr>
          <w:rFonts w:cs="Arial"/>
          <w:szCs w:val="22"/>
        </w:rPr>
        <w:t>,</w:t>
      </w:r>
      <w:r w:rsidRPr="000A582E">
        <w:rPr>
          <w:rFonts w:cs="Arial"/>
          <w:szCs w:val="22"/>
        </w:rPr>
        <w:t xml:space="preserve"> considerándose un horizonte de previsión al año 2020.</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 xml:space="preserve">Por otro lado, la información relativa a las demandas de agua para consumo de la población rural ha sido obtenida de </w:t>
      </w:r>
      <w:smartTag w:uri="urn:schemas-microsoft-com:office:smarttags" w:element="PersonName">
        <w:smartTagPr>
          <w:attr w:name="ProductID" w:val="la Unidad"/>
        </w:smartTagPr>
        <w:r w:rsidRPr="000A582E">
          <w:rPr>
            <w:rFonts w:cs="Arial"/>
            <w:szCs w:val="22"/>
          </w:rPr>
          <w:t>la Unidad</w:t>
        </w:r>
      </w:smartTag>
      <w:r w:rsidRPr="000A582E">
        <w:rPr>
          <w:rFonts w:cs="Arial"/>
          <w:szCs w:val="22"/>
        </w:rPr>
        <w:t xml:space="preserve"> de Estudios DPS-DOH. En general los antecedentes básicos de agua potable rural comprenden el nombre del servicio, la población abastecida y el caudal de consumo.</w:t>
      </w:r>
    </w:p>
    <w:p w:rsidR="00D47B2F" w:rsidRPr="000A582E" w:rsidRDefault="00D47B2F" w:rsidP="00B51B51">
      <w:pPr>
        <w:widowControl w:val="0"/>
      </w:pPr>
    </w:p>
    <w:p w:rsidR="00D47B2F" w:rsidRDefault="00D47B2F" w:rsidP="00B51B51">
      <w:pPr>
        <w:widowControl w:val="0"/>
      </w:pPr>
      <w:r w:rsidRPr="000A582E">
        <w:t>En forma co</w:t>
      </w:r>
      <w:r>
        <w:t xml:space="preserve">mplementaria, </w:t>
      </w:r>
      <w:r w:rsidRPr="000A582E">
        <w:t xml:space="preserve">se </w:t>
      </w:r>
      <w:r>
        <w:t>revisaron los antecedentes</w:t>
      </w:r>
      <w:r w:rsidRPr="000A582E">
        <w:t xml:space="preserve"> de estudios en los cuales se ha realizado la estimación de demandas para este sector</w:t>
      </w:r>
      <w:r>
        <w:t>,</w:t>
      </w:r>
      <w:r w:rsidRPr="000A582E">
        <w:t xml:space="preserve"> entre los cuales destacan los siguientes:</w:t>
      </w:r>
    </w:p>
    <w:p w:rsidR="00D47B2F" w:rsidRPr="000A582E" w:rsidRDefault="00D47B2F" w:rsidP="00B51B51">
      <w:pPr>
        <w:widowControl w:val="0"/>
      </w:pPr>
    </w:p>
    <w:p w:rsidR="00D47B2F" w:rsidRDefault="00D47B2F" w:rsidP="00145762">
      <w:pPr>
        <w:pStyle w:val="NormalSangra"/>
        <w:numPr>
          <w:ilvl w:val="0"/>
          <w:numId w:val="1"/>
        </w:numPr>
        <w:tabs>
          <w:tab w:val="clear" w:pos="870"/>
        </w:tabs>
        <w:ind w:left="709" w:hanging="709"/>
        <w:rPr>
          <w:sz w:val="22"/>
          <w:szCs w:val="22"/>
        </w:rPr>
      </w:pPr>
      <w:r w:rsidRPr="004128EE">
        <w:rPr>
          <w:sz w:val="22"/>
          <w:szCs w:val="22"/>
        </w:rPr>
        <w:t>“Análisis del Uso Actual y Futuro de los Recursos Hídricos de Chile”. IPLA, 1996</w:t>
      </w:r>
      <w:r>
        <w:rPr>
          <w:sz w:val="22"/>
          <w:szCs w:val="22"/>
        </w:rPr>
        <w:t>.</w:t>
      </w:r>
    </w:p>
    <w:p w:rsidR="00D47B2F" w:rsidRPr="004128EE" w:rsidRDefault="00D47B2F" w:rsidP="00145762">
      <w:pPr>
        <w:pStyle w:val="NormalSangra"/>
        <w:numPr>
          <w:ilvl w:val="0"/>
          <w:numId w:val="1"/>
        </w:numPr>
        <w:tabs>
          <w:tab w:val="clear" w:pos="870"/>
        </w:tabs>
        <w:ind w:left="709" w:hanging="709"/>
        <w:rPr>
          <w:sz w:val="22"/>
          <w:szCs w:val="22"/>
        </w:rPr>
      </w:pPr>
      <w:r w:rsidRPr="004128EE">
        <w:rPr>
          <w:sz w:val="22"/>
          <w:szCs w:val="22"/>
        </w:rPr>
        <w:t>“Estimaciones de Demanda de Agua y Proyecciones Futuras Zona II: Regiones V a XII y Región Metropolitana”. Ayala</w:t>
      </w:r>
      <w:r>
        <w:rPr>
          <w:sz w:val="22"/>
          <w:szCs w:val="22"/>
        </w:rPr>
        <w:t>, Cabrera y Asociados Ltda. 2007</w:t>
      </w:r>
      <w:r w:rsidRPr="004128EE">
        <w:rPr>
          <w:sz w:val="22"/>
          <w:szCs w:val="22"/>
        </w:rPr>
        <w:t>.</w:t>
      </w:r>
    </w:p>
    <w:p w:rsidR="00E073DC" w:rsidRDefault="00E073DC" w:rsidP="00B51B51">
      <w:pPr>
        <w:widowControl w:val="0"/>
      </w:pPr>
    </w:p>
    <w:p w:rsidR="00D47B2F" w:rsidRPr="000A582E" w:rsidRDefault="00D47B2F" w:rsidP="00B51B51">
      <w:pPr>
        <w:pStyle w:val="Ttulo2"/>
        <w:keepNext w:val="0"/>
      </w:pPr>
      <w:bookmarkStart w:id="58" w:name="_Toc338179089"/>
      <w:bookmarkStart w:id="59" w:name="_Toc344391746"/>
      <w:r w:rsidRPr="000A582E">
        <w:t>Antecedentes de Demandas Industriales</w:t>
      </w:r>
      <w:bookmarkEnd w:id="58"/>
      <w:bookmarkEnd w:id="59"/>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El uso i</w:t>
      </w:r>
      <w:r>
        <w:rPr>
          <w:rFonts w:cs="Arial"/>
          <w:szCs w:val="22"/>
        </w:rPr>
        <w:t>ndustrial del agua</w:t>
      </w:r>
      <w:r w:rsidRPr="000A582E">
        <w:rPr>
          <w:rFonts w:cs="Arial"/>
          <w:szCs w:val="22"/>
        </w:rPr>
        <w:t xml:space="preserve"> es uno de los más difíciles de determinar, dado que la industria agrupa un gran número de sectores productivos, cada uno de ello</w:t>
      </w:r>
      <w:r>
        <w:rPr>
          <w:rFonts w:cs="Arial"/>
          <w:szCs w:val="22"/>
        </w:rPr>
        <w:t>s con realidades muy diferentes</w:t>
      </w:r>
      <w:r w:rsidRPr="000A582E">
        <w:rPr>
          <w:rFonts w:cs="Arial"/>
          <w:szCs w:val="22"/>
        </w:rPr>
        <w:t xml:space="preserve"> en cuanto a demandas, eficiencias, disponibilidad de información, etc. La revisión bibliográfica da cuenta que los antecedentes de</w:t>
      </w:r>
      <w:r>
        <w:rPr>
          <w:rFonts w:cs="Arial"/>
          <w:szCs w:val="22"/>
        </w:rPr>
        <w:t xml:space="preserve"> demandas son</w:t>
      </w:r>
      <w:r w:rsidRPr="000A582E">
        <w:rPr>
          <w:rFonts w:cs="Arial"/>
          <w:szCs w:val="22"/>
        </w:rPr>
        <w:t xml:space="preserve"> bastante</w:t>
      </w:r>
      <w:r>
        <w:rPr>
          <w:rFonts w:cs="Arial"/>
          <w:szCs w:val="22"/>
        </w:rPr>
        <w:t xml:space="preserve"> escasos</w:t>
      </w:r>
      <w:r w:rsidRPr="000A582E">
        <w:rPr>
          <w:rFonts w:cs="Arial"/>
          <w:szCs w:val="22"/>
        </w:rPr>
        <w:t xml:space="preserve"> </w:t>
      </w:r>
      <w:r>
        <w:rPr>
          <w:rFonts w:cs="Arial"/>
          <w:szCs w:val="22"/>
        </w:rPr>
        <w:t>y generales siendo</w:t>
      </w:r>
      <w:r w:rsidRPr="000A582E">
        <w:rPr>
          <w:rFonts w:cs="Arial"/>
          <w:szCs w:val="22"/>
        </w:rPr>
        <w:t xml:space="preserve"> básicamente estimaciones de tipo indirecto.</w:t>
      </w:r>
    </w:p>
    <w:p w:rsidR="00D47B2F" w:rsidRPr="000A582E" w:rsidRDefault="00D47B2F" w:rsidP="00B51B51">
      <w:pPr>
        <w:widowControl w:val="0"/>
        <w:rPr>
          <w:rFonts w:cs="Arial"/>
          <w:szCs w:val="22"/>
        </w:rPr>
      </w:pPr>
    </w:p>
    <w:p w:rsidR="00D47B2F" w:rsidRPr="000A582E" w:rsidRDefault="00D47B2F" w:rsidP="00B51B51">
      <w:pPr>
        <w:widowControl w:val="0"/>
        <w:rPr>
          <w:rFonts w:cs="Arial"/>
          <w:szCs w:val="22"/>
        </w:rPr>
      </w:pPr>
      <w:r w:rsidRPr="000A582E">
        <w:rPr>
          <w:rFonts w:cs="Arial"/>
          <w:szCs w:val="22"/>
        </w:rPr>
        <w:t>Uno de los pocos estudios que aborda la estimación de demandas de este sector corresponde al denominado “Análisis del Uso Actual y Futuro de los Recursos Hídricos de Chile” desarrollado por  IPLA el año 1996.</w:t>
      </w:r>
    </w:p>
    <w:p w:rsidR="00D47B2F" w:rsidRPr="000A582E" w:rsidRDefault="00D47B2F" w:rsidP="00B51B51">
      <w:pPr>
        <w:widowControl w:val="0"/>
      </w:pPr>
    </w:p>
    <w:p w:rsidR="00D47B2F" w:rsidRPr="000A582E" w:rsidRDefault="00D47B2F" w:rsidP="00B51B51">
      <w:pPr>
        <w:widowControl w:val="0"/>
      </w:pPr>
      <w:r w:rsidRPr="000A582E">
        <w:t>En este estudio se presentan las demandas sobre los recursos hídricos superficiales para cada cuenca, y desagregada según la actividad industrial que abastecen. De esta forma, se obtuvo para una situación base o actual</w:t>
      </w:r>
      <w:r>
        <w:t xml:space="preserve"> (</w:t>
      </w:r>
      <w:r w:rsidRPr="000A582E">
        <w:t>año 1993</w:t>
      </w:r>
      <w:r>
        <w:t>)</w:t>
      </w:r>
      <w:r w:rsidRPr="000A582E">
        <w:t>, los consumos netos y brutos de agua con fines industriales, a nivel de cuenca.</w:t>
      </w:r>
    </w:p>
    <w:p w:rsidR="00D47B2F" w:rsidRPr="000A582E" w:rsidRDefault="00D47B2F" w:rsidP="00B51B51">
      <w:pPr>
        <w:widowControl w:val="0"/>
      </w:pPr>
    </w:p>
    <w:p w:rsidR="00D47B2F" w:rsidRPr="000A582E" w:rsidRDefault="00D47B2F" w:rsidP="00B51B51">
      <w:pPr>
        <w:widowControl w:val="0"/>
      </w:pPr>
      <w:r w:rsidRPr="000A582E">
        <w:t xml:space="preserve">Dichos valores se calcularon a partir de información básica proveniente del “Catastro Nacional de Descargas de Residuos Industriales Líquidos de </w:t>
      </w:r>
      <w:smartTag w:uri="urn:schemas-microsoft-com:office:smarttags" w:element="PersonName">
        <w:smartTagPr>
          <w:attr w:name="ProductID" w:val="la SISS"/>
        </w:smartTagPr>
        <w:r w:rsidRPr="000A582E">
          <w:t>la SISS</w:t>
        </w:r>
      </w:smartTag>
      <w:r w:rsidRPr="000A582E">
        <w:t>”, (1993), junto con el uso de un factor de relación efluente/demanda, estimados para distintos sectores industriales. De esta forma, en el estudio realizado por IPLA se obtuvieron valores de demanda correspondiente al año 1993.</w:t>
      </w:r>
    </w:p>
    <w:p w:rsidR="00D47B2F" w:rsidRPr="000A582E" w:rsidRDefault="00D47B2F" w:rsidP="00B51B51">
      <w:pPr>
        <w:widowControl w:val="0"/>
      </w:pPr>
    </w:p>
    <w:p w:rsidR="00D47B2F" w:rsidRPr="000A582E" w:rsidRDefault="00D47B2F" w:rsidP="00B51B51">
      <w:pPr>
        <w:widowControl w:val="0"/>
      </w:pPr>
      <w:r w:rsidRPr="000A582E">
        <w:t>A su vez, IPLA estimó</w:t>
      </w:r>
      <w:r>
        <w:t xml:space="preserve"> las demandas futuras</w:t>
      </w:r>
      <w:r w:rsidRPr="000A582E">
        <w:t xml:space="preserve"> mediante una proyección de la variación del PIB entre </w:t>
      </w:r>
      <w:r>
        <w:t>1993 y 2017</w:t>
      </w:r>
      <w:r w:rsidRPr="000A582E">
        <w:t>, cuya variación se supuso proporcional al aumento del PIB  correspondiente a cada región y a cada sector industrial, ligando de esta forma la demanda hídrica con el crecimiento económico del sector correspondiente.</w:t>
      </w:r>
    </w:p>
    <w:p w:rsidR="00D47B2F" w:rsidRPr="000A582E" w:rsidRDefault="00D47B2F" w:rsidP="00B51B51">
      <w:pPr>
        <w:widowControl w:val="0"/>
      </w:pPr>
    </w:p>
    <w:p w:rsidR="00D47B2F" w:rsidRDefault="00D47B2F" w:rsidP="00B51B51">
      <w:pPr>
        <w:widowControl w:val="0"/>
        <w:rPr>
          <w:rFonts w:cs="Arial"/>
          <w:szCs w:val="22"/>
          <w:lang w:val="es-CL"/>
        </w:rPr>
      </w:pPr>
      <w:r w:rsidRPr="000A582E">
        <w:t xml:space="preserve">Más recientemente en el estudio </w:t>
      </w:r>
      <w:r w:rsidRPr="000A582E">
        <w:rPr>
          <w:rFonts w:cs="Arial"/>
          <w:szCs w:val="22"/>
          <w:lang w:val="es-CL"/>
        </w:rPr>
        <w:t xml:space="preserve">“Estimaciones de Demanda de Agua y Proyecciones </w:t>
      </w:r>
      <w:r w:rsidRPr="000A582E">
        <w:rPr>
          <w:rFonts w:cs="Arial"/>
          <w:szCs w:val="22"/>
          <w:lang w:val="es-CL"/>
        </w:rPr>
        <w:lastRenderedPageBreak/>
        <w:t xml:space="preserve">Futuras Zona II: Regiones V a XII y Región Metropolitana” del año </w:t>
      </w:r>
      <w:r>
        <w:rPr>
          <w:rFonts w:cs="Arial"/>
          <w:szCs w:val="22"/>
          <w:lang w:val="es-CL"/>
        </w:rPr>
        <w:t>2007</w:t>
      </w:r>
      <w:r w:rsidRPr="000A582E">
        <w:rPr>
          <w:rFonts w:cs="Arial"/>
          <w:szCs w:val="22"/>
          <w:lang w:val="es-CL"/>
        </w:rPr>
        <w:t xml:space="preserve"> se estimaron las demandas asociadas a este sector, adoptándose como información base los resultados del el estudio de IPLA, por lo que corresponde solo a una actualización de las proyecciones de demandas considerándose un horizonte de tiempo mayor que el anterior, año 2030.</w:t>
      </w:r>
    </w:p>
    <w:p w:rsidR="00D47B2F" w:rsidRDefault="00D47B2F" w:rsidP="00B51B51">
      <w:pPr>
        <w:widowControl w:val="0"/>
        <w:rPr>
          <w:rFonts w:cs="Arial"/>
          <w:szCs w:val="22"/>
          <w:lang w:val="es-CL"/>
        </w:rPr>
      </w:pPr>
    </w:p>
    <w:p w:rsidR="00D47B2F" w:rsidRPr="000A582E" w:rsidRDefault="00D47B2F" w:rsidP="00B51B51">
      <w:pPr>
        <w:widowControl w:val="0"/>
      </w:pPr>
      <w:r w:rsidRPr="000A582E">
        <w:t xml:space="preserve">La metodología utilizada </w:t>
      </w:r>
      <w:r>
        <w:t>en este estudio considera</w:t>
      </w:r>
      <w:r w:rsidRPr="000A582E">
        <w:t xml:space="preserve"> como situación base las demandas calculadas en el año 1993 por IPLA. Dichas demandas han debido proyectarse hasta el año 2005 utilizando datos reales sobre la variación del Producto Interno Bruto asociado a cada sector industrial, y a cada región del país. Por lo tanto, se han proyectado los valores calculados por IPLA mediante el crecimiento económico real que experimentó el</w:t>
      </w:r>
      <w:r>
        <w:t xml:space="preserve"> país durante la última década.</w:t>
      </w:r>
    </w:p>
    <w:p w:rsidR="00D47B2F" w:rsidRPr="000A582E" w:rsidRDefault="00D47B2F" w:rsidP="00B51B51">
      <w:pPr>
        <w:widowControl w:val="0"/>
      </w:pPr>
    </w:p>
    <w:p w:rsidR="00D47B2F" w:rsidRPr="000A582E" w:rsidRDefault="00D47B2F" w:rsidP="00B51B51">
      <w:pPr>
        <w:pStyle w:val="Ttulo2"/>
        <w:keepNext w:val="0"/>
      </w:pPr>
      <w:bookmarkStart w:id="60" w:name="_Toc338179090"/>
      <w:bookmarkStart w:id="61" w:name="_Toc344391747"/>
      <w:r w:rsidRPr="000A582E">
        <w:t>Antecedentes de Infraestructura</w:t>
      </w:r>
      <w:bookmarkEnd w:id="60"/>
      <w:bookmarkEnd w:id="61"/>
    </w:p>
    <w:p w:rsidR="00D47B2F" w:rsidRPr="000A582E" w:rsidRDefault="00D47B2F" w:rsidP="00B51B51">
      <w:pPr>
        <w:widowControl w:val="0"/>
      </w:pPr>
    </w:p>
    <w:p w:rsidR="00D47B2F" w:rsidRPr="000A582E" w:rsidRDefault="00D47B2F" w:rsidP="00B51B51">
      <w:pPr>
        <w:widowControl w:val="0"/>
      </w:pPr>
      <w:r w:rsidRPr="000A582E">
        <w:t>La información recabada permite contar con la identificación y caracterización de la infraestructura actual de uso de los recursos hídricos en la región VI.</w:t>
      </w:r>
    </w:p>
    <w:p w:rsidR="00D47B2F" w:rsidRPr="000A582E" w:rsidRDefault="00D47B2F" w:rsidP="00B51B51">
      <w:pPr>
        <w:widowControl w:val="0"/>
      </w:pPr>
    </w:p>
    <w:p w:rsidR="00D47B2F" w:rsidRPr="000A582E" w:rsidRDefault="00D47B2F" w:rsidP="00B51B51">
      <w:pPr>
        <w:widowControl w:val="0"/>
      </w:pPr>
      <w:r w:rsidRPr="000A582E">
        <w:t>A partir de la revisión bibliográfica ha sido posible obtener información asociada a bocatomas, red de canales, embalses mayores y sistemas de Agua Potable Rural (APR).</w:t>
      </w:r>
    </w:p>
    <w:p w:rsidR="00E073DC" w:rsidRPr="000A582E" w:rsidRDefault="00E073DC" w:rsidP="00B51B51">
      <w:pPr>
        <w:widowControl w:val="0"/>
      </w:pPr>
    </w:p>
    <w:p w:rsidR="00D47B2F" w:rsidRPr="000A582E" w:rsidRDefault="00D47B2F" w:rsidP="00B51B51">
      <w:pPr>
        <w:widowControl w:val="0"/>
      </w:pPr>
      <w:r>
        <w:t xml:space="preserve">Los antecedentes </w:t>
      </w:r>
      <w:r w:rsidRPr="000A582E">
        <w:t>que permiten caracterizar a la infraestructura de riego se encuentra</w:t>
      </w:r>
      <w:r>
        <w:t>n</w:t>
      </w:r>
      <w:r w:rsidRPr="000A582E">
        <w:t xml:space="preserve"> disponibles en los distintos estudios de Catastros de Usuarios que se realizaron para </w:t>
      </w:r>
      <w:smartTag w:uri="urn:schemas-microsoft-com:office:smarttags" w:element="PersonName">
        <w:smartTagPr>
          <w:attr w:name="ProductID" w:val="la DGA"/>
        </w:smartTagPr>
        <w:r w:rsidRPr="000A582E">
          <w:t>la DGA</w:t>
        </w:r>
      </w:smartTag>
      <w:r w:rsidRPr="000A582E">
        <w:t xml:space="preserve"> en la década de los años </w:t>
      </w:r>
      <w:r>
        <w:t>1980 y 1990</w:t>
      </w:r>
      <w:r w:rsidRPr="000A582E">
        <w:t>.</w:t>
      </w:r>
    </w:p>
    <w:p w:rsidR="00D47B2F" w:rsidRPr="000A582E" w:rsidRDefault="00D47B2F" w:rsidP="00B51B51">
      <w:pPr>
        <w:widowControl w:val="0"/>
      </w:pPr>
    </w:p>
    <w:p w:rsidR="00D47B2F" w:rsidRDefault="00D47B2F" w:rsidP="00B51B51">
      <w:pPr>
        <w:widowControl w:val="0"/>
      </w:pPr>
      <w:r w:rsidRPr="000A582E">
        <w:t>En estos estudios se presenta un completo registro de las bocatomas y red de canales existentes.</w:t>
      </w:r>
    </w:p>
    <w:p w:rsidR="00D16566" w:rsidRPr="000A582E" w:rsidRDefault="00D16566" w:rsidP="00B51B51">
      <w:pPr>
        <w:widowControl w:val="0"/>
      </w:pPr>
    </w:p>
    <w:p w:rsidR="00D47B2F" w:rsidRPr="000A582E" w:rsidRDefault="00D47B2F" w:rsidP="00B51B51">
      <w:pPr>
        <w:widowControl w:val="0"/>
      </w:pPr>
      <w:r w:rsidRPr="000A582E">
        <w:t xml:space="preserve">Una información más actualizada respecto </w:t>
      </w:r>
      <w:r>
        <w:t>de las bocatomas se presenta</w:t>
      </w:r>
      <w:r w:rsidRPr="000A582E">
        <w:t xml:space="preserve"> en el estudio “Levantamiento de Bocatomas en Cauces Naturales” del año 2000.</w:t>
      </w:r>
    </w:p>
    <w:p w:rsidR="00D47B2F" w:rsidRPr="000A582E" w:rsidRDefault="00D47B2F" w:rsidP="00B51B51">
      <w:pPr>
        <w:widowControl w:val="0"/>
      </w:pPr>
    </w:p>
    <w:p w:rsidR="00D47B2F" w:rsidRPr="000A582E" w:rsidRDefault="00D47B2F" w:rsidP="00B51B51">
      <w:pPr>
        <w:widowControl w:val="0"/>
      </w:pPr>
      <w:r w:rsidRPr="000A582E">
        <w:t>En este estudio se incluye una ficha descriptiva de cada obra con indicación de nombre, ubicación, características téc</w:t>
      </w:r>
      <w:r>
        <w:t>nicas, tipo de organización y</w:t>
      </w:r>
      <w:r w:rsidRPr="000A582E">
        <w:t xml:space="preserve"> derechos asociados.</w:t>
      </w:r>
    </w:p>
    <w:p w:rsidR="00D47B2F" w:rsidRPr="000A582E" w:rsidRDefault="00D47B2F" w:rsidP="00B51B51">
      <w:pPr>
        <w:widowControl w:val="0"/>
      </w:pPr>
    </w:p>
    <w:p w:rsidR="00D47B2F" w:rsidRPr="000A582E" w:rsidRDefault="00D47B2F" w:rsidP="00B51B51">
      <w:pPr>
        <w:widowControl w:val="0"/>
      </w:pPr>
      <w:r w:rsidRPr="000A582E">
        <w:t>En lo que respecta a la infraestructura de embalses también se dispone de un registro con la identificación y características de las obras mayores.</w:t>
      </w:r>
    </w:p>
    <w:p w:rsidR="00D47B2F" w:rsidRPr="000A582E" w:rsidRDefault="00D47B2F" w:rsidP="00B51B51">
      <w:pPr>
        <w:widowControl w:val="0"/>
      </w:pPr>
    </w:p>
    <w:p w:rsidR="00D47B2F" w:rsidRPr="000A582E" w:rsidRDefault="00D47B2F" w:rsidP="00B51B51">
      <w:pPr>
        <w:widowControl w:val="0"/>
      </w:pPr>
      <w:r w:rsidRPr="000A582E">
        <w:t xml:space="preserve">Esta información ha sido obtenida de los archivos SIG de </w:t>
      </w:r>
      <w:smartTag w:uri="urn:schemas-microsoft-com:office:smarttags" w:element="PersonName">
        <w:smartTagPr>
          <w:attr w:name="ProductID" w:val="la DGA"/>
        </w:smartTagPr>
        <w:r w:rsidRPr="000A582E">
          <w:t>la DGA</w:t>
        </w:r>
      </w:smartTag>
      <w:r w:rsidRPr="000A582E">
        <w:t xml:space="preserve"> y CNR, así como también de estudios de catastros entre los que destacan el denominado “</w:t>
      </w:r>
      <w:r w:rsidRPr="000A582E">
        <w:rPr>
          <w:rFonts w:cs="Arial"/>
          <w:szCs w:val="22"/>
        </w:rPr>
        <w:t xml:space="preserve">Inspección de Embalses Ubicados entre las Regiones de Valparaíso y </w:t>
      </w:r>
      <w:smartTag w:uri="urn:schemas-microsoft-com:office:smarttags" w:element="PersonName">
        <w:smartTagPr>
          <w:attr w:name="ProductID" w:val="La Araucanía"/>
        </w:smartTagPr>
        <w:r w:rsidRPr="000A582E">
          <w:rPr>
            <w:rFonts w:cs="Arial"/>
            <w:szCs w:val="22"/>
          </w:rPr>
          <w:t>La Araucanía</w:t>
        </w:r>
      </w:smartTag>
      <w:r w:rsidRPr="000A582E">
        <w:rPr>
          <w:rFonts w:cs="Arial"/>
          <w:szCs w:val="22"/>
        </w:rPr>
        <w:t>” del año 2010.</w:t>
      </w:r>
    </w:p>
    <w:p w:rsidR="00D47B2F" w:rsidRPr="000A582E" w:rsidRDefault="00D47B2F" w:rsidP="00B51B51">
      <w:pPr>
        <w:widowControl w:val="0"/>
      </w:pPr>
    </w:p>
    <w:p w:rsidR="00D47B2F" w:rsidRPr="000A582E" w:rsidRDefault="00D47B2F" w:rsidP="00B51B51">
      <w:pPr>
        <w:widowControl w:val="0"/>
      </w:pPr>
      <w:r w:rsidRPr="000A582E">
        <w:t>Respecto de la infraestructura de APR</w:t>
      </w:r>
      <w:r>
        <w:t>,</w:t>
      </w:r>
      <w:r w:rsidRPr="000A582E">
        <w:t xml:space="preserve"> se dispone de información de las localidades abastecidas, con indicación de la ubicación del sistema y principales características técnicas.</w:t>
      </w:r>
    </w:p>
    <w:p w:rsidR="00D47B2F" w:rsidRPr="000A582E" w:rsidRDefault="00D47B2F" w:rsidP="00B51B51">
      <w:pPr>
        <w:widowControl w:val="0"/>
      </w:pPr>
    </w:p>
    <w:p w:rsidR="00577EED" w:rsidRDefault="00D47B2F" w:rsidP="00B51B51">
      <w:pPr>
        <w:widowControl w:val="0"/>
      </w:pPr>
      <w:r w:rsidRPr="000A582E">
        <w:t xml:space="preserve">Finalmente cabe señalar que gran parte de esta información se encuentra disponible en formato SIG como parte de la información disponible de </w:t>
      </w:r>
      <w:smartTag w:uri="urn:schemas-microsoft-com:office:smarttags" w:element="PersonName">
        <w:smartTagPr>
          <w:attr w:name="ProductID" w:val="la DGA"/>
        </w:smartTagPr>
        <w:r w:rsidRPr="000A582E">
          <w:t>la DGA</w:t>
        </w:r>
      </w:smartTag>
      <w:r w:rsidRPr="000A582E">
        <w:t xml:space="preserve"> y CNR.</w:t>
      </w:r>
    </w:p>
    <w:p w:rsidR="00CD050D" w:rsidRPr="005252EA" w:rsidRDefault="00CD050D" w:rsidP="00B51B51">
      <w:pPr>
        <w:widowControl w:val="0"/>
      </w:pPr>
    </w:p>
    <w:p w:rsidR="00CD050D" w:rsidRPr="00C4406D" w:rsidRDefault="00D94CC8" w:rsidP="00B51B51">
      <w:pPr>
        <w:pStyle w:val="Ttulo1"/>
        <w:keepNext w:val="0"/>
        <w:widowControl w:val="0"/>
      </w:pPr>
      <w:r w:rsidRPr="005252EA">
        <w:br w:type="page"/>
      </w:r>
      <w:bookmarkStart w:id="62" w:name="_Toc344391748"/>
      <w:r w:rsidR="00533685" w:rsidRPr="00D84361">
        <w:lastRenderedPageBreak/>
        <w:t>DEFINICIÓN DEL MARCO GEOLÓGICO E HIDROGEOLÓGICO</w:t>
      </w:r>
      <w:bookmarkEnd w:id="62"/>
    </w:p>
    <w:p w:rsidR="00E271DA" w:rsidRPr="00C4406D" w:rsidRDefault="00E271DA" w:rsidP="00B51B51">
      <w:pPr>
        <w:widowControl w:val="0"/>
      </w:pPr>
    </w:p>
    <w:p w:rsidR="00E271DA" w:rsidRDefault="00E271DA" w:rsidP="00B51B51">
      <w:pPr>
        <w:pStyle w:val="Ttulo2"/>
        <w:keepNext w:val="0"/>
      </w:pPr>
      <w:bookmarkStart w:id="63" w:name="_Toc336125003"/>
      <w:bookmarkStart w:id="64" w:name="_Toc336505436"/>
      <w:bookmarkStart w:id="65" w:name="_Toc344391749"/>
      <w:r w:rsidRPr="00C4406D">
        <w:t>Definición del Marco Geológico y Geomorfológico</w:t>
      </w:r>
      <w:bookmarkEnd w:id="63"/>
      <w:bookmarkEnd w:id="64"/>
      <w:bookmarkEnd w:id="65"/>
    </w:p>
    <w:p w:rsidR="00B70B03" w:rsidRPr="00B70B03" w:rsidRDefault="00B70B03" w:rsidP="00B70B03"/>
    <w:p w:rsidR="00BC1064" w:rsidRPr="00C4406D" w:rsidRDefault="00BC1064" w:rsidP="00B70B03">
      <w:pPr>
        <w:pStyle w:val="Ttulo3"/>
      </w:pPr>
      <w:bookmarkStart w:id="66" w:name="_Toc336426445"/>
      <w:bookmarkStart w:id="67" w:name="_Toc344391750"/>
      <w:r w:rsidRPr="00C4406D">
        <w:t>Caracterización Geomorfológica Regional</w:t>
      </w:r>
      <w:bookmarkEnd w:id="66"/>
      <w:bookmarkEnd w:id="67"/>
    </w:p>
    <w:p w:rsidR="00BC1064" w:rsidRPr="00C4406D" w:rsidRDefault="00BC1064" w:rsidP="00B51B51">
      <w:pPr>
        <w:widowControl w:val="0"/>
        <w:rPr>
          <w:rFonts w:cs="Arial"/>
          <w:lang w:val="es-CL"/>
        </w:rPr>
      </w:pPr>
    </w:p>
    <w:p w:rsidR="00BC1064" w:rsidRPr="00C4406D" w:rsidRDefault="00BC1064" w:rsidP="00B51B51">
      <w:pPr>
        <w:widowControl w:val="0"/>
      </w:pPr>
      <w:r w:rsidRPr="00C4406D">
        <w:t>La sexta región se caracteriza por la presencia clara y definida de las cuatro macroformas geomorfológicas del relieve chileno.</w:t>
      </w:r>
    </w:p>
    <w:p w:rsidR="00BC1064" w:rsidRPr="00C4406D" w:rsidRDefault="00BC1064" w:rsidP="00B51B51">
      <w:pPr>
        <w:widowControl w:val="0"/>
        <w:rPr>
          <w:rFonts w:cs="Arial"/>
        </w:rPr>
      </w:pPr>
    </w:p>
    <w:p w:rsidR="00BC1064" w:rsidRPr="00C4406D" w:rsidRDefault="00BC1064" w:rsidP="00B51B51">
      <w:pPr>
        <w:pStyle w:val="Ttulo4Ttulo4"/>
        <w:keepNext w:val="0"/>
        <w:widowControl w:val="0"/>
        <w:spacing w:before="0" w:after="0"/>
        <w:ind w:left="862" w:hanging="862"/>
      </w:pPr>
      <w:bookmarkStart w:id="68" w:name="_Toc336426446"/>
      <w:bookmarkStart w:id="69" w:name="_Toc344391751"/>
      <w:r w:rsidRPr="00C4406D">
        <w:t>Planicies litorales</w:t>
      </w:r>
      <w:bookmarkEnd w:id="68"/>
      <w:bookmarkEnd w:id="69"/>
    </w:p>
    <w:p w:rsidR="00BC1064" w:rsidRPr="00C4406D" w:rsidRDefault="00BC1064" w:rsidP="00B51B51">
      <w:pPr>
        <w:widowControl w:val="0"/>
        <w:rPr>
          <w:rFonts w:cs="Arial"/>
        </w:rPr>
      </w:pPr>
    </w:p>
    <w:p w:rsidR="00BC1064" w:rsidRPr="00C4406D" w:rsidRDefault="00BC1064" w:rsidP="00B51B51">
      <w:pPr>
        <w:widowControl w:val="0"/>
      </w:pPr>
      <w:r w:rsidRPr="00C4406D">
        <w:t xml:space="preserve">Esta formación casi se confunde con </w:t>
      </w:r>
      <w:smartTag w:uri="urn:schemas-microsoft-com:office:smarttags" w:element="PersonName">
        <w:smartTagPr>
          <w:attr w:name="ProductID" w:val="la Cordillera"/>
        </w:smartTagPr>
        <w:r w:rsidRPr="00C4406D">
          <w:t>la Cordillera</w:t>
        </w:r>
      </w:smartTag>
      <w:r w:rsidRPr="00C4406D">
        <w:t xml:space="preserve"> de </w:t>
      </w:r>
      <w:smartTag w:uri="urn:schemas-microsoft-com:office:smarttags" w:element="PersonName">
        <w:smartTagPr>
          <w:attr w:name="ProductID" w:val="la Costa"/>
        </w:smartTagPr>
        <w:r w:rsidRPr="00C4406D">
          <w:t>la Costa</w:t>
        </w:r>
      </w:smartTag>
      <w:r w:rsidRPr="00C4406D">
        <w:t xml:space="preserve"> y en general ha sido invadida por las dunas. Ha experimentado procesos de erosión debido a la destrucción de las rocas por acción del mar y de sedimentación marina o fluviomarina por depósito de materiales marinos y fluviales.</w:t>
      </w:r>
    </w:p>
    <w:p w:rsidR="00BC1064" w:rsidRPr="00C4406D" w:rsidRDefault="00BC1064" w:rsidP="00B51B51">
      <w:pPr>
        <w:widowControl w:val="0"/>
      </w:pPr>
    </w:p>
    <w:p w:rsidR="00BC1064" w:rsidRPr="00C4406D" w:rsidRDefault="00BC1064" w:rsidP="00B51B51">
      <w:pPr>
        <w:widowControl w:val="0"/>
      </w:pPr>
      <w:r w:rsidRPr="00C4406D">
        <w:t xml:space="preserve">Ejemplos de estas planicies en esta región son las terrazas marinas de Cáhuil, Bucalemu y Topocalma. Estas terrazas se encuentran en diferentes cotas, desde aproximadamente </w:t>
      </w:r>
      <w:smartTag w:uri="urn:schemas-microsoft-com:office:smarttags" w:element="metricconverter">
        <w:smartTagPr>
          <w:attr w:name="ProductID" w:val="4 a"/>
        </w:smartTagPr>
        <w:r w:rsidRPr="00C4406D">
          <w:t>4 a</w:t>
        </w:r>
      </w:smartTag>
      <w:r w:rsidRPr="00C4406D">
        <w:t xml:space="preserve"> </w:t>
      </w:r>
      <w:smartTag w:uri="urn:schemas-microsoft-com:office:smarttags" w:element="metricconverter">
        <w:smartTagPr>
          <w:attr w:name="ProductID" w:val="34 m"/>
        </w:smartTagPr>
        <w:r w:rsidRPr="00C4406D">
          <w:t>34 m</w:t>
        </w:r>
      </w:smartTag>
      <w:r w:rsidRPr="00C4406D">
        <w:t>.s.n.m, caracterizadas por superficies planas y predominio de vegetación de estepa de espino (acacia cavens). Se utilizan preferentemente para crianza de ganado lanar.</w:t>
      </w:r>
    </w:p>
    <w:p w:rsidR="00BC1064" w:rsidRPr="00C4406D" w:rsidRDefault="00BC1064" w:rsidP="00B51B51">
      <w:pPr>
        <w:widowControl w:val="0"/>
      </w:pPr>
    </w:p>
    <w:p w:rsidR="00BC1064" w:rsidRPr="00C4406D" w:rsidRDefault="00BC1064" w:rsidP="00B51B51">
      <w:pPr>
        <w:widowControl w:val="0"/>
      </w:pPr>
      <w:r w:rsidRPr="00C4406D">
        <w:t>En la costa regional no se encuentran puertos, a excepción de algunos lugares que han sido declarados como puertos menores, como la caleta Rapel, la localidad de Matanzas y Pichilemu; en Topocalma se encuentra el único faro de la región, que funciona en base a energía solar (León, 1996).</w:t>
      </w:r>
    </w:p>
    <w:p w:rsidR="00BC1064" w:rsidRPr="00C4406D" w:rsidRDefault="00BC1064" w:rsidP="00B51B51">
      <w:pPr>
        <w:widowControl w:val="0"/>
        <w:rPr>
          <w:rFonts w:cs="Arial"/>
        </w:rPr>
      </w:pPr>
    </w:p>
    <w:p w:rsidR="00BC1064" w:rsidRPr="00C4406D" w:rsidRDefault="00BC1064" w:rsidP="00B51B51">
      <w:pPr>
        <w:pStyle w:val="Ttulo4Ttulo4"/>
        <w:keepNext w:val="0"/>
        <w:widowControl w:val="0"/>
        <w:spacing w:before="0" w:after="0"/>
        <w:ind w:left="862" w:hanging="862"/>
      </w:pPr>
      <w:bookmarkStart w:id="70" w:name="_Toc336426447"/>
      <w:bookmarkStart w:id="71" w:name="_Toc344391752"/>
      <w:r w:rsidRPr="00C4406D">
        <w:t xml:space="preserve">Cordillera de </w:t>
      </w:r>
      <w:smartTag w:uri="urn:schemas-microsoft-com:office:smarttags" w:element="PersonName">
        <w:smartTagPr>
          <w:attr w:name="ProductID" w:val="la Costa"/>
        </w:smartTagPr>
        <w:r w:rsidRPr="00C4406D">
          <w:t>la Costa</w:t>
        </w:r>
      </w:smartTag>
      <w:bookmarkEnd w:id="70"/>
      <w:bookmarkEnd w:id="71"/>
    </w:p>
    <w:p w:rsidR="00BC1064" w:rsidRPr="00C4406D" w:rsidRDefault="00BC1064" w:rsidP="00B51B51">
      <w:pPr>
        <w:widowControl w:val="0"/>
        <w:rPr>
          <w:rFonts w:cs="Arial"/>
        </w:rPr>
      </w:pPr>
    </w:p>
    <w:p w:rsidR="00BC1064" w:rsidRPr="00C4406D" w:rsidRDefault="00BC1064" w:rsidP="00B51B51">
      <w:pPr>
        <w:widowControl w:val="0"/>
      </w:pPr>
      <w:r w:rsidRPr="00C4406D">
        <w:t xml:space="preserve">Situada próxima al mar, tiene un ancho variable de unos </w:t>
      </w:r>
      <w:smartTag w:uri="urn:schemas-microsoft-com:office:smarttags" w:element="metricconverter">
        <w:smartTagPr>
          <w:attr w:name="ProductID" w:val="40 a"/>
        </w:smartTagPr>
        <w:r w:rsidRPr="00C4406D">
          <w:t>40 a</w:t>
        </w:r>
      </w:smartTag>
      <w:r w:rsidRPr="00C4406D">
        <w:t xml:space="preserve"> 60 kms., con alturas máximas de </w:t>
      </w:r>
      <w:smartTag w:uri="urn:schemas-microsoft-com:office:smarttags" w:element="metricconverter">
        <w:smartTagPr>
          <w:attr w:name="ProductID" w:val="2000 m"/>
        </w:smartTagPr>
        <w:r w:rsidRPr="00C4406D">
          <w:t>2000 m</w:t>
        </w:r>
      </w:smartTag>
      <w:r w:rsidRPr="00C4406D">
        <w:t xml:space="preserve">. frente a Santiago y a Rancagua (Altos de Talamí y Altos de Cantillana). Se encuentra muy meteorizada y presenta pérdida de altura desde la región de Valparaíso continuando al sur de la hoya del Rapel, donde se deprime bruscamente alcanzando alturas inferiores a </w:t>
      </w:r>
      <w:smartTag w:uri="urn:schemas-microsoft-com:office:smarttags" w:element="metricconverter">
        <w:smartTagPr>
          <w:attr w:name="ProductID" w:val="1.000 m"/>
        </w:smartTagPr>
        <w:r w:rsidRPr="00C4406D">
          <w:t>1.000 m</w:t>
        </w:r>
      </w:smartTag>
      <w:r w:rsidRPr="00C4406D">
        <w:t>. Al sur del río Tinguiririca desciende aún más, presentando un aspecto de suaves ondulaciones más cercanas a una colina que a una montaña.</w:t>
      </w:r>
    </w:p>
    <w:p w:rsidR="00BC1064" w:rsidRPr="00C4406D" w:rsidRDefault="00BC1064" w:rsidP="00B51B51">
      <w:pPr>
        <w:widowControl w:val="0"/>
      </w:pPr>
    </w:p>
    <w:p w:rsidR="00BC1064" w:rsidRPr="00C4406D" w:rsidRDefault="00BC1064" w:rsidP="00B51B51">
      <w:pPr>
        <w:widowControl w:val="0"/>
      </w:pPr>
      <w:r w:rsidRPr="00C4406D">
        <w:t>El macizo costero está profundamente escindido por los grandes ríos de origen andino que forman el Rapel y por valles de origen tectónico que se generan en él, como es el del Estero Nilahue. En el área de su desembocadura, se encuentra la laguna o albufera de Cáhuil, originada por la acción combinada de aguas continentales provenientes de dicho estero, y aguas oceánicas. Ha contribuido también a su formación el estancamiento de aguas causado por el gran cordón de dunas existentes. Situación similar se aprecia en la laguna de Bucalemu que se alimenta de las aguas del estero Paredones.</w:t>
      </w:r>
    </w:p>
    <w:p w:rsidR="00BC1064" w:rsidRPr="00C4406D" w:rsidRDefault="00BC1064" w:rsidP="00B51B51">
      <w:pPr>
        <w:widowControl w:val="0"/>
      </w:pPr>
    </w:p>
    <w:p w:rsidR="00BC1064" w:rsidRPr="00C4406D" w:rsidRDefault="00BC1064" w:rsidP="00B51B51">
      <w:pPr>
        <w:widowControl w:val="0"/>
      </w:pPr>
      <w:r w:rsidRPr="00C4406D">
        <w:t>Esta Cordillera presenta laderas profundamente erosionadas que actualmente en una gran proporción se encuentran plantadas con especies vegetales introducidas como pino insigne y eucaliptus globulus, como una forma de frenar este proceso.</w:t>
      </w:r>
    </w:p>
    <w:p w:rsidR="00F3530C" w:rsidRPr="00C4406D" w:rsidRDefault="00F3530C" w:rsidP="00B51B51">
      <w:pPr>
        <w:widowControl w:val="0"/>
      </w:pPr>
    </w:p>
    <w:p w:rsidR="00F3530C" w:rsidRDefault="00F3530C" w:rsidP="00B51B51">
      <w:pPr>
        <w:widowControl w:val="0"/>
      </w:pPr>
    </w:p>
    <w:p w:rsidR="003E464B" w:rsidRPr="00C4406D" w:rsidRDefault="003E464B" w:rsidP="00B51B51">
      <w:pPr>
        <w:widowControl w:val="0"/>
      </w:pPr>
    </w:p>
    <w:p w:rsidR="00BC1064" w:rsidRPr="00C4406D" w:rsidRDefault="00BC1064" w:rsidP="00B51B51">
      <w:pPr>
        <w:pStyle w:val="Ttulo4Ttulo4"/>
        <w:keepNext w:val="0"/>
        <w:widowControl w:val="0"/>
        <w:spacing w:before="0" w:after="0"/>
        <w:ind w:left="862" w:hanging="862"/>
      </w:pPr>
      <w:bookmarkStart w:id="72" w:name="_Toc336426448"/>
      <w:bookmarkStart w:id="73" w:name="_Toc344391753"/>
      <w:r w:rsidRPr="00C4406D">
        <w:lastRenderedPageBreak/>
        <w:t>Depresión Intermedia</w:t>
      </w:r>
      <w:bookmarkEnd w:id="72"/>
      <w:bookmarkEnd w:id="73"/>
    </w:p>
    <w:p w:rsidR="00BC1064" w:rsidRPr="00C4406D" w:rsidRDefault="00BC1064" w:rsidP="00B51B51">
      <w:pPr>
        <w:widowControl w:val="0"/>
        <w:rPr>
          <w:rFonts w:cs="Arial"/>
        </w:rPr>
      </w:pPr>
    </w:p>
    <w:p w:rsidR="00BC1064" w:rsidRPr="00C4406D" w:rsidRDefault="00BC1064" w:rsidP="00B51B51">
      <w:pPr>
        <w:widowControl w:val="0"/>
      </w:pPr>
      <w:r w:rsidRPr="00C4406D">
        <w:t xml:space="preserve">Es una faja semiplana de un ancho estimado entre </w:t>
      </w:r>
      <w:smartTag w:uri="urn:schemas-microsoft-com:office:smarttags" w:element="metricconverter">
        <w:smartTagPr>
          <w:attr w:name="ProductID" w:val="50 a"/>
        </w:smartTagPr>
        <w:r w:rsidRPr="00C4406D">
          <w:t>50 a</w:t>
        </w:r>
      </w:smartTag>
      <w:r w:rsidRPr="00C4406D">
        <w:t xml:space="preserve"> </w:t>
      </w:r>
      <w:smartTag w:uri="urn:schemas-microsoft-com:office:smarttags" w:element="metricconverter">
        <w:smartTagPr>
          <w:attr w:name="ProductID" w:val="100 km"/>
        </w:smartTagPr>
        <w:r w:rsidRPr="00C4406D">
          <w:t>100 km</w:t>
        </w:r>
      </w:smartTag>
      <w:r w:rsidRPr="00C4406D">
        <w:t>, rasgo distintivo de esta región, dado que en ella se encuentran las cuencas del llano central de origen tectónico y relleno sedimentario fluvio-glacio-volcánico.</w:t>
      </w:r>
    </w:p>
    <w:p w:rsidR="00BC1064" w:rsidRPr="00C4406D" w:rsidRDefault="00BC1064" w:rsidP="00B51B51">
      <w:pPr>
        <w:widowControl w:val="0"/>
      </w:pPr>
    </w:p>
    <w:p w:rsidR="00BC1064" w:rsidRPr="00C4406D" w:rsidRDefault="00BC1064" w:rsidP="00B51B51">
      <w:pPr>
        <w:widowControl w:val="0"/>
      </w:pPr>
      <w:r w:rsidRPr="00C4406D">
        <w:t xml:space="preserve">Es en esta macroforma del relieve chileno, donde se inscriben grandes cuencas como la de Rancagua, con </w:t>
      </w:r>
      <w:smartTag w:uri="urn:schemas-microsoft-com:office:smarttags" w:element="metricconverter">
        <w:smartTagPr>
          <w:attr w:name="ProductID" w:val="60 km"/>
        </w:smartTagPr>
        <w:r w:rsidRPr="00C4406D">
          <w:t>60 km</w:t>
        </w:r>
      </w:smartTag>
      <w:r w:rsidRPr="00C4406D">
        <w:t xml:space="preserve"> en su eje N-S y 30 kms. en sentido E-O limitada por las cordilleras y sus aproximaciones en Angostura de Paine, que la separa de la cuenca de Santiago, y Rigolemo que da comienzo al valle de San Fernando. Al sur de esta angostura también denominada Pelequén, se abre el valle longitudinal de un modo definitivo. La altura promedio del llano central alcanza en esta región </w:t>
      </w:r>
      <w:smartTag w:uri="urn:schemas-microsoft-com:office:smarttags" w:element="metricconverter">
        <w:smartTagPr>
          <w:attr w:name="ProductID" w:val="400 m"/>
        </w:smartTagPr>
        <w:r w:rsidRPr="00C4406D">
          <w:t>400 m</w:t>
        </w:r>
      </w:smartTag>
      <w:r w:rsidRPr="00C4406D">
        <w:t xml:space="preserve"> aproximadamente.</w:t>
      </w:r>
    </w:p>
    <w:p w:rsidR="00BC1064" w:rsidRPr="00C4406D" w:rsidRDefault="00BC1064" w:rsidP="00B51B51">
      <w:pPr>
        <w:widowControl w:val="0"/>
        <w:rPr>
          <w:rFonts w:cs="Arial"/>
        </w:rPr>
      </w:pPr>
    </w:p>
    <w:p w:rsidR="00BC1064" w:rsidRPr="00C4406D" w:rsidRDefault="00BC1064" w:rsidP="00B51B51">
      <w:pPr>
        <w:pStyle w:val="Ttulo4Ttulo4"/>
        <w:keepNext w:val="0"/>
        <w:widowControl w:val="0"/>
        <w:spacing w:before="0" w:after="0"/>
        <w:ind w:left="862" w:hanging="862"/>
      </w:pPr>
      <w:bookmarkStart w:id="74" w:name="_Toc336426449"/>
      <w:bookmarkStart w:id="75" w:name="_Toc344391754"/>
      <w:r w:rsidRPr="00C4406D">
        <w:t>Cordillera de los Andes</w:t>
      </w:r>
      <w:bookmarkEnd w:id="74"/>
      <w:bookmarkEnd w:id="75"/>
    </w:p>
    <w:p w:rsidR="00BC1064" w:rsidRPr="00C4406D" w:rsidRDefault="00BC1064" w:rsidP="00B51B51">
      <w:pPr>
        <w:widowControl w:val="0"/>
        <w:rPr>
          <w:rFonts w:cs="Arial"/>
        </w:rPr>
      </w:pPr>
    </w:p>
    <w:p w:rsidR="00BC1064" w:rsidRPr="00C4406D" w:rsidRDefault="00BC1064" w:rsidP="00B51B51">
      <w:pPr>
        <w:widowControl w:val="0"/>
      </w:pPr>
      <w:r w:rsidRPr="00C4406D">
        <w:t>Constituye el límite natural de Chile en el sector oriental. En ella se encuentran grandes recursos minerales, organismos fósiles marinos y terrestres, las mayores reservas hídricas provenientes de fuentes glaciares, crionivales y fuentes de aguas termales originadas por la presencia de volcanes.</w:t>
      </w:r>
    </w:p>
    <w:p w:rsidR="00BC1064" w:rsidRPr="00C4406D" w:rsidRDefault="00BC1064" w:rsidP="00B51B51">
      <w:pPr>
        <w:widowControl w:val="0"/>
      </w:pPr>
    </w:p>
    <w:p w:rsidR="00BC1064" w:rsidRPr="00C4406D" w:rsidRDefault="00BC1064" w:rsidP="00B51B51">
      <w:pPr>
        <w:widowControl w:val="0"/>
      </w:pPr>
      <w:r w:rsidRPr="00C4406D">
        <w:t xml:space="preserve">Presenta una fuerte retención de nieve y agua en estado sólido y se identifica por abundantes recubrimientos glaciovolcánicos en los valles altos. Tiene un ancho promedio de </w:t>
      </w:r>
      <w:smartTag w:uri="urn:schemas-microsoft-com:office:smarttags" w:element="metricconverter">
        <w:smartTagPr>
          <w:attr w:name="ProductID" w:val="60 a"/>
        </w:smartTagPr>
        <w:r w:rsidRPr="00C4406D">
          <w:t>60 a</w:t>
        </w:r>
      </w:smartTag>
      <w:r w:rsidRPr="00C4406D">
        <w:t xml:space="preserve"> 80 kms. Alcanza su mayor altura al interior de Rancagua entre el Aconcagua y el Pico del Barroso donde las cumbres sobrepasan los </w:t>
      </w:r>
      <w:smartTag w:uri="urn:schemas-microsoft-com:office:smarttags" w:element="metricconverter">
        <w:smartTagPr>
          <w:attr w:name="ProductID" w:val="5.500 m"/>
        </w:smartTagPr>
        <w:r w:rsidRPr="00C4406D">
          <w:t>5.500 m</w:t>
        </w:r>
      </w:smartTag>
      <w:r w:rsidRPr="00C4406D">
        <w:t>.s.n.m., declinando en altura desde el volcán Tinguiririca al Sur.</w:t>
      </w:r>
    </w:p>
    <w:p w:rsidR="00BC1064" w:rsidRPr="00C4406D" w:rsidRDefault="00BC1064" w:rsidP="00B51B51">
      <w:pPr>
        <w:widowControl w:val="0"/>
      </w:pPr>
    </w:p>
    <w:p w:rsidR="00BC1064" w:rsidRPr="00C4406D" w:rsidRDefault="00BC1064" w:rsidP="00B51B51">
      <w:pPr>
        <w:widowControl w:val="0"/>
      </w:pPr>
      <w:r w:rsidRPr="00C4406D">
        <w:t xml:space="preserve">Se destacan como alturas principales el cerro El Portillo con </w:t>
      </w:r>
      <w:smartTag w:uri="urn:schemas-microsoft-com:office:smarttags" w:element="metricconverter">
        <w:smartTagPr>
          <w:attr w:name="ProductID" w:val="4.986 metros"/>
        </w:smartTagPr>
        <w:r w:rsidRPr="00C4406D">
          <w:t>4.986 metros</w:t>
        </w:r>
      </w:smartTag>
      <w:r w:rsidRPr="00C4406D">
        <w:t xml:space="preserve"> ubicado al suroriente de San Fernando, el cerro El Palomo con </w:t>
      </w:r>
      <w:smartTag w:uri="urn:schemas-microsoft-com:office:smarttags" w:element="metricconverter">
        <w:smartTagPr>
          <w:attr w:name="ProductID" w:val="4.850 metros"/>
        </w:smartTagPr>
        <w:r w:rsidRPr="00C4406D">
          <w:t>4.850 metros</w:t>
        </w:r>
      </w:smartTag>
      <w:r w:rsidRPr="00C4406D">
        <w:t xml:space="preserve"> frente a San Fernando, el Alto de los Mineros con </w:t>
      </w:r>
      <w:smartTag w:uri="urn:schemas-microsoft-com:office:smarttags" w:element="metricconverter">
        <w:smartTagPr>
          <w:attr w:name="ProductID" w:val="4.265 m"/>
        </w:smartTagPr>
        <w:r w:rsidRPr="00C4406D">
          <w:t>4.265 m</w:t>
        </w:r>
      </w:smartTag>
      <w:r w:rsidRPr="00C4406D">
        <w:t xml:space="preserve">, al suroriente de la localidad de Pelequén, comuna de Malloa, cerro Los Piuquenes con </w:t>
      </w:r>
      <w:smartTag w:uri="urn:schemas-microsoft-com:office:smarttags" w:element="metricconverter">
        <w:smartTagPr>
          <w:attr w:name="ProductID" w:val="4.460 m"/>
        </w:smartTagPr>
        <w:r w:rsidRPr="00C4406D">
          <w:t>4.460 m</w:t>
        </w:r>
      </w:smartTag>
      <w:r w:rsidRPr="00C4406D">
        <w:t xml:space="preserve">, el volcán Tinguiririca con </w:t>
      </w:r>
      <w:smartTag w:uri="urn:schemas-microsoft-com:office:smarttags" w:element="metricconverter">
        <w:smartTagPr>
          <w:attr w:name="ProductID" w:val="4.300 metros"/>
        </w:smartTagPr>
        <w:r w:rsidRPr="00C4406D">
          <w:t>4.300 metros</w:t>
        </w:r>
      </w:smartTag>
      <w:r w:rsidRPr="00C4406D">
        <w:t>, frente a la localidad de Codegua, comuna de Chimbarongo.</w:t>
      </w:r>
    </w:p>
    <w:p w:rsidR="00BC1064" w:rsidRPr="00C4406D" w:rsidRDefault="00BC1064" w:rsidP="00B51B51">
      <w:pPr>
        <w:widowControl w:val="0"/>
      </w:pPr>
    </w:p>
    <w:p w:rsidR="00BC1064" w:rsidRPr="00C4406D" w:rsidRDefault="00BC1064" w:rsidP="00B51B51">
      <w:pPr>
        <w:widowControl w:val="0"/>
      </w:pPr>
      <w:r w:rsidRPr="00C4406D">
        <w:t>«Es en la falda occidental de esta cordillera donde emplazan sus cabeceras los principales ríos y donde se generan los mayores recursos litológicos que los alimentan.» (Niemeyer F., H. y Pilar Cereceda, 1984).</w:t>
      </w:r>
    </w:p>
    <w:p w:rsidR="00BC1064" w:rsidRPr="00C4406D" w:rsidRDefault="00BC1064" w:rsidP="00B51B51">
      <w:pPr>
        <w:widowControl w:val="0"/>
      </w:pPr>
    </w:p>
    <w:p w:rsidR="00BC1064" w:rsidRPr="00C4406D" w:rsidRDefault="00BC1064" w:rsidP="00B51B51">
      <w:pPr>
        <w:widowControl w:val="0"/>
      </w:pPr>
      <w:r w:rsidRPr="00C4406D">
        <w:t xml:space="preserve">Conjuntamente se hace más intensa la glaciación, cuyo punto de término más bajo, según Brüggen (1950) se considera en </w:t>
      </w:r>
      <w:smartTag w:uri="urn:schemas-microsoft-com:office:smarttags" w:element="metricconverter">
        <w:smartTagPr>
          <w:attr w:name="ProductID" w:val="1.920 metros"/>
        </w:smartTagPr>
        <w:r w:rsidRPr="00C4406D">
          <w:t>1.920 metros</w:t>
        </w:r>
      </w:smartTag>
      <w:r w:rsidRPr="00C4406D">
        <w:t xml:space="preserve"> de altura hasta la que desciende el glaciar de los Cipreses. En 1882 se calculaba en </w:t>
      </w:r>
      <w:smartTag w:uri="urn:schemas-microsoft-com:office:smarttags" w:element="metricconverter">
        <w:smartTagPr>
          <w:attr w:name="ProductID" w:val="58 metros"/>
        </w:smartTagPr>
        <w:r w:rsidRPr="00C4406D">
          <w:t>58 metros</w:t>
        </w:r>
      </w:smartTag>
      <w:r w:rsidRPr="00C4406D">
        <w:t xml:space="preserve"> anuales el retroceso de este glaciar. En el valle del Tinguiririca cerca de la frontera, termina el glaciar Palacios a </w:t>
      </w:r>
      <w:smartTag w:uri="urn:schemas-microsoft-com:office:smarttags" w:element="metricconverter">
        <w:smartTagPr>
          <w:attr w:name="ProductID" w:val="2.700 metros"/>
        </w:smartTagPr>
        <w:r w:rsidRPr="00C4406D">
          <w:t>2.700 metros</w:t>
        </w:r>
      </w:smartTag>
      <w:r w:rsidRPr="00C4406D">
        <w:t xml:space="preserve"> y en el valle del Azufre, se encuentra el glaciar Universidad que baja hasta la altura de </w:t>
      </w:r>
      <w:smartTag w:uri="urn:schemas-microsoft-com:office:smarttags" w:element="metricconverter">
        <w:smartTagPr>
          <w:attr w:name="ProductID" w:val="2.650 m"/>
        </w:smartTagPr>
        <w:r w:rsidRPr="00C4406D">
          <w:t>2.650 m</w:t>
        </w:r>
      </w:smartTag>
      <w:r w:rsidRPr="00C4406D">
        <w:t>. Junto a estos glaciares se observan ventisqueros como el Alto de los Arrieros, en el cajón del río Cipreses y el Cerro Los Brujos en el cajón del río Azufre.</w:t>
      </w:r>
    </w:p>
    <w:p w:rsidR="00BC1064" w:rsidRPr="00C4406D" w:rsidRDefault="00BC1064" w:rsidP="00B51B51">
      <w:pPr>
        <w:widowControl w:val="0"/>
      </w:pPr>
    </w:p>
    <w:p w:rsidR="00BC1064" w:rsidRPr="00D7503D" w:rsidRDefault="00BC1064" w:rsidP="00B51B51">
      <w:pPr>
        <w:widowControl w:val="0"/>
      </w:pPr>
      <w:r w:rsidRPr="00D7503D">
        <w:t xml:space="preserve">En la región se pueden apreciar sedimentos arrastrados por los hielos en épocas de glaciaciones (morrenas) tanto en sectores cordilleranos como costeros. Entre los primeros podemos mencionar Chacayes a unos </w:t>
      </w:r>
      <w:smartTag w:uri="urn:schemas-microsoft-com:office:smarttags" w:element="metricconverter">
        <w:smartTagPr>
          <w:attr w:name="ProductID" w:val="1.000 m"/>
        </w:smartTagPr>
        <w:r w:rsidRPr="00D7503D">
          <w:t>1.000 m</w:t>
        </w:r>
      </w:smartTag>
      <w:r w:rsidRPr="00D7503D">
        <w:t xml:space="preserve"> de altura, en la comuna de Machalí, también en Isla de Briones, en la comuna de San Fernando, con alturas de </w:t>
      </w:r>
      <w:smartTag w:uri="urn:schemas-microsoft-com:office:smarttags" w:element="metricconverter">
        <w:smartTagPr>
          <w:attr w:name="ProductID" w:val="600 metros"/>
        </w:smartTagPr>
        <w:r w:rsidRPr="00D7503D">
          <w:t>600 metros</w:t>
        </w:r>
      </w:smartTag>
      <w:r w:rsidRPr="00D7503D">
        <w:t xml:space="preserve"> aproximadamente.</w:t>
      </w:r>
    </w:p>
    <w:p w:rsidR="00BC1064" w:rsidRPr="00D7503D" w:rsidRDefault="00BC1064" w:rsidP="00B51B51">
      <w:pPr>
        <w:widowControl w:val="0"/>
      </w:pPr>
    </w:p>
    <w:p w:rsidR="00BC1064" w:rsidRPr="003E464B" w:rsidRDefault="00BC1064" w:rsidP="00B51B51">
      <w:pPr>
        <w:widowControl w:val="0"/>
        <w:rPr>
          <w:szCs w:val="22"/>
        </w:rPr>
      </w:pPr>
      <w:r w:rsidRPr="003E464B">
        <w:rPr>
          <w:szCs w:val="22"/>
        </w:rPr>
        <w:lastRenderedPageBreak/>
        <w:t>La planicie conocida como Vega del Flaco, corresponde al fondo de un antiguo lago estancado por una barrera de morrenas antepuestas,</w:t>
      </w:r>
      <w:r w:rsidR="0091512A" w:rsidRPr="003E464B">
        <w:rPr>
          <w:szCs w:val="22"/>
        </w:rPr>
        <w:t xml:space="preserve"> de alturas entre 1.400 y </w:t>
      </w:r>
      <w:smartTag w:uri="urn:schemas-microsoft-com:office:smarttags" w:element="metricconverter">
        <w:smartTagPr>
          <w:attr w:name="ProductID" w:val="1.600 m"/>
        </w:smartTagPr>
        <w:r w:rsidR="0091512A" w:rsidRPr="003E464B">
          <w:rPr>
            <w:szCs w:val="22"/>
          </w:rPr>
          <w:t xml:space="preserve">1.600 </w:t>
        </w:r>
        <w:r w:rsidRPr="003E464B">
          <w:rPr>
            <w:szCs w:val="22"/>
          </w:rPr>
          <w:t>m</w:t>
        </w:r>
      </w:smartTag>
      <w:r w:rsidRPr="003E464B">
        <w:rPr>
          <w:szCs w:val="22"/>
        </w:rPr>
        <w:t xml:space="preserve">. Hacia la costa en la localidad de </w:t>
      </w:r>
      <w:smartTag w:uri="urn:schemas-microsoft-com:office:smarttags" w:element="PersonName">
        <w:smartTagPr>
          <w:attr w:name="ProductID" w:val="La Cueva"/>
        </w:smartTagPr>
        <w:r w:rsidRPr="003E464B">
          <w:rPr>
            <w:szCs w:val="22"/>
          </w:rPr>
          <w:t>La Cueva</w:t>
        </w:r>
      </w:smartTag>
      <w:r w:rsidRPr="003E464B">
        <w:rPr>
          <w:szCs w:val="22"/>
        </w:rPr>
        <w:t xml:space="preserve">, comuna de </w:t>
      </w:r>
      <w:smartTag w:uri="urn:schemas-microsoft-com:office:smarttags" w:element="PersonName">
        <w:smartTagPr>
          <w:attr w:name="ProductID" w:val="La Estrella"/>
        </w:smartTagPr>
        <w:r w:rsidRPr="003E464B">
          <w:rPr>
            <w:szCs w:val="22"/>
          </w:rPr>
          <w:t>La Estrella</w:t>
        </w:r>
      </w:smartTag>
      <w:r w:rsidRPr="003E464B">
        <w:rPr>
          <w:szCs w:val="22"/>
        </w:rPr>
        <w:t xml:space="preserve">, las morrenas constituyen una extensa meseta de </w:t>
      </w:r>
      <w:smartTag w:uri="urn:schemas-microsoft-com:office:smarttags" w:element="metricconverter">
        <w:smartTagPr>
          <w:attr w:name="ProductID" w:val="383 m"/>
        </w:smartTagPr>
        <w:r w:rsidRPr="003E464B">
          <w:rPr>
            <w:szCs w:val="22"/>
          </w:rPr>
          <w:t>383 m</w:t>
        </w:r>
      </w:smartTag>
      <w:r w:rsidRPr="003E464B">
        <w:rPr>
          <w:szCs w:val="22"/>
        </w:rPr>
        <w:t>.s.n.m.</w:t>
      </w:r>
    </w:p>
    <w:p w:rsidR="00BC1064" w:rsidRPr="003E464B" w:rsidRDefault="00BC1064" w:rsidP="00B51B51">
      <w:pPr>
        <w:widowControl w:val="0"/>
        <w:rPr>
          <w:szCs w:val="22"/>
        </w:rPr>
      </w:pPr>
    </w:p>
    <w:p w:rsidR="00BC1064" w:rsidRPr="003E464B" w:rsidRDefault="00BC1064" w:rsidP="00B51B51">
      <w:pPr>
        <w:widowControl w:val="0"/>
        <w:rPr>
          <w:szCs w:val="22"/>
        </w:rPr>
      </w:pPr>
      <w:r w:rsidRPr="003E464B">
        <w:rPr>
          <w:szCs w:val="22"/>
        </w:rPr>
        <w:t xml:space="preserve">Siempre dentro del ámbito cordillerano andino se debe destacar la presencia del volcán Tinguiririca, al sur de San Fernando y los pasos fronterizos de Las Leñas en el cajón del río del mismo nombre, a </w:t>
      </w:r>
      <w:smartTag w:uri="urn:schemas-microsoft-com:office:smarttags" w:element="metricconverter">
        <w:smartTagPr>
          <w:attr w:name="ProductID" w:val="4.000 m"/>
        </w:smartTagPr>
        <w:r w:rsidRPr="003E464B">
          <w:rPr>
            <w:szCs w:val="22"/>
          </w:rPr>
          <w:t>4.000 m</w:t>
        </w:r>
      </w:smartTag>
      <w:r w:rsidRPr="003E464B">
        <w:rPr>
          <w:szCs w:val="22"/>
        </w:rPr>
        <w:t xml:space="preserve">. de altura -donde en 1895 se puso un hito demarcador del límite internacional entre Chile y </w:t>
      </w:r>
      <w:smartTag w:uri="urn:schemas-microsoft-com:office:smarttags" w:element="PersonName">
        <w:smartTagPr>
          <w:attr w:name="ProductID" w:val="la República Argentina"/>
        </w:smartTagPr>
        <w:r w:rsidRPr="003E464B">
          <w:rPr>
            <w:szCs w:val="22"/>
          </w:rPr>
          <w:t>la República Argentina</w:t>
        </w:r>
      </w:smartTag>
      <w:r w:rsidRPr="003E464B">
        <w:rPr>
          <w:szCs w:val="22"/>
        </w:rPr>
        <w:t xml:space="preserve">, denominado hito de Las Leñas-, el paso del Yeso a </w:t>
      </w:r>
      <w:smartTag w:uri="urn:schemas-microsoft-com:office:smarttags" w:element="metricconverter">
        <w:smartTagPr>
          <w:attr w:name="ProductID" w:val="2.602 m"/>
        </w:smartTagPr>
        <w:r w:rsidRPr="003E464B">
          <w:rPr>
            <w:szCs w:val="22"/>
          </w:rPr>
          <w:t>2.602 m</w:t>
        </w:r>
      </w:smartTag>
      <w:r w:rsidRPr="003E464B">
        <w:rPr>
          <w:szCs w:val="22"/>
        </w:rPr>
        <w:t xml:space="preserve"> en el interior de </w:t>
      </w:r>
      <w:smartTag w:uri="urn:schemas-microsoft-com:office:smarttags" w:element="PersonName">
        <w:smartTagPr>
          <w:attr w:name="ProductID" w:val="la Hacienda"/>
        </w:smartTagPr>
        <w:r w:rsidRPr="003E464B">
          <w:rPr>
            <w:szCs w:val="22"/>
          </w:rPr>
          <w:t>la Hacienda</w:t>
        </w:r>
      </w:smartTag>
      <w:r w:rsidRPr="003E464B">
        <w:rPr>
          <w:szCs w:val="22"/>
        </w:rPr>
        <w:t xml:space="preserve"> de Cauquenes y el paso de Las Damas a </w:t>
      </w:r>
      <w:smartTag w:uri="urn:schemas-microsoft-com:office:smarttags" w:element="metricconverter">
        <w:smartTagPr>
          <w:attr w:name="ProductID" w:val="2.587 m"/>
        </w:smartTagPr>
        <w:r w:rsidRPr="003E464B">
          <w:rPr>
            <w:szCs w:val="22"/>
          </w:rPr>
          <w:t>2.587 m</w:t>
        </w:r>
      </w:smartTag>
      <w:r w:rsidRPr="003E464B">
        <w:rPr>
          <w:szCs w:val="22"/>
        </w:rPr>
        <w:t xml:space="preserve"> cerca del nacimiento del río Tinguiririca.</w:t>
      </w:r>
    </w:p>
    <w:p w:rsidR="00BC1064" w:rsidRPr="003E464B" w:rsidRDefault="00BC1064" w:rsidP="00B51B51">
      <w:pPr>
        <w:widowControl w:val="0"/>
        <w:rPr>
          <w:szCs w:val="22"/>
        </w:rPr>
      </w:pPr>
    </w:p>
    <w:p w:rsidR="00BC1064" w:rsidRPr="003E464B" w:rsidRDefault="00BC1064" w:rsidP="00B51B51">
      <w:pPr>
        <w:widowControl w:val="0"/>
        <w:rPr>
          <w:szCs w:val="22"/>
        </w:rPr>
      </w:pPr>
      <w:r w:rsidRPr="003E464B">
        <w:rPr>
          <w:szCs w:val="22"/>
        </w:rPr>
        <w:t>Asociadas al sector cordillerano de Los Andes encontramos fuentes de aguas termales, algunas de gran fama por sus cualidades curativas como son las Termas de Cauquenes, ubicada en la comuna de Machalí, y las Termas del Flaco, en la comuna de San Fernando.</w:t>
      </w:r>
    </w:p>
    <w:p w:rsidR="00BC1064" w:rsidRPr="003E464B" w:rsidRDefault="00BC1064" w:rsidP="00B51B51">
      <w:pPr>
        <w:widowControl w:val="0"/>
        <w:rPr>
          <w:szCs w:val="22"/>
        </w:rPr>
      </w:pPr>
    </w:p>
    <w:p w:rsidR="00BC1064" w:rsidRPr="003E464B" w:rsidRDefault="00BC1064" w:rsidP="00B51B51">
      <w:pPr>
        <w:widowControl w:val="0"/>
        <w:rPr>
          <w:szCs w:val="22"/>
        </w:rPr>
      </w:pPr>
      <w:r w:rsidRPr="003E464B">
        <w:rPr>
          <w:szCs w:val="22"/>
        </w:rPr>
        <w:t xml:space="preserve">Además de las cuatro macroformas de relieve mencionadas, debemos agregar una quinta que sólo está presente en un sector de esta región: </w:t>
      </w:r>
      <w:smartTag w:uri="urn:schemas-microsoft-com:office:smarttags" w:element="PersonName">
        <w:smartTagPr>
          <w:attr w:name="ProductID" w:val="La Montaña."/>
        </w:smartTagPr>
        <w:r w:rsidRPr="003E464B">
          <w:rPr>
            <w:szCs w:val="22"/>
          </w:rPr>
          <w:t>La Montaña.</w:t>
        </w:r>
      </w:smartTag>
    </w:p>
    <w:p w:rsidR="00BC1064" w:rsidRPr="003E464B" w:rsidRDefault="00BC1064" w:rsidP="00B51B51">
      <w:pPr>
        <w:widowControl w:val="0"/>
        <w:rPr>
          <w:rFonts w:cs="Arial"/>
          <w:szCs w:val="22"/>
        </w:rPr>
      </w:pPr>
    </w:p>
    <w:p w:rsidR="00BC1064" w:rsidRPr="003E464B" w:rsidRDefault="00BC1064" w:rsidP="00B51B51">
      <w:pPr>
        <w:pStyle w:val="Ttulo4Ttulo4"/>
        <w:keepNext w:val="0"/>
        <w:widowControl w:val="0"/>
        <w:spacing w:before="0" w:after="0"/>
        <w:ind w:left="862" w:hanging="862"/>
      </w:pPr>
      <w:bookmarkStart w:id="76" w:name="_Toc336426450"/>
      <w:bookmarkStart w:id="77" w:name="_Toc344391755"/>
      <w:smartTag w:uri="urn:schemas-microsoft-com:office:smarttags" w:element="PersonName">
        <w:smartTagPr>
          <w:attr w:name="ProductID" w:val="La Montaña"/>
        </w:smartTagPr>
        <w:r w:rsidRPr="003E464B">
          <w:t>La Montaña</w:t>
        </w:r>
      </w:smartTag>
      <w:bookmarkEnd w:id="76"/>
      <w:bookmarkEnd w:id="77"/>
    </w:p>
    <w:p w:rsidR="00BC1064" w:rsidRPr="003E464B" w:rsidRDefault="00BC1064" w:rsidP="00B51B51">
      <w:pPr>
        <w:widowControl w:val="0"/>
        <w:rPr>
          <w:rFonts w:cs="Arial"/>
          <w:szCs w:val="22"/>
        </w:rPr>
      </w:pPr>
    </w:p>
    <w:p w:rsidR="00BC1064" w:rsidRPr="003E464B" w:rsidRDefault="00BC1064" w:rsidP="00B51B51">
      <w:pPr>
        <w:widowControl w:val="0"/>
        <w:rPr>
          <w:szCs w:val="22"/>
        </w:rPr>
      </w:pPr>
      <w:r w:rsidRPr="003E464B">
        <w:rPr>
          <w:szCs w:val="22"/>
        </w:rPr>
        <w:t>Esta faja de relieve se encuentra situada al oriente del valle longitud</w:t>
      </w:r>
      <w:r w:rsidR="0091512A" w:rsidRPr="003E464B">
        <w:rPr>
          <w:szCs w:val="22"/>
        </w:rPr>
        <w:t>inal, desde San Fernando a Los Á</w:t>
      </w:r>
      <w:r w:rsidRPr="003E464B">
        <w:rPr>
          <w:szCs w:val="22"/>
        </w:rPr>
        <w:t xml:space="preserve">ngeles, anteponiéndose a </w:t>
      </w:r>
      <w:smartTag w:uri="urn:schemas-microsoft-com:office:smarttags" w:element="PersonName">
        <w:smartTagPr>
          <w:attr w:name="ProductID" w:val="la Cordillera"/>
        </w:smartTagPr>
        <w:r w:rsidRPr="003E464B">
          <w:rPr>
            <w:szCs w:val="22"/>
          </w:rPr>
          <w:t>la Cordillera</w:t>
        </w:r>
      </w:smartTag>
      <w:r w:rsidRPr="003E464B">
        <w:rPr>
          <w:szCs w:val="22"/>
        </w:rPr>
        <w:t xml:space="preserve"> de Los Andes. Está formada por cerros que alcanzan una altura máxima de </w:t>
      </w:r>
      <w:smartTag w:uri="urn:schemas-microsoft-com:office:smarttags" w:element="metricconverter">
        <w:smartTagPr>
          <w:attr w:name="ProductID" w:val="1.500 m"/>
        </w:smartTagPr>
        <w:r w:rsidRPr="003E464B">
          <w:rPr>
            <w:szCs w:val="22"/>
          </w:rPr>
          <w:t>1.500 m</w:t>
        </w:r>
      </w:smartTag>
      <w:r w:rsidR="0091512A" w:rsidRPr="003E464B">
        <w:rPr>
          <w:szCs w:val="22"/>
        </w:rPr>
        <w:t>.s.n.m</w:t>
      </w:r>
      <w:r w:rsidRPr="003E464B">
        <w:rPr>
          <w:szCs w:val="22"/>
        </w:rPr>
        <w:t>, de origen sedimentario, con predominancia de materiales fluviovolcánicos, fluvioglaciares y fluviales. Constituye un sector apto para plantaciones de bosques.</w:t>
      </w:r>
    </w:p>
    <w:p w:rsidR="003E464B" w:rsidRPr="003E464B" w:rsidRDefault="003E464B" w:rsidP="00B51B51">
      <w:pPr>
        <w:widowControl w:val="0"/>
        <w:rPr>
          <w:sz w:val="26"/>
          <w:szCs w:val="22"/>
        </w:rPr>
      </w:pPr>
    </w:p>
    <w:p w:rsidR="00BC1064" w:rsidRPr="003E464B" w:rsidRDefault="00BC1064" w:rsidP="003E464B">
      <w:pPr>
        <w:pStyle w:val="Ttulo3"/>
        <w:rPr>
          <w:szCs w:val="22"/>
        </w:rPr>
      </w:pPr>
      <w:bookmarkStart w:id="78" w:name="_Toc336426451"/>
      <w:bookmarkStart w:id="79" w:name="_Toc344391756"/>
      <w:r w:rsidRPr="003E464B">
        <w:rPr>
          <w:szCs w:val="22"/>
        </w:rPr>
        <w:t>Caracterización Geológica Regional</w:t>
      </w:r>
      <w:bookmarkEnd w:id="78"/>
      <w:bookmarkEnd w:id="79"/>
    </w:p>
    <w:p w:rsidR="00BC1064" w:rsidRPr="003E464B" w:rsidRDefault="00BC1064" w:rsidP="00B51B51">
      <w:pPr>
        <w:widowControl w:val="0"/>
        <w:rPr>
          <w:rFonts w:cs="Arial"/>
          <w:szCs w:val="22"/>
        </w:rPr>
      </w:pPr>
    </w:p>
    <w:p w:rsidR="00BC1064" w:rsidRPr="003E464B" w:rsidRDefault="00BC1064" w:rsidP="00B51B51">
      <w:pPr>
        <w:widowControl w:val="0"/>
        <w:rPr>
          <w:szCs w:val="22"/>
        </w:rPr>
      </w:pPr>
      <w:r w:rsidRPr="003E464B">
        <w:rPr>
          <w:szCs w:val="22"/>
        </w:rPr>
        <w:t xml:space="preserve">Según la descripción geológica contenida en el informe técnico para </w:t>
      </w:r>
      <w:smartTag w:uri="urn:schemas-microsoft-com:office:smarttags" w:element="PersonName">
        <w:smartTagPr>
          <w:attr w:name="ProductID" w:val="la Evaluación"/>
        </w:smartTagPr>
        <w:r w:rsidRPr="003E464B">
          <w:rPr>
            <w:szCs w:val="22"/>
          </w:rPr>
          <w:t>la Evaluación</w:t>
        </w:r>
      </w:smartTag>
      <w:r w:rsidRPr="003E464B">
        <w:rPr>
          <w:szCs w:val="22"/>
        </w:rPr>
        <w:t xml:space="preserve"> de los Recursos Hídricos Subterráneos de </w:t>
      </w:r>
      <w:smartTag w:uri="urn:schemas-microsoft-com:office:smarttags" w:element="PersonName">
        <w:smartTagPr>
          <w:attr w:name="ProductID" w:val="la VI Región"/>
        </w:smartTagPr>
        <w:r w:rsidRPr="003E464B">
          <w:rPr>
            <w:szCs w:val="22"/>
          </w:rPr>
          <w:t>la VI Región</w:t>
        </w:r>
      </w:smartTag>
      <w:r w:rsidRPr="003E464B">
        <w:rPr>
          <w:szCs w:val="22"/>
        </w:rPr>
        <w:t xml:space="preserve"> (SDT N°160) noviembre de 2003, se desprende la siguiente caracterización geológica a nivel regional: </w:t>
      </w:r>
    </w:p>
    <w:p w:rsidR="00823EF4" w:rsidRPr="003E464B" w:rsidRDefault="00823EF4" w:rsidP="00B51B51">
      <w:pPr>
        <w:widowControl w:val="0"/>
        <w:rPr>
          <w:sz w:val="26"/>
          <w:szCs w:val="22"/>
        </w:rPr>
      </w:pPr>
    </w:p>
    <w:p w:rsidR="00BC1064" w:rsidRPr="003E464B" w:rsidRDefault="00BC1064" w:rsidP="00B51B51">
      <w:pPr>
        <w:pStyle w:val="Ttulo4Ttulo4"/>
        <w:keepNext w:val="0"/>
        <w:widowControl w:val="0"/>
        <w:spacing w:before="0" w:after="0"/>
        <w:ind w:left="862" w:hanging="862"/>
      </w:pPr>
      <w:bookmarkStart w:id="80" w:name="_Toc336426452"/>
      <w:bookmarkStart w:id="81" w:name="_Toc344391757"/>
      <w:r w:rsidRPr="003E464B">
        <w:t xml:space="preserve">Unidades de </w:t>
      </w:r>
      <w:r w:rsidR="00823EF4" w:rsidRPr="003E464B">
        <w:t>R</w:t>
      </w:r>
      <w:r w:rsidRPr="003E464B">
        <w:t>oca</w:t>
      </w:r>
      <w:bookmarkEnd w:id="80"/>
      <w:bookmarkEnd w:id="81"/>
    </w:p>
    <w:p w:rsidR="00BC1064" w:rsidRPr="003E464B" w:rsidRDefault="00BC1064" w:rsidP="00B51B51">
      <w:pPr>
        <w:widowControl w:val="0"/>
        <w:autoSpaceDE w:val="0"/>
        <w:autoSpaceDN w:val="0"/>
        <w:adjustRightInd w:val="0"/>
        <w:rPr>
          <w:rFonts w:cs="Arial"/>
          <w:b/>
          <w:bCs/>
          <w:szCs w:val="22"/>
          <w:lang w:val="es-CL" w:eastAsia="es-CL"/>
        </w:rPr>
      </w:pPr>
    </w:p>
    <w:p w:rsidR="00BC1064" w:rsidRPr="003E464B" w:rsidRDefault="00BC1064" w:rsidP="00145762">
      <w:pPr>
        <w:widowControl w:val="0"/>
        <w:numPr>
          <w:ilvl w:val="0"/>
          <w:numId w:val="14"/>
        </w:numPr>
        <w:tabs>
          <w:tab w:val="clear" w:pos="1065"/>
        </w:tabs>
        <w:ind w:hanging="1065"/>
        <w:rPr>
          <w:rFonts w:cs="Arial"/>
          <w:b/>
          <w:szCs w:val="22"/>
        </w:rPr>
      </w:pPr>
      <w:r w:rsidRPr="003E464B">
        <w:rPr>
          <w:rFonts w:cs="Arial"/>
          <w:b/>
          <w:szCs w:val="22"/>
        </w:rPr>
        <w:t>Basamento Metamórfico. Paleozoico Superior. Escobar et al. (1977)</w:t>
      </w:r>
    </w:p>
    <w:p w:rsidR="00BC1064" w:rsidRPr="003E464B" w:rsidRDefault="00BC1064" w:rsidP="00B51B51">
      <w:pPr>
        <w:widowControl w:val="0"/>
        <w:rPr>
          <w:rFonts w:cs="Arial"/>
          <w:szCs w:val="22"/>
        </w:rPr>
      </w:pPr>
    </w:p>
    <w:p w:rsidR="00BC1064" w:rsidRPr="003E464B" w:rsidRDefault="00BC1064" w:rsidP="00B51B51">
      <w:pPr>
        <w:widowControl w:val="0"/>
        <w:rPr>
          <w:szCs w:val="22"/>
        </w:rPr>
      </w:pPr>
      <w:r w:rsidRPr="003E464B">
        <w:rPr>
          <w:szCs w:val="22"/>
        </w:rPr>
        <w:t xml:space="preserve">Incluye una amplia variedad de rocas metamórficas, que participan, dominantemente, del modelado de </w:t>
      </w:r>
      <w:smartTag w:uri="urn:schemas-microsoft-com:office:smarttags" w:element="PersonName">
        <w:smartTagPr>
          <w:attr w:name="ProductID" w:val="la Cordillera"/>
        </w:smartTagPr>
        <w:r w:rsidRPr="003E464B">
          <w:rPr>
            <w:szCs w:val="22"/>
          </w:rPr>
          <w:t>la Cordillera</w:t>
        </w:r>
      </w:smartTag>
      <w:r w:rsidRPr="003E464B">
        <w:rPr>
          <w:szCs w:val="22"/>
        </w:rPr>
        <w:t xml:space="preserve"> de </w:t>
      </w:r>
      <w:smartTag w:uri="urn:schemas-microsoft-com:office:smarttags" w:element="PersonName">
        <w:smartTagPr>
          <w:attr w:name="ProductID" w:val="la Costa"/>
        </w:smartTagPr>
        <w:r w:rsidRPr="003E464B">
          <w:rPr>
            <w:szCs w:val="22"/>
          </w:rPr>
          <w:t>la Costa</w:t>
        </w:r>
      </w:smartTag>
      <w:r w:rsidRPr="003E464B">
        <w:rPr>
          <w:szCs w:val="22"/>
        </w:rPr>
        <w:t>: esquistos, filitas, metareniscas y pizarras, que contienen frecuentes vetas o lentes cuarcíferos. Las rocas metamórficas, indiferenciadamente, hacia los flancos de los relieves de colinas y en forma muy especial en torno al de las quebradas y esteros que los cortan denotan fuerte alteración. La roca adquiere el carácter de un suelo residual: terroso, suelto, poroso, muy plástico cuando está húmedo; resistente cuando está seco.</w:t>
      </w:r>
    </w:p>
    <w:p w:rsidR="00BC1064" w:rsidRPr="003E464B" w:rsidRDefault="00BC1064" w:rsidP="00B51B51">
      <w:pPr>
        <w:widowControl w:val="0"/>
        <w:rPr>
          <w:rFonts w:cs="Arial"/>
          <w:sz w:val="24"/>
          <w:szCs w:val="22"/>
        </w:rPr>
      </w:pPr>
    </w:p>
    <w:p w:rsidR="00BC1064" w:rsidRPr="003E464B" w:rsidRDefault="00BC1064" w:rsidP="00145762">
      <w:pPr>
        <w:widowControl w:val="0"/>
        <w:numPr>
          <w:ilvl w:val="0"/>
          <w:numId w:val="14"/>
        </w:numPr>
        <w:tabs>
          <w:tab w:val="clear" w:pos="1065"/>
        </w:tabs>
        <w:ind w:hanging="1065"/>
        <w:rPr>
          <w:rFonts w:cs="Arial"/>
          <w:b/>
          <w:szCs w:val="22"/>
        </w:rPr>
      </w:pPr>
      <w:r w:rsidRPr="003E464B">
        <w:rPr>
          <w:rFonts w:cs="Arial"/>
          <w:b/>
          <w:szCs w:val="22"/>
        </w:rPr>
        <w:t xml:space="preserve">Batolito de </w:t>
      </w:r>
      <w:smartTag w:uri="urn:schemas-microsoft-com:office:smarttags" w:element="PersonName">
        <w:smartTagPr>
          <w:attr w:name="ProductID" w:val="la Costa. Paleozoico"/>
        </w:smartTagPr>
        <w:r w:rsidRPr="003E464B">
          <w:rPr>
            <w:rFonts w:cs="Arial"/>
            <w:b/>
            <w:szCs w:val="22"/>
          </w:rPr>
          <w:t>la Costa. Paleozoico</w:t>
        </w:r>
      </w:smartTag>
      <w:r w:rsidRPr="003E464B">
        <w:rPr>
          <w:rFonts w:cs="Arial"/>
          <w:b/>
          <w:szCs w:val="22"/>
        </w:rPr>
        <w:t xml:space="preserve"> Superior. Escobar et al. (1977)</w:t>
      </w:r>
    </w:p>
    <w:p w:rsidR="00823EF4" w:rsidRPr="003E464B" w:rsidRDefault="00823EF4" w:rsidP="00B51B51">
      <w:pPr>
        <w:widowControl w:val="0"/>
        <w:rPr>
          <w:rFonts w:cs="Arial"/>
          <w:b/>
          <w:szCs w:val="22"/>
        </w:rPr>
      </w:pPr>
    </w:p>
    <w:p w:rsidR="00BC1064" w:rsidRPr="003E464B" w:rsidRDefault="00BC1064" w:rsidP="00B51B51">
      <w:pPr>
        <w:widowControl w:val="0"/>
        <w:rPr>
          <w:rFonts w:cs="Arial"/>
          <w:szCs w:val="22"/>
        </w:rPr>
      </w:pPr>
      <w:r w:rsidRPr="003E464B">
        <w:rPr>
          <w:rFonts w:cs="Arial"/>
          <w:szCs w:val="22"/>
        </w:rPr>
        <w:t xml:space="preserve">Conforma, mayormente, el flanco oriental de </w:t>
      </w:r>
      <w:smartTag w:uri="urn:schemas-microsoft-com:office:smarttags" w:element="PersonName">
        <w:smartTagPr>
          <w:attr w:name="ProductID" w:val="la Cordillera"/>
        </w:smartTagPr>
        <w:r w:rsidRPr="003E464B">
          <w:rPr>
            <w:rFonts w:cs="Arial"/>
            <w:szCs w:val="22"/>
          </w:rPr>
          <w:t>la Cordillera</w:t>
        </w:r>
      </w:smartTag>
      <w:r w:rsidRPr="003E464B">
        <w:rPr>
          <w:rFonts w:cs="Arial"/>
          <w:szCs w:val="22"/>
        </w:rPr>
        <w:t xml:space="preserve"> de </w:t>
      </w:r>
      <w:smartTag w:uri="urn:schemas-microsoft-com:office:smarttags" w:element="PersonName">
        <w:smartTagPr>
          <w:attr w:name="ProductID" w:val="la Costa"/>
        </w:smartTagPr>
        <w:r w:rsidRPr="003E464B">
          <w:rPr>
            <w:rFonts w:cs="Arial"/>
            <w:szCs w:val="22"/>
          </w:rPr>
          <w:t>la Costa</w:t>
        </w:r>
      </w:smartTag>
      <w:r w:rsidRPr="003E464B">
        <w:rPr>
          <w:rFonts w:cs="Arial"/>
          <w:szCs w:val="22"/>
        </w:rPr>
        <w:t xml:space="preserve"> junto con el Basamento Metamórfico y desarrolla un modelado severamente disectado, propio de una madurez </w:t>
      </w:r>
      <w:r w:rsidRPr="003E464B">
        <w:rPr>
          <w:rFonts w:cs="Arial"/>
          <w:szCs w:val="22"/>
        </w:rPr>
        <w:lastRenderedPageBreak/>
        <w:t>avanzada. Las rocas que integran este batolito son: granodioritas, monzonitas, dioritas, monzodioritas</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Sedimentitas de Cuencas Vichuquén-Tilicura y Hualañé</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Corvalán (1976) describió, en el sector de Vichuquén-Tilicura y Hualañé, una importante secuencia sedimentaria de origen marino y continental correspondiente al relleno de cuencas</w:t>
      </w:r>
    </w:p>
    <w:p w:rsidR="00BC1064" w:rsidRPr="00D7503D" w:rsidRDefault="00BC1064" w:rsidP="00B51B51">
      <w:pPr>
        <w:widowControl w:val="0"/>
        <w:rPr>
          <w:rFonts w:cs="Arial"/>
        </w:rPr>
      </w:pPr>
      <w:r w:rsidRPr="00D7503D">
        <w:rPr>
          <w:rFonts w:cs="Arial"/>
        </w:rPr>
        <w:t>del Triásico Superior-Jurásico Inferior, desarrolladas sobre rocas graníticas y metamórficas paleozoicas (granodioritas y esquistos, respectivamente).</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Formaci</w:t>
      </w:r>
      <w:r w:rsidR="00823EF4" w:rsidRPr="00D7503D">
        <w:rPr>
          <w:rFonts w:cs="Arial"/>
          <w:b/>
        </w:rPr>
        <w:t>ón Lo Valle, Cretácico Superior</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Adoptando el criterio de Drake et al. (1982), se englobó en esta formación a la potente secuencia volcanoclástica que, hacia la parte central constituye las Serranías Intermedias. Predominan las coladas andesíticas, riolíticas y dacíticas. Las variedades clásticas alcanzan máxima expresión en torno a Pelequén y San Fernando (tobas arenosas de colores púrpura y gris pálido).</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Formación Coya-Machalí, Cretác</w:t>
      </w:r>
      <w:r w:rsidR="00823EF4" w:rsidRPr="00D7503D">
        <w:rPr>
          <w:rFonts w:cs="Arial"/>
          <w:b/>
        </w:rPr>
        <w:t>ico Superior-Terciario Inferior</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La porción preandina está formada, principalmente, por una secuencia de sedimentos clásticos terrígenos, volcanitas y materiales organogénicos subordinados. Las fracciones sedimentarias incluyen areniscas, lutitas y limonitas, finamente laminadas, con escasas intercalaciones conglomerádicas. Las volcanitas incluyen coladas, particularmente calcoalcalinas, brechas y tobas con escasos niveles más ácidos del tipo traquítico y riolítico.</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Intrusivos</w:t>
      </w:r>
      <w:r w:rsidR="00823EF4" w:rsidRPr="00D7503D">
        <w:rPr>
          <w:rFonts w:cs="Arial"/>
          <w:b/>
        </w:rPr>
        <w:t xml:space="preserve"> Graníticos, Cretácico Superior</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 xml:space="preserve">Cuerpos intrusivos de tipo granítico integran las cadenas de cerros que se anteponen a </w:t>
      </w:r>
      <w:smartTag w:uri="urn:schemas-microsoft-com:office:smarttags" w:element="PersonName">
        <w:smartTagPr>
          <w:attr w:name="ProductID" w:val="la Cordillera"/>
        </w:smartTagPr>
        <w:r w:rsidRPr="00D7503D">
          <w:rPr>
            <w:rFonts w:cs="Arial"/>
          </w:rPr>
          <w:t>la Cordillera</w:t>
        </w:r>
      </w:smartTag>
      <w:r w:rsidRPr="00D7503D">
        <w:rPr>
          <w:rFonts w:cs="Arial"/>
        </w:rPr>
        <w:t xml:space="preserve"> de </w:t>
      </w:r>
      <w:smartTag w:uri="urn:schemas-microsoft-com:office:smarttags" w:element="PersonName">
        <w:smartTagPr>
          <w:attr w:name="ProductID" w:val="la Costa"/>
        </w:smartTagPr>
        <w:r w:rsidRPr="00D7503D">
          <w:rPr>
            <w:rFonts w:cs="Arial"/>
          </w:rPr>
          <w:t>la Costa</w:t>
        </w:r>
      </w:smartTag>
      <w:r w:rsidRPr="00D7503D">
        <w:rPr>
          <w:rFonts w:cs="Arial"/>
        </w:rPr>
        <w:t xml:space="preserve">, al occidente del Valle Central. Invariablememente, sobrepasan en altura a los terrenos circundantes a los cuales intruyen. </w:t>
      </w:r>
    </w:p>
    <w:p w:rsidR="00BC1064" w:rsidRPr="00D7503D" w:rsidRDefault="00BC1064" w:rsidP="00B51B51">
      <w:pPr>
        <w:widowControl w:val="0"/>
        <w:rPr>
          <w:rFonts w:cs="Arial"/>
        </w:rPr>
      </w:pPr>
    </w:p>
    <w:p w:rsidR="00BC1064" w:rsidRPr="00D7503D" w:rsidRDefault="00BC1064" w:rsidP="00B51B51">
      <w:pPr>
        <w:widowControl w:val="0"/>
        <w:rPr>
          <w:rFonts w:cs="Arial"/>
        </w:rPr>
      </w:pPr>
      <w:r w:rsidRPr="00D7503D">
        <w:rPr>
          <w:rFonts w:cs="Arial"/>
        </w:rPr>
        <w:t>Petrográficamente, los tipos dominantes son granodioritas de grano medio, dioritas y pórfidos tanalíticos. Estas rocas se observan superficialmente frescas; desarrollan escasos suelo residual y cobertura vegetal, conformando relieves escarpados, propios de un modelo juvenil. Los procesos de fragmentación superficial se acentúan en torno a quebradas de fuerte pendiente en ejes y flancos.</w:t>
      </w:r>
    </w:p>
    <w:p w:rsidR="00BC1064" w:rsidRPr="00D7503D" w:rsidRDefault="00BC1064" w:rsidP="00B51B51">
      <w:pPr>
        <w:widowControl w:val="0"/>
        <w:rPr>
          <w:rFonts w:cs="Arial"/>
        </w:rPr>
      </w:pPr>
    </w:p>
    <w:p w:rsidR="00BC1064" w:rsidRPr="00D7503D" w:rsidRDefault="00823EF4" w:rsidP="00145762">
      <w:pPr>
        <w:widowControl w:val="0"/>
        <w:numPr>
          <w:ilvl w:val="0"/>
          <w:numId w:val="14"/>
        </w:numPr>
        <w:tabs>
          <w:tab w:val="clear" w:pos="1065"/>
        </w:tabs>
        <w:ind w:hanging="1065"/>
        <w:rPr>
          <w:rFonts w:cs="Arial"/>
          <w:b/>
        </w:rPr>
      </w:pPr>
      <w:r w:rsidRPr="00D7503D">
        <w:rPr>
          <w:rFonts w:cs="Arial"/>
          <w:b/>
        </w:rPr>
        <w:t>Formación Navidad, Mioceno</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Está integrada por una sucesión bastante uniforme de areniscas amarillentas, de grano medio a grueso, con frecuente estratificación entrecruzada, pobremente cementadas y friables en superficie (Cecioni, 1980). Suele contener bancos alternantes de limolitas laminares, blanquecinas, de 10-</w:t>
      </w:r>
      <w:smartTag w:uri="urn:schemas-microsoft-com:office:smarttags" w:element="metricconverter">
        <w:smartTagPr>
          <w:attr w:name="ProductID" w:val="30 cm"/>
        </w:smartTagPr>
        <w:r w:rsidRPr="00D7503D">
          <w:rPr>
            <w:rFonts w:cs="Arial"/>
          </w:rPr>
          <w:t>30 cm</w:t>
        </w:r>
      </w:smartTag>
      <w:r w:rsidRPr="00D7503D">
        <w:rPr>
          <w:rFonts w:cs="Arial"/>
        </w:rPr>
        <w:t xml:space="preserve"> de potencia, seudolenticulares, junto a bancos conglomerádicos, cuyos clastos son , en su mayoría, cuarcíferos. La secuencia se apoya, en discordancia erosional, sobre rocas graníticas paleozoicas. La gran friabilidad de las fracciones arenosas determina el desarrollo de importantes cárcavas de erosión.</w:t>
      </w:r>
    </w:p>
    <w:p w:rsidR="00BC1064" w:rsidRPr="00D7503D" w:rsidRDefault="00BC1064" w:rsidP="00B51B51">
      <w:pPr>
        <w:widowControl w:val="0"/>
        <w:rPr>
          <w:rFonts w:cs="Arial"/>
        </w:rPr>
      </w:pPr>
    </w:p>
    <w:p w:rsidR="00823EF4" w:rsidRPr="00D7503D" w:rsidRDefault="00823EF4" w:rsidP="00B51B51">
      <w:pPr>
        <w:widowControl w:val="0"/>
        <w:rPr>
          <w:rFonts w:cs="Arial"/>
        </w:rPr>
      </w:pPr>
    </w:p>
    <w:p w:rsidR="00823EF4" w:rsidRPr="00D7503D" w:rsidRDefault="00823EF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lastRenderedPageBreak/>
        <w:t xml:space="preserve">Formación </w:t>
      </w:r>
      <w:smartTag w:uri="urn:schemas-microsoft-com:office:smarttags" w:element="PersonName">
        <w:smartTagPr>
          <w:attr w:name="ProductID" w:val="La Cueva. Plioceno"/>
        </w:smartTagPr>
        <w:r w:rsidRPr="00D7503D">
          <w:rPr>
            <w:rFonts w:cs="Arial"/>
            <w:b/>
          </w:rPr>
          <w:t>La Cueva. Plioceno</w:t>
        </w:r>
      </w:smartTag>
    </w:p>
    <w:p w:rsidR="00823EF4" w:rsidRPr="00D7503D" w:rsidRDefault="00823EF4" w:rsidP="00B51B51">
      <w:pPr>
        <w:widowControl w:val="0"/>
        <w:rPr>
          <w:rFonts w:cs="Arial"/>
        </w:rPr>
      </w:pPr>
    </w:p>
    <w:p w:rsidR="00BC1064" w:rsidRPr="00D7503D" w:rsidRDefault="00BC1064" w:rsidP="00B51B51">
      <w:pPr>
        <w:widowControl w:val="0"/>
        <w:rPr>
          <w:rFonts w:cs="Arial"/>
        </w:rPr>
      </w:pPr>
      <w:r w:rsidRPr="00D7503D">
        <w:rPr>
          <w:rFonts w:cs="Arial"/>
        </w:rPr>
        <w:t xml:space="preserve">Brügen (1950) definió, en un segmento del estero El Ganso al oeste de </w:t>
      </w:r>
      <w:smartTag w:uri="urn:schemas-microsoft-com:office:smarttags" w:element="PersonName">
        <w:smartTagPr>
          <w:attr w:name="ProductID" w:val="La Estrella"/>
        </w:smartTagPr>
        <w:r w:rsidRPr="00D7503D">
          <w:rPr>
            <w:rFonts w:cs="Arial"/>
          </w:rPr>
          <w:t>la Estrella</w:t>
        </w:r>
      </w:smartTag>
      <w:r w:rsidRPr="00D7503D">
        <w:rPr>
          <w:rFonts w:cs="Arial"/>
        </w:rPr>
        <w:t xml:space="preserve">, una secuencia sub-horizontal marino-continental, integrada por </w:t>
      </w:r>
      <w:smartTag w:uri="urn:schemas-microsoft-com:office:smarttags" w:element="metricconverter">
        <w:smartTagPr>
          <w:attr w:name="ProductID" w:val="50 m"/>
        </w:smartTagPr>
        <w:r w:rsidRPr="00D7503D">
          <w:rPr>
            <w:rFonts w:cs="Arial"/>
          </w:rPr>
          <w:t>50 m</w:t>
        </w:r>
      </w:smartTag>
      <w:r w:rsidRPr="00D7503D">
        <w:rPr>
          <w:rFonts w:cs="Arial"/>
        </w:rPr>
        <w:t>. de areniscas, conglomerados y aglomerados. Se disponen sobre rocas graníticas paleozoicas, muy meteorizadas.</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Aglomerado Volcánico Pot</w:t>
      </w:r>
      <w:r w:rsidR="00823EF4" w:rsidRPr="00D7503D">
        <w:rPr>
          <w:rFonts w:cs="Arial"/>
          <w:b/>
        </w:rPr>
        <w:t>rero Grande-El Huayco. Plioceno</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Maragunic et al. (1979) identificaron y definieron un extenso y potente flujo de aglomerados volcánicos que cubren una serie de relieves precordilleranos al oriente de Curicó. Estos depósitos están formados por una mezcla caótica de fragmentos volcánicos (70-80% de basaltos) de diversa forma y tamaño, aspecto fresco, englobados en una escasa matriz de lapilli y ceniza. Los clastos se presentan subangulosos a angulosos. El conjunto es macizo y está muy cementado, con aspecto lahárico.</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Fo</w:t>
      </w:r>
      <w:r w:rsidR="00823EF4" w:rsidRPr="00D7503D">
        <w:rPr>
          <w:rFonts w:cs="Arial"/>
          <w:b/>
        </w:rPr>
        <w:t>rmación Los Peumos. Pleistoceno</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 xml:space="preserve">Cecioni (1978), en el sector de los Peumos, </w:t>
      </w:r>
      <w:smartTag w:uri="urn:schemas-microsoft-com:office:smarttags" w:element="metricconverter">
        <w:smartTagPr>
          <w:attr w:name="ProductID" w:val="6 km"/>
        </w:smartTagPr>
        <w:r w:rsidRPr="00D7503D">
          <w:rPr>
            <w:rFonts w:cs="Arial"/>
          </w:rPr>
          <w:t>6 km</w:t>
        </w:r>
      </w:smartTag>
      <w:r w:rsidRPr="00D7503D">
        <w:rPr>
          <w:rFonts w:cs="Arial"/>
        </w:rPr>
        <w:t xml:space="preserve"> al sur de Litueche, definió una secuencia de 55-60m de potencia, formada por una alternancia de sedimentos de origen marinocontinental. En su parte basal, incluyó materiales con marcadas afinidades litológicas con aquellos de </w:t>
      </w:r>
      <w:smartTag w:uri="urn:schemas-microsoft-com:office:smarttags" w:element="PersonName">
        <w:smartTagPr>
          <w:attr w:name="ProductID" w:val="la Formación"/>
        </w:smartTagPr>
        <w:r w:rsidRPr="00D7503D">
          <w:rPr>
            <w:rFonts w:cs="Arial"/>
          </w:rPr>
          <w:t>la Formación</w:t>
        </w:r>
      </w:smartTag>
      <w:r w:rsidRPr="00D7503D">
        <w:rPr>
          <w:rFonts w:cs="Arial"/>
        </w:rPr>
        <w:t xml:space="preserve"> la Cueva: areniscas de grano medio, amarillentas, con algunos clastos de pómez, y conglomerados fluviales, provistos de rodados multicomposicionales, de hasta </w:t>
      </w:r>
      <w:smartTag w:uri="urn:schemas-microsoft-com:office:smarttags" w:element="metricconverter">
        <w:smartTagPr>
          <w:attr w:name="ProductID" w:val="10 cm"/>
        </w:smartTagPr>
        <w:r w:rsidRPr="00D7503D">
          <w:rPr>
            <w:rFonts w:cs="Arial"/>
          </w:rPr>
          <w:t>10 cm</w:t>
        </w:r>
      </w:smartTag>
      <w:r w:rsidRPr="00D7503D">
        <w:rPr>
          <w:rFonts w:cs="Arial"/>
        </w:rPr>
        <w:t xml:space="preserve"> de diámetro. Estos, en la parte superior de la unidad, gradan a aglomerados de aspecto lahárico.</w:t>
      </w:r>
    </w:p>
    <w:p w:rsidR="00BC1064" w:rsidRPr="00D7503D" w:rsidRDefault="00BC1064" w:rsidP="00B51B51">
      <w:pPr>
        <w:widowControl w:val="0"/>
        <w:rPr>
          <w:rFonts w:cs="Arial"/>
        </w:rPr>
      </w:pPr>
    </w:p>
    <w:p w:rsidR="00BC1064" w:rsidRPr="00D7503D" w:rsidRDefault="00823EF4" w:rsidP="00145762">
      <w:pPr>
        <w:widowControl w:val="0"/>
        <w:numPr>
          <w:ilvl w:val="0"/>
          <w:numId w:val="14"/>
        </w:numPr>
        <w:tabs>
          <w:tab w:val="clear" w:pos="1065"/>
        </w:tabs>
        <w:ind w:hanging="1065"/>
        <w:rPr>
          <w:rFonts w:cs="Arial"/>
          <w:b/>
        </w:rPr>
      </w:pPr>
      <w:r w:rsidRPr="00D7503D">
        <w:rPr>
          <w:rFonts w:cs="Arial"/>
          <w:b/>
        </w:rPr>
        <w:t>Lahar Tinguiririca. Pleistoceno</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 xml:space="preserve">Abele (1982) describió un depósito lahárico, de gran desarrollo, en el interfluvio conocido como Isla de Briones, al oriente de San Fernando. Conforma un llano con suave inclinación al occidente, con una superficie cercana a los 30 km2. Los ríos Claro y Tinguiririca han producido profundas incisiones en este lahar, que han labrado llamativas paredes verticales, donde aparecen bien expuestos sus rasgos sedimentarios. Está constituido por fragmentos líticos, principalmente de andesitas y basaltos afaníticos, porfíricos y vesiculares, subredondeados a subangulosos, con un diámetro variable entre 15 y </w:t>
      </w:r>
      <w:smartTag w:uri="urn:schemas-microsoft-com:office:smarttags" w:element="metricconverter">
        <w:smartTagPr>
          <w:attr w:name="ProductID" w:val="25 cm"/>
        </w:smartTagPr>
        <w:r w:rsidRPr="00D7503D">
          <w:rPr>
            <w:rFonts w:cs="Arial"/>
          </w:rPr>
          <w:t>25 cm</w:t>
        </w:r>
      </w:smartTag>
      <w:r w:rsidRPr="00D7503D">
        <w:rPr>
          <w:rFonts w:cs="Arial"/>
        </w:rPr>
        <w:t>; se disponen en una abundante matriz arenosa, rica en material cinerítico. Los clastos presentan alteración superficial. Localmente, el depósito engloba bolsones o lentes con escaso material clástico.</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Lahar del Río Teno</w:t>
      </w:r>
      <w:r w:rsidR="00823EF4" w:rsidRPr="00D7503D">
        <w:rPr>
          <w:rFonts w:cs="Arial"/>
          <w:b/>
        </w:rPr>
        <w:t>. Pleistoceno Superior-Holoceno</w:t>
      </w:r>
    </w:p>
    <w:p w:rsidR="00823EF4" w:rsidRPr="00D7503D" w:rsidRDefault="00823EF4" w:rsidP="00B51B51">
      <w:pPr>
        <w:widowControl w:val="0"/>
        <w:rPr>
          <w:rFonts w:cs="Arial"/>
          <w:b/>
        </w:rPr>
      </w:pPr>
    </w:p>
    <w:p w:rsidR="00BC1064" w:rsidRDefault="00BC1064" w:rsidP="00B51B51">
      <w:pPr>
        <w:widowControl w:val="0"/>
        <w:rPr>
          <w:rFonts w:cs="Arial"/>
        </w:rPr>
      </w:pPr>
      <w:r w:rsidRPr="00D7503D">
        <w:rPr>
          <w:rFonts w:cs="Arial"/>
        </w:rPr>
        <w:t>Mac Phail (1973) dio este nombre a un importante flujo lahárico, que alcanza gran extensión en torno a las actuales márgenes del río Teno, a todo lo largo de su recorrido por el Valle Central. Los flujos desarrollados en la zona andina alcanzaron el Valle Central encauzados a lo largo de valles y quebradas. La existencia de una paleomorfología llana, en aquel sector, favoreció el desarrollo de este extenso depósito, cuya superficie coincide con una planicie regular en la que destacan numerosas pequeñas colinas de base circular (‘cerrillos’). Los espesores medios de la unidad son de 30-</w:t>
      </w:r>
      <w:smartTag w:uri="urn:schemas-microsoft-com:office:smarttags" w:element="metricconverter">
        <w:smartTagPr>
          <w:attr w:name="ProductID" w:val="40 m"/>
        </w:smartTagPr>
        <w:r w:rsidRPr="00D7503D">
          <w:rPr>
            <w:rFonts w:cs="Arial"/>
          </w:rPr>
          <w:t>40 m</w:t>
        </w:r>
      </w:smartTag>
      <w:r w:rsidRPr="00D7503D">
        <w:rPr>
          <w:rFonts w:cs="Arial"/>
        </w:rPr>
        <w:t>. Se apoya directamente sobre una antigua llanura aluvial, integrada, en mayor parte, por acarreos fluviales, ligados a cursos predecesores del río Teno.</w:t>
      </w:r>
    </w:p>
    <w:p w:rsidR="003E464B" w:rsidRPr="00D7503D" w:rsidRDefault="003E464B" w:rsidP="00B51B51">
      <w:pPr>
        <w:widowControl w:val="0"/>
        <w:rPr>
          <w:rFonts w:cs="Arial"/>
        </w:rPr>
      </w:pPr>
    </w:p>
    <w:p w:rsidR="00BC1064" w:rsidRPr="00D7503D" w:rsidRDefault="00BC1064" w:rsidP="00B51B51">
      <w:pPr>
        <w:widowControl w:val="0"/>
        <w:rPr>
          <w:rFonts w:cs="Arial"/>
        </w:rPr>
      </w:pPr>
      <w:r w:rsidRPr="00D7503D">
        <w:rPr>
          <w:rFonts w:cs="Arial"/>
        </w:rPr>
        <w:lastRenderedPageBreak/>
        <w:t>El lahar está constituido por una mezcla de fragmentos de andesitas o basaltos, afaníticos, porfíricos y vesiculares, de diversa forma y tamaño (3-</w:t>
      </w:r>
      <w:smartTag w:uri="urn:schemas-microsoft-com:office:smarttags" w:element="metricconverter">
        <w:smartTagPr>
          <w:attr w:name="ProductID" w:val="8 cm"/>
        </w:smartTagPr>
        <w:r w:rsidRPr="00D7503D">
          <w:rPr>
            <w:rFonts w:cs="Arial"/>
          </w:rPr>
          <w:t>8 cm</w:t>
        </w:r>
      </w:smartTag>
      <w:r w:rsidRPr="00D7503D">
        <w:rPr>
          <w:rFonts w:cs="Arial"/>
        </w:rPr>
        <w:t>), con aspecto fresco, resistentes, englobados en una matriz arenosa, esencialmente pumicítica. El conjunto se presenta macizo, muy bien cementado, denso compacto e impermeable.</w:t>
      </w:r>
    </w:p>
    <w:p w:rsidR="00BC1064" w:rsidRPr="00D7503D" w:rsidRDefault="00BC1064" w:rsidP="00B51B51">
      <w:pPr>
        <w:widowControl w:val="0"/>
        <w:rPr>
          <w:rFonts w:cs="Arial"/>
        </w:rPr>
      </w:pPr>
    </w:p>
    <w:p w:rsidR="00BC1064" w:rsidRPr="00D7503D" w:rsidRDefault="00BC1064" w:rsidP="00145762">
      <w:pPr>
        <w:widowControl w:val="0"/>
        <w:numPr>
          <w:ilvl w:val="0"/>
          <w:numId w:val="14"/>
        </w:numPr>
        <w:tabs>
          <w:tab w:val="clear" w:pos="1065"/>
        </w:tabs>
        <w:ind w:hanging="1065"/>
        <w:rPr>
          <w:rFonts w:cs="Arial"/>
          <w:b/>
        </w:rPr>
      </w:pPr>
      <w:r w:rsidRPr="00D7503D">
        <w:rPr>
          <w:rFonts w:cs="Arial"/>
          <w:b/>
        </w:rPr>
        <w:t>Terrazas Li</w:t>
      </w:r>
      <w:r w:rsidR="00823EF4" w:rsidRPr="00D7503D">
        <w:rPr>
          <w:rFonts w:cs="Arial"/>
          <w:b/>
        </w:rPr>
        <w:t>torales Mixtas, del Pleistoceno</w:t>
      </w:r>
    </w:p>
    <w:p w:rsidR="00823EF4" w:rsidRPr="00D7503D" w:rsidRDefault="00823EF4" w:rsidP="00B51B51">
      <w:pPr>
        <w:widowControl w:val="0"/>
        <w:rPr>
          <w:rFonts w:cs="Arial"/>
          <w:b/>
        </w:rPr>
      </w:pPr>
    </w:p>
    <w:p w:rsidR="00BC1064" w:rsidRPr="00D7503D" w:rsidRDefault="00BC1064" w:rsidP="00B51B51">
      <w:pPr>
        <w:widowControl w:val="0"/>
        <w:rPr>
          <w:rFonts w:cs="Arial"/>
        </w:rPr>
      </w:pPr>
      <w:r w:rsidRPr="00D7503D">
        <w:rPr>
          <w:rFonts w:cs="Arial"/>
        </w:rPr>
        <w:t>A lo largo de todo el borde litoral de la zona estudiada, se dispone una franja de materiales sedimentarios aterrazados, particularmente areniscas. Estos depósitos se extienden hasta la cota 370-</w:t>
      </w:r>
      <w:smartTag w:uri="urn:schemas-microsoft-com:office:smarttags" w:element="metricconverter">
        <w:smartTagPr>
          <w:attr w:name="ProductID" w:val="390 m"/>
        </w:smartTagPr>
        <w:r w:rsidRPr="00D7503D">
          <w:rPr>
            <w:rFonts w:cs="Arial"/>
          </w:rPr>
          <w:t>390 m</w:t>
        </w:r>
      </w:smartTag>
      <w:r w:rsidRPr="00D7503D">
        <w:rPr>
          <w:rFonts w:cs="Arial"/>
        </w:rPr>
        <w:t>, donde se apoyan sobre rocas metamórficas y graníticas, de edad paleozoica.</w:t>
      </w:r>
    </w:p>
    <w:p w:rsidR="00BC1064" w:rsidRPr="00D7503D" w:rsidRDefault="00BC1064" w:rsidP="00B51B51">
      <w:pPr>
        <w:widowControl w:val="0"/>
        <w:rPr>
          <w:rFonts w:cs="Arial"/>
        </w:rPr>
      </w:pPr>
    </w:p>
    <w:p w:rsidR="00BC1064" w:rsidRPr="00D7503D" w:rsidRDefault="00BC1064" w:rsidP="00B51B51">
      <w:pPr>
        <w:widowControl w:val="0"/>
        <w:rPr>
          <w:rFonts w:cs="Arial"/>
        </w:rPr>
      </w:pPr>
      <w:r w:rsidRPr="00D7503D">
        <w:rPr>
          <w:rFonts w:cs="Arial"/>
        </w:rPr>
        <w:t>La secuencia conforma relieves acantilados a partir de la actual línea de costa: Punta Las Quiscas, Centinela, Sirena, Las Cruces, Bucalemu, y extensas playas arenosas: norte de Tocopalma, alrededores de Pichilemu, Iloca, Punta Duao. En los niveles acantilados, se observa que ella está integrada, principalmente, por una alternancia de bancos de areniscas pardo-amarillentas con potencias individuales de 04-</w:t>
      </w:r>
      <w:smartTag w:uri="urn:schemas-microsoft-com:office:smarttags" w:element="metricconverter">
        <w:smartTagPr>
          <w:attr w:name="ProductID" w:val="06 m"/>
        </w:smartTagPr>
        <w:r w:rsidRPr="00D7503D">
          <w:rPr>
            <w:rFonts w:cs="Arial"/>
          </w:rPr>
          <w:t>06 m</w:t>
        </w:r>
      </w:smartTag>
      <w:r w:rsidRPr="00D7503D">
        <w:rPr>
          <w:rFonts w:cs="Arial"/>
        </w:rPr>
        <w:t xml:space="preserve">, dispuestos subhorizontalmente, cuyo espesor varía entre 50 y </w:t>
      </w:r>
      <w:smartTag w:uri="urn:schemas-microsoft-com:office:smarttags" w:element="metricconverter">
        <w:smartTagPr>
          <w:attr w:name="ProductID" w:val="55 m"/>
        </w:smartTagPr>
        <w:r w:rsidRPr="00D7503D">
          <w:rPr>
            <w:rFonts w:cs="Arial"/>
          </w:rPr>
          <w:t>55 m</w:t>
        </w:r>
      </w:smartTag>
      <w:r w:rsidRPr="00D7503D">
        <w:rPr>
          <w:rFonts w:cs="Arial"/>
        </w:rPr>
        <w:t xml:space="preserve"> (Bucalemu, Punta Sirena y Las Cruces). Hidrogeológicamente, las unidades de roca presentes en la zona de estudio carecen de importancia, debido a la ausencia en ellas de porosidad primaria y baja permeabilidad. Además las rocas precuaternarias presentan mayor complejidad para la evaluación y explotación de las aguas subterráneas que pudieran almacenar, por esta razón, dados los alcances de este estudio, su descripción se simplifica a la unidad denominada roca fundamental, con características de unidad no permeable.</w:t>
      </w:r>
    </w:p>
    <w:p w:rsidR="00BC1064" w:rsidRPr="00D7503D" w:rsidRDefault="00BC1064" w:rsidP="00B51B51">
      <w:pPr>
        <w:widowControl w:val="0"/>
        <w:rPr>
          <w:rFonts w:cs="Arial"/>
        </w:rPr>
      </w:pPr>
    </w:p>
    <w:p w:rsidR="00BC1064" w:rsidRPr="00D7503D" w:rsidRDefault="00BC1064" w:rsidP="00B51B51">
      <w:pPr>
        <w:pStyle w:val="Ttulo4Ttulo4"/>
        <w:keepNext w:val="0"/>
        <w:widowControl w:val="0"/>
        <w:spacing w:before="0" w:after="0"/>
        <w:ind w:left="862" w:hanging="862"/>
      </w:pPr>
      <w:bookmarkStart w:id="82" w:name="_Toc336426453"/>
      <w:bookmarkStart w:id="83" w:name="_Toc344391758"/>
      <w:r w:rsidRPr="00D7503D">
        <w:t xml:space="preserve">Depósitos no </w:t>
      </w:r>
      <w:r w:rsidR="00FD7C5C" w:rsidRPr="00D7503D">
        <w:t>C</w:t>
      </w:r>
      <w:r w:rsidRPr="00D7503D">
        <w:t>onsolidados</w:t>
      </w:r>
      <w:bookmarkEnd w:id="82"/>
      <w:bookmarkEnd w:id="83"/>
    </w:p>
    <w:p w:rsidR="00BC1064" w:rsidRPr="00D7503D" w:rsidRDefault="00BC1064" w:rsidP="00B51B51">
      <w:pPr>
        <w:widowControl w:val="0"/>
        <w:rPr>
          <w:rFonts w:cs="Arial"/>
        </w:rPr>
      </w:pPr>
    </w:p>
    <w:p w:rsidR="00BC1064" w:rsidRPr="00D7503D" w:rsidRDefault="00BC1064" w:rsidP="00B51B51">
      <w:pPr>
        <w:widowControl w:val="0"/>
      </w:pPr>
      <w:r w:rsidRPr="00D7503D">
        <w:t>Se agrupan en esta categoría todos los depósitos que, bajo la forma de sedimentos de diverso origen y litología, no están consolidados y que genéticamente, se asocian a procesos cuaternarios por sus características de permeabilidad, porosidad y transmisibilidad. A nivel regional, estos depósitos presentan las mejores expectativas como acuíferos efectivamente productores. Los recursos hídricos contenidos en estos materiales se presentan, en la zona estudiada, como aguas someras o libres, semiconfinadas o francamente confinadas. La depresión intermedia, por su morfología, es determinante para albergar gran variedad de depósitos no consolidados o sedimentos, que ofrecen las mayores expectativas hidrogeológicas. Las unidades identificadas se presentan a continuación:</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Depósitos Fluviales Antiguos</w:t>
      </w:r>
    </w:p>
    <w:p w:rsidR="00FD7C5C" w:rsidRPr="00D7503D" w:rsidRDefault="00FD7C5C" w:rsidP="00B51B51">
      <w:pPr>
        <w:widowControl w:val="0"/>
        <w:rPr>
          <w:rFonts w:cs="Arial"/>
          <w:b/>
        </w:rPr>
      </w:pPr>
    </w:p>
    <w:p w:rsidR="00BC1064" w:rsidRPr="00D7503D" w:rsidRDefault="00BC1064" w:rsidP="00B51B51">
      <w:pPr>
        <w:widowControl w:val="0"/>
      </w:pPr>
      <w:r w:rsidRPr="00D7503D">
        <w:t xml:space="preserve">En la región, corresponden a una secuencia maciza de ripios a gravas arenosas, por lo general, bastante meteorizadas. Morfológicamente, conforman superficies llanas, que culminan hacia los </w:t>
      </w:r>
      <w:smartTag w:uri="urn:schemas-microsoft-com:office:smarttags" w:element="metricconverter">
        <w:smartTagPr>
          <w:attr w:name="ProductID" w:val="220 a"/>
        </w:smartTagPr>
        <w:r w:rsidRPr="00D7503D">
          <w:t>220 a</w:t>
        </w:r>
      </w:smartTag>
      <w:r w:rsidRPr="00D7503D">
        <w:t xml:space="preserve"> 240 msnm. Se apoyan directamente sobre rocas graníticas, cubriendo superficies muy irregulares, que corresponden a paleorrelieves muy disectados. Estos depósitos presentan, como rasgo dominante inconfundible, rodados heterocomposicionales con granulometría de ripios y gravas. Los rodados, predominantemente derivados de rocas graníticas y volcánicas, revelan un elevado desgaste.</w:t>
      </w:r>
    </w:p>
    <w:p w:rsidR="00BC1064" w:rsidRPr="00D7503D" w:rsidRDefault="00BC1064" w:rsidP="00B51B51">
      <w:pPr>
        <w:widowControl w:val="0"/>
      </w:pPr>
    </w:p>
    <w:p w:rsidR="00BC1064" w:rsidRPr="00D7503D" w:rsidRDefault="00BC1064" w:rsidP="00B51B51">
      <w:pPr>
        <w:widowControl w:val="0"/>
        <w:rPr>
          <w:rFonts w:cs="Arial"/>
        </w:rPr>
      </w:pPr>
      <w:r w:rsidRPr="00D7503D">
        <w:t xml:space="preserve">La matriz corresponde a arena media a gruesa, con alto contenido de granos de rocas granodioríticas. El conjunto, carente de estratificación y granulométricamente muy uniforme, </w:t>
      </w:r>
      <w:r w:rsidRPr="00D7503D">
        <w:lastRenderedPageBreak/>
        <w:t>se observa muy alterado; rodados y matriz arcillizados se tornan blandos, deleznables, conservando escasos rasgos texturales primarios. Sólo en sectores muy aislados se observan pequeñas intercalaciones lenticulares finas (limos y arenas), con incipiente estratificación cruzada, propio del ordenamiento fluvial de los materiales. Los depósitos se</w:t>
      </w:r>
      <w:r w:rsidRPr="00D7503D">
        <w:rPr>
          <w:rFonts w:cs="Arial"/>
        </w:rPr>
        <w:t xml:space="preserve"> presentan consolidados a moderadamente consolidados; la acentuada alteración que los afecta reduce severamente su permeabilidad original.</w:t>
      </w:r>
    </w:p>
    <w:p w:rsidR="00BC1064" w:rsidRPr="00D7503D" w:rsidRDefault="00BC1064" w:rsidP="00B51B51">
      <w:pPr>
        <w:widowControl w:val="0"/>
        <w:rPr>
          <w:rFonts w:cs="Arial"/>
          <w:b/>
        </w:rPr>
      </w:pPr>
    </w:p>
    <w:p w:rsidR="00BC1064" w:rsidRPr="00D7503D" w:rsidRDefault="00BC1064" w:rsidP="00145762">
      <w:pPr>
        <w:widowControl w:val="0"/>
        <w:numPr>
          <w:ilvl w:val="0"/>
          <w:numId w:val="15"/>
        </w:numPr>
        <w:tabs>
          <w:tab w:val="clear" w:pos="1065"/>
        </w:tabs>
        <w:ind w:left="1134" w:hanging="1134"/>
        <w:rPr>
          <w:rFonts w:cs="Arial"/>
          <w:b/>
        </w:rPr>
      </w:pPr>
      <w:r w:rsidRPr="00D7503D">
        <w:rPr>
          <w:rFonts w:cs="Arial"/>
          <w:b/>
        </w:rPr>
        <w:t>Depósitos</w:t>
      </w:r>
      <w:r w:rsidR="00FD7C5C" w:rsidRPr="00D7503D">
        <w:rPr>
          <w:rFonts w:cs="Arial"/>
          <w:b/>
        </w:rPr>
        <w:t xml:space="preserve"> Fluviales y Fluvio-Aluvionales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Estos depósitos constituyen un aporte significativo al potente relleno sedimentario del valle central y las serranías intermedias. Están asociados a procesos cuaternarios y dada la gran similitud litológica y geomorfológica que presentan ambos materiales, es difícil establecer con rigurosidad límites claros entre ambos. Las facies más granulares de la unidad, con dominio de bolones, ripios, gravas y gravas arenosas, se ubican en profundidad en torno a los cauces que definen la actual red de drenaje regional.</w:t>
      </w:r>
    </w:p>
    <w:p w:rsidR="00BC1064" w:rsidRPr="00D7503D" w:rsidRDefault="00BC1064" w:rsidP="00B51B51">
      <w:pPr>
        <w:widowControl w:val="0"/>
        <w:rPr>
          <w:rFonts w:cs="Arial"/>
        </w:rPr>
      </w:pPr>
    </w:p>
    <w:p w:rsidR="00BC1064" w:rsidRPr="00D7503D" w:rsidRDefault="00BC1064" w:rsidP="00B51B51">
      <w:pPr>
        <w:widowControl w:val="0"/>
        <w:rPr>
          <w:rFonts w:cs="Arial"/>
        </w:rPr>
      </w:pPr>
      <w:r w:rsidRPr="00D7503D">
        <w:rPr>
          <w:rFonts w:cs="Arial"/>
        </w:rPr>
        <w:t>Las componentes fluviales, genéticamente están relacionadas con zonas marginales de los actuales ríos principales. A uno y otro flanco de estos cauces, los materiales descritos incorporan elementos más finos, como gravas y gravas arenosas con esporádicos niveles arcillosos.</w:t>
      </w:r>
    </w:p>
    <w:p w:rsidR="00BC1064" w:rsidRPr="00D7503D" w:rsidRDefault="00BC1064" w:rsidP="00B51B51">
      <w:pPr>
        <w:widowControl w:val="0"/>
        <w:rPr>
          <w:rFonts w:cs="Arial"/>
        </w:rPr>
      </w:pPr>
    </w:p>
    <w:p w:rsidR="00BC1064" w:rsidRPr="00D7503D" w:rsidRDefault="00BC1064" w:rsidP="00B51B51">
      <w:pPr>
        <w:widowControl w:val="0"/>
        <w:rPr>
          <w:rFonts w:cs="Arial"/>
        </w:rPr>
      </w:pPr>
      <w:r w:rsidRPr="00D7503D">
        <w:rPr>
          <w:rFonts w:cs="Arial"/>
        </w:rPr>
        <w:t xml:space="preserve">Los componentes fluvioaluvionales se asocian a depositaciones inducidas por repetidas crecidas temporales, capaces de sobrepasar los cauces establecidos, invadiendo extensos territorios llanos adyacentes. </w:t>
      </w:r>
    </w:p>
    <w:p w:rsidR="00BC1064" w:rsidRPr="00D7503D" w:rsidRDefault="00BC1064" w:rsidP="00B51B51">
      <w:pPr>
        <w:widowControl w:val="0"/>
        <w:rPr>
          <w:rFonts w:cs="Arial"/>
        </w:rPr>
      </w:pPr>
    </w:p>
    <w:p w:rsidR="00BC1064" w:rsidRPr="00D7503D" w:rsidRDefault="00BC1064" w:rsidP="00B51B51">
      <w:pPr>
        <w:widowControl w:val="0"/>
        <w:rPr>
          <w:rFonts w:cs="Arial"/>
        </w:rPr>
      </w:pPr>
      <w:r w:rsidRPr="00D7503D">
        <w:rPr>
          <w:rFonts w:cs="Arial"/>
        </w:rPr>
        <w:t>Por la naturaleza de su gestación, estos rellenos cuentan mayoritariamente con sedimentos de granulometría gruesa, tipificados por mezclas de clastos de variados tamaños, incluso bolones con ocasionales niveles arenosos.</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Depósitos Fluvio-Lacustres</w:t>
      </w:r>
    </w:p>
    <w:p w:rsidR="00FD7C5C" w:rsidRPr="00D7503D" w:rsidRDefault="00FD7C5C" w:rsidP="00B51B51">
      <w:pPr>
        <w:widowControl w:val="0"/>
        <w:rPr>
          <w:rFonts w:cs="Arial"/>
          <w:b/>
        </w:rPr>
      </w:pPr>
    </w:p>
    <w:p w:rsidR="00BC1064" w:rsidRPr="00D7503D" w:rsidRDefault="00BC1064" w:rsidP="00B51B51">
      <w:pPr>
        <w:widowControl w:val="0"/>
      </w:pPr>
      <w:r w:rsidRPr="00D7503D">
        <w:t xml:space="preserve">Extensos sectores marginales a actuales cauces fluviales, tanto en el valle central como en las serranías intermedias, están constituidos por materiales sedimentarios acumulados en ambiente fluviolacustre. Morfológicamente están ligados a terrenos llanos, sometidos a sedimentación intermitente con predominio de fracciones arcillosas y arenas finas, conexas a ambientes de circulación restringida. Estos sedimentos se presentan en sectores locales con morfología propia de rinconadas o terrenos donde ríos y esteros desarrollaron complicadas trayectorias al enfrentar numerosos cerros islas y relieves muy irregulares. A nivel superficial, la unidad está caracterizada por terrenos llanos y suelos arcillosos, con drenaje restringido. </w:t>
      </w:r>
    </w:p>
    <w:p w:rsidR="00BC1064" w:rsidRPr="00D7503D" w:rsidRDefault="00BC1064" w:rsidP="00B51B51">
      <w:pPr>
        <w:widowControl w:val="0"/>
      </w:pPr>
      <w:r w:rsidRPr="00D7503D">
        <w:t>Esto condiciona que amplios sectores incorporen terrenos pantanosos, que hacen aleatorio su aprovechamiento agrícola. En algunos sectores esta situación ha sido revertida mediante drenes.</w:t>
      </w:r>
    </w:p>
    <w:p w:rsidR="00BC1064" w:rsidRPr="00D7503D" w:rsidRDefault="00BC1064" w:rsidP="00B51B51">
      <w:pPr>
        <w:widowControl w:val="0"/>
      </w:pPr>
    </w:p>
    <w:p w:rsidR="00BC1064" w:rsidRPr="00D7503D" w:rsidRDefault="00BC1064" w:rsidP="00B51B51">
      <w:pPr>
        <w:widowControl w:val="0"/>
      </w:pPr>
      <w:r w:rsidRPr="00D7503D">
        <w:t xml:space="preserve">Las aguas superficiales que escurren sobre estos sedimentos se concentran o estancan, originando sobresaturaciones puntuales, en partes levemente depresionarias del llano. Los depósitos de la unidad están asociados al Pleistoceno-Holoceno; su máximo desarrollo se habría alcanzado hacia el Pleistoceno Inferior, en momentos en que la región andina, sometida a intensas intermitencias glaciales, aportaba grandes volúmenes de sedimentos. </w:t>
      </w:r>
    </w:p>
    <w:p w:rsidR="00BC1064" w:rsidRPr="00D7503D" w:rsidRDefault="00BC1064" w:rsidP="00B51B51">
      <w:pPr>
        <w:widowControl w:val="0"/>
        <w:rPr>
          <w:rFonts w:cs="Arial"/>
        </w:rPr>
      </w:pPr>
    </w:p>
    <w:p w:rsidR="00B15C6A" w:rsidRPr="00D7503D" w:rsidRDefault="00B15C6A"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lastRenderedPageBreak/>
        <w:t>Depósitos Cineríticos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Corresponden a una extensa secuencia de sedimentos con mala selección, integrados en su mayor parte por fracciones de arena a arena-limo que corresponden principalmente a cenizas volcánicas, con contenidos de pumicita, esquirlas vítreas y escasos fragmentos líticos. Estos depósitos evidencian acciones eruptivas de tipo explosivo, de gran magnitud, relacionadas con volcanes del cordón andino. En superficie, por acciones de meteorización o lixiviación, se desarrolla una costra tobácea en estos depósitos, la cual impide la percolación de aguas lluvias hacia estratos subsuperficiales, restándoles atractivo hidrogeológico. Los depósitos cineríticos se aprecian cementados por litificación, asociada al carácter puzolánico de las cenizas.</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Depósitos Lacustres</w:t>
      </w:r>
    </w:p>
    <w:p w:rsidR="00FD7C5C" w:rsidRPr="00D7503D" w:rsidRDefault="00FD7C5C" w:rsidP="00B51B51">
      <w:pPr>
        <w:widowControl w:val="0"/>
        <w:rPr>
          <w:rFonts w:cs="Arial"/>
          <w:b/>
        </w:rPr>
      </w:pPr>
    </w:p>
    <w:p w:rsidR="00BC1064" w:rsidRPr="00D7503D" w:rsidRDefault="00BC1064" w:rsidP="00B51B51">
      <w:pPr>
        <w:widowControl w:val="0"/>
      </w:pPr>
      <w:r w:rsidRPr="00D7503D">
        <w:t xml:space="preserve">La zona conocida como laguna de Taguatagua se ubica en una cuenca marginal al estero Zamorano, en su flanco sur. Su entorno está controlado por una cadena de cerros, con alturas del orden de 450-700 msnm, modelando una peculiar depresión cuya continuidad sólo se interrumpe en su extremo noreste a través de un portezuelo de </w:t>
      </w:r>
      <w:smartTag w:uri="urn:schemas-microsoft-com:office:smarttags" w:element="metricconverter">
        <w:smartTagPr>
          <w:attr w:name="ProductID" w:val="2,5 km"/>
        </w:smartTagPr>
        <w:r w:rsidRPr="00D7503D">
          <w:t>2,5 km</w:t>
        </w:r>
      </w:smartTag>
      <w:r w:rsidRPr="00D7503D">
        <w:t xml:space="preserve"> de ancho. Su actual superficie se sitúa en la cota 190-200 msnm. La carencia de una expedita vía de evacuación para las aguas captadas en la cuenca condicionó la formación de un particular ambiente lagunar, en el cual se acumularon principalmente limos y arcillas con frecuentes horizontes con alto contenido orgánico. La laguna se habría poblado con una densa cobertura vegetacional, propia de zonas de vega y pantanosas. Hace algunas décadas, la laguna fue drenada mediante la ejecución de obras especiales, como zanjas y canales de descarga. Esta operación tuvo por objeto aprovechar agrícolamente dichos terrenos, recurriendo a técnicas que garantizan el adecuado descenso de los niveles de agua.</w:t>
      </w:r>
    </w:p>
    <w:p w:rsidR="00BC1064" w:rsidRPr="00D7503D" w:rsidRDefault="00BC1064" w:rsidP="00B51B51">
      <w:pPr>
        <w:widowControl w:val="0"/>
        <w:rPr>
          <w:rFonts w:cs="Arial"/>
        </w:rPr>
      </w:pPr>
    </w:p>
    <w:p w:rsidR="00BC1064" w:rsidRPr="00D7503D" w:rsidRDefault="00BC1064" w:rsidP="00145762">
      <w:pPr>
        <w:widowControl w:val="0"/>
        <w:numPr>
          <w:ilvl w:val="0"/>
          <w:numId w:val="15"/>
        </w:numPr>
        <w:tabs>
          <w:tab w:val="clear" w:pos="1065"/>
        </w:tabs>
        <w:ind w:left="1134" w:hanging="1134"/>
        <w:rPr>
          <w:rFonts w:cs="Arial"/>
          <w:b/>
        </w:rPr>
      </w:pPr>
      <w:r w:rsidRPr="00D7503D">
        <w:rPr>
          <w:rFonts w:cs="Arial"/>
          <w:b/>
        </w:rPr>
        <w:t>Abanicos Aluviales</w:t>
      </w:r>
    </w:p>
    <w:p w:rsidR="00FD7C5C" w:rsidRPr="00D7503D" w:rsidRDefault="00FD7C5C" w:rsidP="00B51B51">
      <w:pPr>
        <w:widowControl w:val="0"/>
        <w:rPr>
          <w:rFonts w:cs="Arial"/>
        </w:rPr>
      </w:pPr>
    </w:p>
    <w:p w:rsidR="00BC1064" w:rsidRPr="00D7503D" w:rsidRDefault="00BC1064" w:rsidP="00B51B51">
      <w:pPr>
        <w:widowControl w:val="0"/>
        <w:rPr>
          <w:rFonts w:cs="Arial"/>
        </w:rPr>
      </w:pPr>
      <w:r w:rsidRPr="00D7503D">
        <w:rPr>
          <w:rFonts w:cs="Arial"/>
        </w:rPr>
        <w:t>Se ubican en el borde preandino antepuesto al valle central. Estos abanicos, al emerger desde los profundos e inclinados valles andinos y descargar al vasto valle central, desarrollaron una vigorosa morfología constituida por depósitos torrenciales de muy mala selección, incluyendo bloques y rodados, de extensión y espesor muy irregulares. La alta permeabilidad superficial de estos depósitos desarrolla escurrimientos efímeros y los cursos labrados en los abanicos adquieren trayectorias irregulares, regidas por la magnitud o torrencialidad de las crecidas de temporada.</w:t>
      </w:r>
    </w:p>
    <w:p w:rsidR="00BC1064" w:rsidRPr="00D7503D" w:rsidRDefault="00BC1064" w:rsidP="00B51B51">
      <w:pPr>
        <w:widowControl w:val="0"/>
        <w:rPr>
          <w:rFonts w:cs="Arial"/>
        </w:rPr>
      </w:pPr>
    </w:p>
    <w:p w:rsidR="00BC1064" w:rsidRPr="00D7503D" w:rsidRDefault="00BC1064" w:rsidP="00145762">
      <w:pPr>
        <w:widowControl w:val="0"/>
        <w:numPr>
          <w:ilvl w:val="0"/>
          <w:numId w:val="15"/>
        </w:numPr>
        <w:tabs>
          <w:tab w:val="clear" w:pos="1065"/>
        </w:tabs>
        <w:ind w:left="1134" w:hanging="1134"/>
        <w:rPr>
          <w:rFonts w:cs="Arial"/>
          <w:b/>
        </w:rPr>
      </w:pPr>
      <w:r w:rsidRPr="00D7503D">
        <w:rPr>
          <w:rFonts w:cs="Arial"/>
          <w:b/>
        </w:rPr>
        <w:t xml:space="preserve">Rellenos Fluviales de </w:t>
      </w:r>
      <w:r w:rsidR="00FD7C5C" w:rsidRPr="00D7503D">
        <w:rPr>
          <w:rFonts w:cs="Arial"/>
          <w:b/>
        </w:rPr>
        <w:t>Valles Interserranos y Costeros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 xml:space="preserve">Corresponden a materiales arenosos de origen fluvial, que rellenan numerosos valles labrados, tanto en relieves de </w:t>
      </w:r>
      <w:smartTag w:uri="urn:schemas-microsoft-com:office:smarttags" w:element="PersonName">
        <w:smartTagPr>
          <w:attr w:name="ProductID" w:val="la Cordillera"/>
        </w:smartTagPr>
        <w:r w:rsidRPr="00D7503D">
          <w:rPr>
            <w:rFonts w:cs="Arial"/>
          </w:rPr>
          <w:t>la Cordillera</w:t>
        </w:r>
      </w:smartTag>
      <w:r w:rsidRPr="00D7503D">
        <w:rPr>
          <w:rFonts w:cs="Arial"/>
        </w:rPr>
        <w:t xml:space="preserve"> de </w:t>
      </w:r>
      <w:smartTag w:uri="urn:schemas-microsoft-com:office:smarttags" w:element="PersonName">
        <w:smartTagPr>
          <w:attr w:name="ProductID" w:val="la Costa"/>
        </w:smartTagPr>
        <w:r w:rsidRPr="00D7503D">
          <w:rPr>
            <w:rFonts w:cs="Arial"/>
          </w:rPr>
          <w:t>la Costa</w:t>
        </w:r>
      </w:smartTag>
      <w:r w:rsidRPr="00D7503D">
        <w:rPr>
          <w:rFonts w:cs="Arial"/>
        </w:rPr>
        <w:t xml:space="preserve"> y serranías intermedias, como en terrenos compartidos por estas unidades morfoestructurales. Sus trayectorias por este degradado ambiente granítico determinan la naturaleza, en términos granulométricos y composicionales, de los materiales de relleno fluvial. </w:t>
      </w:r>
    </w:p>
    <w:p w:rsidR="00FD7C5C" w:rsidRPr="00D7503D" w:rsidRDefault="00FD7C5C" w:rsidP="00B51B51">
      <w:pPr>
        <w:widowControl w:val="0"/>
        <w:rPr>
          <w:rFonts w:cs="Arial"/>
        </w:rPr>
      </w:pPr>
    </w:p>
    <w:p w:rsidR="00BC1064" w:rsidRPr="00D7503D" w:rsidRDefault="00BC1064" w:rsidP="00B51B51">
      <w:pPr>
        <w:widowControl w:val="0"/>
        <w:rPr>
          <w:rFonts w:cs="Arial"/>
        </w:rPr>
      </w:pPr>
      <w:r w:rsidRPr="00D7503D">
        <w:rPr>
          <w:rFonts w:cs="Arial"/>
        </w:rPr>
        <w:t xml:space="preserve">Los cursos de agua en estos valles experimentan vigorosas crecidas de invierno, asociadas a la temporada pluvial. Los valles que albergan estos esteros, en general son estrechos y provistos de llanuras aluvionales regulares, donde los cursos actuales tienen muy poca profundización; su paulatino relleno se realiza mediante mecanismos de lavado de laderas a partir de relieves graníticos superficialmente meteorizados (maicillo). Incluye principalmente </w:t>
      </w:r>
      <w:r w:rsidRPr="00D7503D">
        <w:rPr>
          <w:rFonts w:cs="Arial"/>
        </w:rPr>
        <w:lastRenderedPageBreak/>
        <w:t xml:space="preserve">arenas cuarcíferas medianas a gruesas con feldespato y mica subordinados, que se disponen en bancos alternados con delgados lentes limo-arcillosos. A nivel superficial, estos depósitos presentan escasa compacidad y son muy permeables. </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Salinas Fluvio-Litorales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Estos depósitos se ubican en torno a la desembocadura de algunos ríos, en los cuales el escaso escurrimiento superficial ha favorecido notables ingresos marinos, elevando el contenido de cloruros a valores comparables con los de verdaderas salmueras. Los ríos desarrollan cursos meándricos, de pobre encauzamiento, en amplias planicies aluvionales y con desarrollo de una densa cubierta vegetacional. La proximidad al borde litoral y el desarrollo de barras, que determinan precarias condiciones de escurrimiento, se traduce en la depositación de sedimentos con predominio de fracciones finas: arenas limosas, limos y arcillas, a nivel superficial. La distribución de la salinidad en esta zona está condicionada por los egresos de agua fresca e ingresos de agua salada. Las primeras provienen del flujo de tributarios a partir del escurrimiento superficial y filtraciones de aguas subterráneas (manantiales); las segundas, en cambio, de las mareas. La salinidad varía con la profundidad, siendo mayor hacia el fondo. Los sedimentos y ambientes fluvio-litorales salinos han sido asignados al Holoceno-Actual.</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Flujos Detríticos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 xml:space="preserve">Litológicamente, el flujo está constituido por fragmentos líticos, exclusivamente andesíticos y basálticos, de aspecto fresco, inalterados, con tamaño medio de </w:t>
      </w:r>
      <w:smartTag w:uri="urn:schemas-microsoft-com:office:smarttags" w:element="metricconverter">
        <w:smartTagPr>
          <w:attr w:name="ProductID" w:val="25 a"/>
        </w:smartTagPr>
        <w:r w:rsidRPr="00D7503D">
          <w:rPr>
            <w:rFonts w:cs="Arial"/>
          </w:rPr>
          <w:t>25 a</w:t>
        </w:r>
      </w:smartTag>
      <w:r w:rsidRPr="00D7503D">
        <w:rPr>
          <w:rFonts w:cs="Arial"/>
        </w:rPr>
        <w:t xml:space="preserve"> </w:t>
      </w:r>
      <w:smartTag w:uri="urn:schemas-microsoft-com:office:smarttags" w:element="metricconverter">
        <w:smartTagPr>
          <w:attr w:name="ProductID" w:val="30 cm"/>
        </w:smartTagPr>
        <w:r w:rsidRPr="00D7503D">
          <w:rPr>
            <w:rFonts w:cs="Arial"/>
          </w:rPr>
          <w:t>30 cm</w:t>
        </w:r>
      </w:smartTag>
      <w:r w:rsidRPr="00D7503D">
        <w:rPr>
          <w:rFonts w:cs="Arial"/>
        </w:rPr>
        <w:t>, englobados en escasa matriz de arena y grava suelta, que desarrolla frecuentes oquedades. Se presenta caótico, sin estratificación, no consolidado y por lo tanto, muy poroso y permeable. La angulosidad de los fragmentos denota la escasa trayectoria recorrida por el flujo desde su fuente de origen. En superficie, presenta escaso desarrollo de suelo y vegetación respecto de zonas adyacentes, por lo que se infiere que se formó durante el Holoceno.</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Depósitos Gravitacionales</w:t>
      </w:r>
    </w:p>
    <w:p w:rsidR="00FD7C5C" w:rsidRPr="00D7503D" w:rsidRDefault="00FD7C5C" w:rsidP="00B51B51">
      <w:pPr>
        <w:widowControl w:val="0"/>
        <w:rPr>
          <w:rFonts w:cs="Arial"/>
          <w:b/>
        </w:rPr>
      </w:pPr>
    </w:p>
    <w:p w:rsidR="00BC1064" w:rsidRPr="00D7503D" w:rsidRDefault="00BC1064" w:rsidP="00B51B51">
      <w:pPr>
        <w:widowControl w:val="0"/>
        <w:rPr>
          <w:rFonts w:cs="Arial"/>
        </w:rPr>
      </w:pPr>
      <w:r w:rsidRPr="00D7503D">
        <w:rPr>
          <w:rFonts w:cs="Arial"/>
        </w:rPr>
        <w:t>Corresponden a los sedimentos resultantes de la fragmentación superficial de macizos rocosos que, por efecto principalmente gravitacional y en parte hídrico, experimentaron remoción y posterior depositación. Se incluyen también con esta denominación los depósitos detríticos que normalmente se llaman escombras de falda, coluvios, conos de deyección, etc. Morfológicamente, la unidad se observa asociada al relleno de quebradas provistas de fuerte empinamiento. Litológicamente, estos depósitos están constituidos por una mezcla caótica de fragmentos de variada composición y tamaño, englobados en una matriz fina, limo-arcillosa. La fracción fina predomina en las partes distales, mientras que en las apicales hay una mayor abundancia de bloques. Los depósitos descritos corresponden a acumulaciones actuales o modernas.</w:t>
      </w:r>
    </w:p>
    <w:p w:rsidR="00BC1064" w:rsidRPr="00D7503D" w:rsidRDefault="00BC1064" w:rsidP="00B51B51">
      <w:pPr>
        <w:widowControl w:val="0"/>
        <w:rPr>
          <w:rFonts w:cs="Arial"/>
        </w:rPr>
      </w:pPr>
    </w:p>
    <w:p w:rsidR="00BC1064" w:rsidRPr="00D7503D" w:rsidRDefault="00BC1064" w:rsidP="00145762">
      <w:pPr>
        <w:widowControl w:val="0"/>
        <w:numPr>
          <w:ilvl w:val="0"/>
          <w:numId w:val="15"/>
        </w:numPr>
        <w:tabs>
          <w:tab w:val="clear" w:pos="1065"/>
        </w:tabs>
        <w:ind w:left="1134" w:hanging="1134"/>
        <w:rPr>
          <w:rFonts w:cs="Arial"/>
          <w:b/>
        </w:rPr>
      </w:pPr>
      <w:r w:rsidRPr="00D7503D">
        <w:rPr>
          <w:rFonts w:cs="Arial"/>
          <w:b/>
        </w:rPr>
        <w:t>Depósitos Fluvia</w:t>
      </w:r>
      <w:r w:rsidR="00FD7C5C" w:rsidRPr="00D7503D">
        <w:rPr>
          <w:rFonts w:cs="Arial"/>
          <w:b/>
        </w:rPr>
        <w:t>les Asociados a Cauces Actuales</w:t>
      </w:r>
    </w:p>
    <w:p w:rsidR="00FD7C5C" w:rsidRPr="00D7503D" w:rsidRDefault="00FD7C5C" w:rsidP="00B51B51">
      <w:pPr>
        <w:widowControl w:val="0"/>
        <w:rPr>
          <w:rFonts w:cs="Arial"/>
          <w:b/>
        </w:rPr>
      </w:pPr>
    </w:p>
    <w:p w:rsidR="00BC1064" w:rsidRPr="00D7503D" w:rsidRDefault="00BC1064" w:rsidP="00B51B51">
      <w:pPr>
        <w:widowControl w:val="0"/>
      </w:pPr>
      <w:r w:rsidRPr="00D7503D">
        <w:t xml:space="preserve">Corresponden a materiales clásticos que conforman los actuales cauces de los ríos mayores y afluentes más significativos, enmarcados en sus activas llanuras de inundación. Los cursos, normalmente, presentan pobre encauzamiento en la llanura, favoreciendo las divagaciones temporales, en respuesta a bruscos incrementos de caudal. Los cauces de los ríos mayores, especialmente en su trayectoria por las serranías intermedias, mantienen una </w:t>
      </w:r>
      <w:r w:rsidRPr="00D7503D">
        <w:lastRenderedPageBreak/>
        <w:t>continua divagación, con clara tendencia a la meandrización. Los depósitos corresponden, casi exclusivamente, a gravas y arenas, con marcado predominio de estas últimas, hacia las porciones alejadas del borde preandino, e incorporan frecuentes bancos arenosos, en el caso de ríos afectos a bruscos incrementos de caudal; adquieren carácter temporal, desarrollando verdaderas islas interfluviales con abundante vegetación freatófita. Los materiales sedimentarios más superficiales englobados en esta unidad deben ser considerados como actuales, mientras que los niveles más profundos, como holocenos.</w:t>
      </w:r>
    </w:p>
    <w:p w:rsidR="00BC1064" w:rsidRPr="00D7503D" w:rsidRDefault="00BC1064" w:rsidP="00B51B51">
      <w:pPr>
        <w:widowControl w:val="0"/>
        <w:rPr>
          <w:rFonts w:cs="Arial"/>
        </w:rPr>
      </w:pPr>
    </w:p>
    <w:p w:rsidR="00BC1064" w:rsidRPr="00D7503D" w:rsidRDefault="00FD7C5C" w:rsidP="00145762">
      <w:pPr>
        <w:widowControl w:val="0"/>
        <w:numPr>
          <w:ilvl w:val="0"/>
          <w:numId w:val="15"/>
        </w:numPr>
        <w:tabs>
          <w:tab w:val="clear" w:pos="1065"/>
        </w:tabs>
        <w:ind w:left="1134" w:hanging="1134"/>
        <w:rPr>
          <w:rFonts w:cs="Arial"/>
          <w:b/>
        </w:rPr>
      </w:pPr>
      <w:r w:rsidRPr="00D7503D">
        <w:rPr>
          <w:rFonts w:cs="Arial"/>
          <w:b/>
        </w:rPr>
        <w:t>Arenas Litorales y Dunas</w:t>
      </w:r>
    </w:p>
    <w:p w:rsidR="00BC1064" w:rsidRPr="00D7503D" w:rsidRDefault="00BC1064" w:rsidP="00B51B51">
      <w:pPr>
        <w:widowControl w:val="0"/>
        <w:rPr>
          <w:rFonts w:cs="Arial"/>
        </w:rPr>
      </w:pPr>
    </w:p>
    <w:p w:rsidR="00BC1064" w:rsidRDefault="00BC1064" w:rsidP="00B51B51">
      <w:pPr>
        <w:widowControl w:val="0"/>
        <w:rPr>
          <w:rFonts w:cs="Arial"/>
        </w:rPr>
      </w:pPr>
      <w:r w:rsidRPr="00D7503D">
        <w:rPr>
          <w:rFonts w:cs="Arial"/>
        </w:rPr>
        <w:t xml:space="preserve">Las arenas litorales conforman el verdadero borde litoral, sometido a la permanente acción del oleaje en función de la intensidad de las mareas. Estas arenas conforman una franja de ancho uniforme, que fluctúa entre los 5 y </w:t>
      </w:r>
      <w:smartTag w:uri="urn:schemas-microsoft-com:office:smarttags" w:element="metricconverter">
        <w:smartTagPr>
          <w:attr w:name="ProductID" w:val="7 m"/>
        </w:smartTagPr>
        <w:r w:rsidRPr="00D7503D">
          <w:rPr>
            <w:rFonts w:cs="Arial"/>
          </w:rPr>
          <w:t>7 m</w:t>
        </w:r>
      </w:smartTag>
      <w:r w:rsidRPr="00D7503D">
        <w:rPr>
          <w:rFonts w:cs="Arial"/>
        </w:rPr>
        <w:t>, sólo interrumpida por ocasionales riscos.</w:t>
      </w:r>
    </w:p>
    <w:p w:rsidR="00A00F4D" w:rsidRPr="00D7503D" w:rsidRDefault="00A00F4D" w:rsidP="00B51B51">
      <w:pPr>
        <w:widowControl w:val="0"/>
        <w:rPr>
          <w:rFonts w:cs="Arial"/>
        </w:rPr>
      </w:pPr>
    </w:p>
    <w:p w:rsidR="00BC1064" w:rsidRPr="00D7503D" w:rsidRDefault="00BC1064" w:rsidP="00A00F4D">
      <w:pPr>
        <w:pStyle w:val="Ttulo3"/>
      </w:pPr>
      <w:bookmarkStart w:id="84" w:name="_Toc336426454"/>
      <w:bookmarkStart w:id="85" w:name="_Toc344391759"/>
      <w:r w:rsidRPr="00D7503D">
        <w:t>Caracterización Geológica Local</w:t>
      </w:r>
      <w:bookmarkEnd w:id="84"/>
      <w:bookmarkEnd w:id="85"/>
    </w:p>
    <w:p w:rsidR="00BC1064" w:rsidRPr="00D7503D" w:rsidRDefault="00BC1064" w:rsidP="00B51B51">
      <w:pPr>
        <w:widowControl w:val="0"/>
        <w:rPr>
          <w:rFonts w:cs="Arial"/>
        </w:rPr>
      </w:pPr>
    </w:p>
    <w:p w:rsidR="00BC1064" w:rsidRPr="00D7503D" w:rsidRDefault="00BC1064" w:rsidP="00B51B51">
      <w:pPr>
        <w:widowControl w:val="0"/>
      </w:pPr>
      <w:r w:rsidRPr="00D7503D">
        <w:t xml:space="preserve">De acuerdo con la caracterización geológica obtenida del mapa geológico Sernageomín escala 1:1.000.000, y que se presenta en detalle en el Plano </w:t>
      </w:r>
      <w:r w:rsidR="00074EFD">
        <w:t>1</w:t>
      </w:r>
      <w:r w:rsidRPr="00D7503D">
        <w:t>, la descripción de las principales secuencias y rellenos de los acuíferos en estudio, en la sexta región, son los siguientes:</w:t>
      </w:r>
    </w:p>
    <w:p w:rsidR="00BC1064" w:rsidRPr="00B15C6A" w:rsidRDefault="00BC1064" w:rsidP="00B51B51">
      <w:pPr>
        <w:widowControl w:val="0"/>
        <w:rPr>
          <w:rFonts w:cs="Arial"/>
          <w:b/>
          <w:highlight w:val="yellow"/>
        </w:rPr>
      </w:pPr>
    </w:p>
    <w:p w:rsidR="00BC1064" w:rsidRPr="00414555" w:rsidRDefault="00BC1064" w:rsidP="00145762">
      <w:pPr>
        <w:widowControl w:val="0"/>
        <w:numPr>
          <w:ilvl w:val="0"/>
          <w:numId w:val="16"/>
        </w:numPr>
        <w:tabs>
          <w:tab w:val="clear" w:pos="1065"/>
        </w:tabs>
        <w:ind w:hanging="1065"/>
        <w:rPr>
          <w:rFonts w:cs="Arial"/>
          <w:b/>
        </w:rPr>
      </w:pPr>
      <w:r w:rsidRPr="00414555">
        <w:rPr>
          <w:rFonts w:cs="Arial"/>
          <w:b/>
        </w:rPr>
        <w:t>Secuencias Sedimentarias</w:t>
      </w:r>
    </w:p>
    <w:p w:rsidR="00BC1064" w:rsidRPr="00B15C6A" w:rsidRDefault="00BC1064" w:rsidP="00B51B51">
      <w:pPr>
        <w:widowControl w:val="0"/>
        <w:rPr>
          <w:rFonts w:cs="Arial"/>
          <w:highlight w:val="yellow"/>
        </w:rPr>
      </w:pPr>
    </w:p>
    <w:p w:rsidR="00BC1064" w:rsidRPr="00074EFD" w:rsidRDefault="00FD7C5C"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Pleistoceno-Holoceno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(Q1):</w:t>
      </w:r>
      <w:r w:rsidRPr="00074EFD">
        <w:rPr>
          <w:rFonts w:cs="Arial"/>
          <w:szCs w:val="22"/>
        </w:rPr>
        <w:tab/>
        <w:t xml:space="preserve">Depósitos aluviales, coluviales y de remoción en masa; en menor proporción fluvioglaciales, deltaicos, litorales o indiferenciados. En </w:t>
      </w:r>
      <w:smartTag w:uri="urn:schemas-microsoft-com:office:smarttags" w:element="PersonName">
        <w:smartTagPr>
          <w:attr w:name="ProductID" w:val="la Depresión Central"/>
        </w:smartTagPr>
        <w:r w:rsidRPr="00074EFD">
          <w:rPr>
            <w:rFonts w:cs="Arial"/>
            <w:szCs w:val="22"/>
          </w:rPr>
          <w:t>la Depresión Central</w:t>
        </w:r>
      </w:smartTag>
      <w:r w:rsidRPr="00074EFD">
        <w:rPr>
          <w:rFonts w:cs="Arial"/>
          <w:szCs w:val="22"/>
        </w:rPr>
        <w:t>, regiones Metropolitana a IX: abanicos mixtos de depósitos aluviales y fluvioglaciales con intercalación de depósitos volcanoclásticos.</w:t>
      </w:r>
    </w:p>
    <w:p w:rsidR="00BC1064" w:rsidRPr="00074EFD" w:rsidRDefault="00BC1064" w:rsidP="00B51B51">
      <w:pPr>
        <w:widowControl w:val="0"/>
        <w:rPr>
          <w:rFonts w:cs="Arial"/>
          <w:szCs w:val="22"/>
        </w:rPr>
      </w:pPr>
    </w:p>
    <w:p w:rsidR="00BC1064" w:rsidRPr="00074EFD" w:rsidRDefault="00BC1064" w:rsidP="00B51B51">
      <w:pPr>
        <w:widowControl w:val="0"/>
        <w:tabs>
          <w:tab w:val="left" w:pos="993"/>
        </w:tabs>
        <w:rPr>
          <w:rFonts w:cs="Arial"/>
          <w:szCs w:val="22"/>
        </w:rPr>
      </w:pPr>
      <w:r w:rsidRPr="00074EFD">
        <w:rPr>
          <w:rFonts w:cs="Arial"/>
          <w:szCs w:val="22"/>
        </w:rPr>
        <w:t>(Qf):</w:t>
      </w:r>
      <w:r w:rsidRPr="00074EFD">
        <w:rPr>
          <w:rFonts w:cs="Arial"/>
          <w:szCs w:val="22"/>
        </w:rPr>
        <w:tab/>
        <w:t>Depósitos fluviales: gravas, arenas y limos del curso actual de los ríos mayores o de sus terrazas subactuales y llanuras de inundación.</w:t>
      </w:r>
    </w:p>
    <w:p w:rsidR="00BC1064" w:rsidRPr="00074EFD" w:rsidRDefault="00BC1064" w:rsidP="00B51B51">
      <w:pPr>
        <w:widowControl w:val="0"/>
        <w:rPr>
          <w:rFonts w:cs="Arial"/>
          <w:szCs w:val="22"/>
        </w:rPr>
      </w:pPr>
    </w:p>
    <w:p w:rsidR="00BC1064" w:rsidRPr="00074EFD" w:rsidRDefault="00BC1064" w:rsidP="00B51B51">
      <w:pPr>
        <w:widowControl w:val="0"/>
        <w:tabs>
          <w:tab w:val="left" w:pos="993"/>
        </w:tabs>
        <w:rPr>
          <w:rFonts w:cs="Arial"/>
          <w:szCs w:val="22"/>
        </w:rPr>
      </w:pPr>
      <w:r w:rsidRPr="00074EFD">
        <w:rPr>
          <w:rFonts w:cs="Arial"/>
          <w:szCs w:val="22"/>
        </w:rPr>
        <w:t>(Qe):</w:t>
      </w:r>
      <w:r w:rsidRPr="00074EFD">
        <w:rPr>
          <w:rFonts w:cs="Arial"/>
          <w:szCs w:val="22"/>
        </w:rPr>
        <w:tab/>
        <w:t>Depósitos eólicos: arenas finas a medias con intercalaciones bioclásticas en dunas y barjanes tanto activos como inactivos. En las regiones I a VII: dunas de Santo Domingo y Quivolgo.</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Pleistoceno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(Pl1m):</w:t>
      </w:r>
      <w:r w:rsidRPr="00074EFD">
        <w:rPr>
          <w:rFonts w:cs="Arial"/>
          <w:szCs w:val="22"/>
        </w:rPr>
        <w:tab/>
        <w:t>Secuencias sedimentarias marinas litorales o fluviales estuarinas: coquinas, conglomerados coquináceos, areniscas y conglomerados dispuestos en niveles aterrazados emergidos. En la costa, regiones II y III: Estratos de Mejillones y de Caldera; en la región X: Estratos de Niebla (Cancagua).</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Plioceno-Pleistoceno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(PPl1c):</w:t>
      </w:r>
      <w:r w:rsidRPr="00074EFD">
        <w:rPr>
          <w:rFonts w:cs="Arial"/>
          <w:szCs w:val="22"/>
        </w:rPr>
        <w:tab/>
        <w:t>Conglomerados, areniscas, limolitas y arcillolitas, generalmente consolidados, de facies principalmente aluviales, subordinadamente lacustres y eólicas. En las regiones I a III forman abanicos aluviales inactivos mientras en Chile central (Estratos de Potrero Alto) son niveles aterrazados adosados al sustrato de la zona costera.</w:t>
      </w: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lastRenderedPageBreak/>
        <w:t>Mioceno Superior-Plioceno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(MP1m):</w:t>
      </w:r>
      <w:r w:rsidRPr="00074EFD">
        <w:rPr>
          <w:rFonts w:cs="Arial"/>
          <w:szCs w:val="22"/>
        </w:rPr>
        <w:tab/>
        <w:t xml:space="preserve">Secuencias sedimentarias marinas transgresivas: areniscas, limolitas, coquinas, conglomerados, calizas y fangolitas. En la costa, regiones II a VIII: formaciones </w:t>
      </w:r>
      <w:smartTag w:uri="urn:schemas-microsoft-com:office:smarttags" w:element="PersonName">
        <w:smartTagPr>
          <w:attr w:name="ProductID" w:val="La Portada"/>
        </w:smartTagPr>
        <w:r w:rsidRPr="00074EFD">
          <w:rPr>
            <w:rFonts w:cs="Arial"/>
            <w:szCs w:val="22"/>
          </w:rPr>
          <w:t>La Portada</w:t>
        </w:r>
      </w:smartTag>
      <w:r w:rsidRPr="00074EFD">
        <w:rPr>
          <w:rFonts w:cs="Arial"/>
          <w:szCs w:val="22"/>
        </w:rPr>
        <w:t>, Bahía Inglesa, Coquimbo, Navidad y Tubul.</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Triásico Superior</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(Tr1m):</w:t>
      </w:r>
      <w:r w:rsidRPr="00074EFD">
        <w:rPr>
          <w:rFonts w:cs="Arial"/>
          <w:szCs w:val="22"/>
        </w:rPr>
        <w:tab/>
        <w:t xml:space="preserve">Secuencias sedimentarias marinas y transicionales: areniscas, conglomerados, limolitas y calizas. En </w:t>
      </w:r>
      <w:smartTag w:uri="urn:schemas-microsoft-com:office:smarttags" w:element="PersonName">
        <w:smartTagPr>
          <w:attr w:name="ProductID" w:val="la Precordillera"/>
        </w:smartTagPr>
        <w:r w:rsidRPr="00074EFD">
          <w:rPr>
            <w:rFonts w:cs="Arial"/>
            <w:szCs w:val="22"/>
          </w:rPr>
          <w:t>la Precordillera</w:t>
        </w:r>
      </w:smartTag>
      <w:r w:rsidRPr="00074EFD">
        <w:rPr>
          <w:rFonts w:cs="Arial"/>
          <w:szCs w:val="22"/>
        </w:rPr>
        <w:t xml:space="preserve"> y zona costera, regiones II a IV: formaciones Cerro Minado, San Félix y El Quereo.</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Jurásico Inferior-Medio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(Ji1m):</w:t>
      </w:r>
      <w:r w:rsidRPr="00074EFD">
        <w:rPr>
          <w:rFonts w:cs="Arial"/>
          <w:szCs w:val="22"/>
        </w:rPr>
        <w:tab/>
        <w:t xml:space="preserve">Secuencias sedimentarias marinas litorales o de plataforma: calizas, areniscas calcáreas, lutitas, conglomerados y areniscas con intercalaciones volcanoclásticas y lávicas; basaltos almohadillados. En </w:t>
      </w:r>
      <w:smartTag w:uri="urn:schemas-microsoft-com:office:smarttags" w:element="PersonName">
        <w:smartTagPr>
          <w:attr w:name="ProductID" w:val="la Precordillera"/>
        </w:smartTagPr>
        <w:r w:rsidRPr="00074EFD">
          <w:rPr>
            <w:rFonts w:cs="Arial"/>
            <w:szCs w:val="22"/>
          </w:rPr>
          <w:t>la Precordillera</w:t>
        </w:r>
      </w:smartTag>
      <w:r w:rsidRPr="00074EFD">
        <w:rPr>
          <w:rFonts w:cs="Arial"/>
          <w:szCs w:val="22"/>
        </w:rPr>
        <w:t xml:space="preserve">, regiones II a IV: formaciones Montandón y Asientos;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xml:space="preserve">: formaciones Pan de Azúcar y Posada Los Hidalgos, en </w:t>
      </w:r>
      <w:smartTag w:uri="urn:schemas-microsoft-com:office:smarttags" w:element="PersonName">
        <w:smartTagPr>
          <w:attr w:name="ProductID" w:val="la Cordillera Principal"/>
        </w:smartTagPr>
        <w:r w:rsidRPr="00074EFD">
          <w:rPr>
            <w:rFonts w:cs="Arial"/>
            <w:szCs w:val="22"/>
          </w:rPr>
          <w:t>la Cordillera Principal</w:t>
        </w:r>
      </w:smartTag>
      <w:r w:rsidRPr="00074EFD">
        <w:rPr>
          <w:rFonts w:cs="Arial"/>
          <w:szCs w:val="22"/>
        </w:rPr>
        <w:t xml:space="preserve">, regiones III a IV: formaciones Lautaro y Tres Cruces; en </w:t>
      </w:r>
      <w:smartTag w:uri="urn:schemas-microsoft-com:office:smarttags" w:element="PersonName">
        <w:smartTagPr>
          <w:attr w:name="ProductID" w:val="la Cordillera Principal"/>
        </w:smartTagPr>
        <w:r w:rsidRPr="00074EFD">
          <w:rPr>
            <w:rFonts w:cs="Arial"/>
            <w:szCs w:val="22"/>
          </w:rPr>
          <w:t>la Cordillera Principal</w:t>
        </w:r>
      </w:smartTag>
      <w:r w:rsidRPr="00074EFD">
        <w:rPr>
          <w:rFonts w:cs="Arial"/>
          <w:szCs w:val="22"/>
        </w:rPr>
        <w:t>, regiones VIII y IX: Formación Nacientes del Biobío (inferior).</w:t>
      </w:r>
    </w:p>
    <w:p w:rsidR="00BC1064" w:rsidRPr="00074EFD" w:rsidRDefault="00BC1064" w:rsidP="00B51B51">
      <w:pPr>
        <w:widowControl w:val="0"/>
        <w:tabs>
          <w:tab w:val="left" w:pos="993"/>
        </w:tabs>
        <w:rPr>
          <w:rFonts w:cs="Arial"/>
          <w:szCs w:val="22"/>
        </w:rPr>
      </w:pPr>
    </w:p>
    <w:p w:rsidR="00BC1064" w:rsidRPr="00074EFD" w:rsidRDefault="00BC1064" w:rsidP="00145762">
      <w:pPr>
        <w:widowControl w:val="0"/>
        <w:numPr>
          <w:ilvl w:val="0"/>
          <w:numId w:val="16"/>
        </w:numPr>
        <w:tabs>
          <w:tab w:val="clear" w:pos="1065"/>
        </w:tabs>
        <w:ind w:hanging="1065"/>
        <w:rPr>
          <w:rFonts w:cs="Arial"/>
          <w:b/>
        </w:rPr>
      </w:pPr>
      <w:r w:rsidRPr="00074EFD">
        <w:rPr>
          <w:rFonts w:cs="Arial"/>
          <w:b/>
        </w:rPr>
        <w:t>Secuencias Volcanosedimentarias</w:t>
      </w:r>
    </w:p>
    <w:p w:rsidR="00BC1064" w:rsidRPr="00074EFD" w:rsidRDefault="00BC1064" w:rsidP="00B51B51">
      <w:pPr>
        <w:widowControl w:val="0"/>
        <w:rPr>
          <w:rFonts w:cs="Arial"/>
          <w:b/>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b/>
          <w:sz w:val="22"/>
          <w:szCs w:val="22"/>
        </w:rPr>
      </w:pPr>
      <w:r w:rsidRPr="00074EFD">
        <w:rPr>
          <w:rFonts w:ascii="Arial" w:hAnsi="Arial" w:cs="Arial"/>
          <w:sz w:val="22"/>
          <w:szCs w:val="22"/>
        </w:rPr>
        <w:t xml:space="preserve">Cretácico Inferior (Neocomiano) </w:t>
      </w:r>
    </w:p>
    <w:p w:rsidR="00FD7C5C" w:rsidRPr="00074EFD" w:rsidRDefault="00FD7C5C" w:rsidP="00B51B51">
      <w:pPr>
        <w:pStyle w:val="Prrafodelista"/>
        <w:widowControl w:val="0"/>
        <w:ind w:left="0"/>
        <w:contextualSpacing/>
        <w:jc w:val="both"/>
        <w:rPr>
          <w:rFonts w:ascii="Arial" w:hAnsi="Arial" w:cs="Arial"/>
          <w:b/>
          <w:sz w:val="22"/>
          <w:szCs w:val="22"/>
        </w:rPr>
      </w:pPr>
    </w:p>
    <w:p w:rsidR="00BC1064" w:rsidRPr="00074EFD" w:rsidRDefault="00BC1064" w:rsidP="00B51B51">
      <w:pPr>
        <w:widowControl w:val="0"/>
        <w:rPr>
          <w:szCs w:val="22"/>
        </w:rPr>
      </w:pPr>
      <w:r w:rsidRPr="00074EFD">
        <w:rPr>
          <w:szCs w:val="22"/>
        </w:rPr>
        <w:t>(Ki2m):</w:t>
      </w:r>
      <w:r w:rsidRPr="00074EFD">
        <w:rPr>
          <w:szCs w:val="22"/>
        </w:rPr>
        <w:tab/>
        <w:t xml:space="preserve">Secuencias volcánicas y sedimentarias marinas: lavas andesíticas y basálticas, tobas y brechas volcánicas y sedimentarias, areniscas y calizas fosilíferas. En </w:t>
      </w:r>
      <w:smartTag w:uri="urn:schemas-microsoft-com:office:smarttags" w:element="PersonName">
        <w:smartTagPr>
          <w:attr w:name="ProductID" w:val="la Precordillera"/>
        </w:smartTagPr>
        <w:r w:rsidRPr="00074EFD">
          <w:rPr>
            <w:szCs w:val="22"/>
          </w:rPr>
          <w:t>la Precordillera</w:t>
        </w:r>
      </w:smartTag>
      <w:r w:rsidRPr="00074EFD">
        <w:rPr>
          <w:szCs w:val="22"/>
        </w:rPr>
        <w:t xml:space="preserve">, región III: Estratos Cerro El Aguila; en </w:t>
      </w:r>
      <w:smartTag w:uri="urn:schemas-microsoft-com:office:smarttags" w:element="PersonName">
        <w:smartTagPr>
          <w:attr w:name="ProductID" w:val="la Cordillera Principal"/>
        </w:smartTagPr>
        <w:r w:rsidRPr="00074EFD">
          <w:rPr>
            <w:szCs w:val="22"/>
          </w:rPr>
          <w:t>la Cordillera Principal</w:t>
        </w:r>
      </w:smartTag>
      <w:r w:rsidRPr="00074EFD">
        <w:rPr>
          <w:szCs w:val="22"/>
        </w:rPr>
        <w:t xml:space="preserve">, región IV: Formación Los Pelambres; en </w:t>
      </w:r>
      <w:smartTag w:uri="urn:schemas-microsoft-com:office:smarttags" w:element="PersonName">
        <w:smartTagPr>
          <w:attr w:name="ProductID" w:val="la Cordillera"/>
        </w:smartTagPr>
        <w:r w:rsidRPr="00074EFD">
          <w:rPr>
            <w:szCs w:val="22"/>
          </w:rPr>
          <w:t>la Cordillera</w:t>
        </w:r>
      </w:smartTag>
      <w:r w:rsidRPr="00074EFD">
        <w:rPr>
          <w:szCs w:val="22"/>
        </w:rPr>
        <w:t xml:space="preserve"> de </w:t>
      </w:r>
      <w:smartTag w:uri="urn:schemas-microsoft-com:office:smarttags" w:element="PersonName">
        <w:smartTagPr>
          <w:attr w:name="ProductID" w:val="la Costa"/>
        </w:smartTagPr>
        <w:r w:rsidRPr="00074EFD">
          <w:rPr>
            <w:szCs w:val="22"/>
          </w:rPr>
          <w:t>la Costa</w:t>
        </w:r>
      </w:smartTag>
      <w:r w:rsidRPr="00074EFD">
        <w:rPr>
          <w:szCs w:val="22"/>
        </w:rPr>
        <w:t>, regiones V y Metropolitana: Formación Lo Prado.</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Cretácico Inferior-Cretácico Superior</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rPr>
          <w:szCs w:val="22"/>
        </w:rPr>
      </w:pPr>
      <w:r w:rsidRPr="00074EFD">
        <w:rPr>
          <w:szCs w:val="22"/>
        </w:rPr>
        <w:t>(Ki2c):</w:t>
      </w:r>
      <w:r w:rsidRPr="00074EFD">
        <w:rPr>
          <w:szCs w:val="22"/>
        </w:rPr>
        <w:tab/>
        <w:t xml:space="preserve">Secuencias sedimentarias y volcánicas continentales, con escasas intercalaciones marinas: brechas sedimentarias y volcánicas, lavas andesíticas, ocoítas, conglomerados, areniscas, limolitas calcáreas lacustres con flora fósil; localmente calizas fosilíferas marinas en la base. En Cordillera de </w:t>
      </w:r>
      <w:smartTag w:uri="urn:schemas-microsoft-com:office:smarttags" w:element="PersonName">
        <w:smartTagPr>
          <w:attr w:name="ProductID" w:val="la Costa"/>
        </w:smartTagPr>
        <w:r w:rsidRPr="00074EFD">
          <w:rPr>
            <w:szCs w:val="22"/>
          </w:rPr>
          <w:t>la Costa</w:t>
        </w:r>
      </w:smartTag>
      <w:r w:rsidRPr="00074EFD">
        <w:rPr>
          <w:szCs w:val="22"/>
        </w:rPr>
        <w:t>, regiones IV, V y Metropolitana: formaciones Quebrada Marquesa y Veta Negra.</w:t>
      </w:r>
    </w:p>
    <w:p w:rsidR="00BC1064" w:rsidRPr="00074EFD" w:rsidRDefault="00BC1064" w:rsidP="00B51B51">
      <w:pPr>
        <w:widowControl w:val="0"/>
        <w:tabs>
          <w:tab w:val="left" w:pos="993"/>
        </w:tabs>
        <w:rPr>
          <w:rFonts w:cs="Arial"/>
          <w:szCs w:val="22"/>
        </w:rPr>
      </w:pPr>
    </w:p>
    <w:p w:rsidR="00BC1064" w:rsidRPr="00074EFD" w:rsidRDefault="00BC1064" w:rsidP="00145762">
      <w:pPr>
        <w:widowControl w:val="0"/>
        <w:numPr>
          <w:ilvl w:val="0"/>
          <w:numId w:val="16"/>
        </w:numPr>
        <w:tabs>
          <w:tab w:val="clear" w:pos="1065"/>
        </w:tabs>
        <w:ind w:hanging="1065"/>
        <w:rPr>
          <w:rFonts w:cs="Arial"/>
          <w:b/>
        </w:rPr>
      </w:pPr>
      <w:r w:rsidRPr="00074EFD">
        <w:rPr>
          <w:rFonts w:cs="Arial"/>
          <w:b/>
        </w:rPr>
        <w:t>Secuencias Volcánicas</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Pleistoceno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Default="00BC1064" w:rsidP="00B51B51">
      <w:pPr>
        <w:widowControl w:val="0"/>
        <w:tabs>
          <w:tab w:val="left" w:pos="993"/>
        </w:tabs>
        <w:rPr>
          <w:rFonts w:cs="Arial"/>
          <w:szCs w:val="22"/>
        </w:rPr>
      </w:pPr>
      <w:r w:rsidRPr="00074EFD">
        <w:rPr>
          <w:rFonts w:cs="Arial"/>
          <w:szCs w:val="22"/>
        </w:rPr>
        <w:t>(Pl3t):</w:t>
      </w:r>
      <w:r w:rsidRPr="00074EFD">
        <w:rPr>
          <w:rFonts w:cs="Arial"/>
          <w:szCs w:val="22"/>
        </w:rPr>
        <w:tab/>
        <w:t xml:space="preserve">Depósitos piroclásticos principalmente riolíticos, asociados a calderas de colapso. En </w:t>
      </w:r>
      <w:smartTag w:uri="urn:schemas-microsoft-com:office:smarttags" w:element="PersonName">
        <w:smartTagPr>
          <w:attr w:name="ProductID" w:val="la Depresión Central"/>
        </w:smartTagPr>
        <w:r w:rsidRPr="00074EFD">
          <w:rPr>
            <w:rFonts w:cs="Arial"/>
            <w:szCs w:val="22"/>
          </w:rPr>
          <w:t>la Depresión Central</w:t>
        </w:r>
      </w:smartTag>
      <w:r w:rsidRPr="00074EFD">
        <w:rPr>
          <w:rFonts w:cs="Arial"/>
          <w:szCs w:val="22"/>
        </w:rPr>
        <w:t xml:space="preserve"> y valles de </w:t>
      </w:r>
      <w:smartTag w:uri="urn:schemas-microsoft-com:office:smarttags" w:element="PersonName">
        <w:smartTagPr>
          <w:attr w:name="ProductID" w:val="la Cordillera Principal"/>
        </w:smartTagPr>
        <w:r w:rsidRPr="00074EFD">
          <w:rPr>
            <w:rFonts w:cs="Arial"/>
            <w:szCs w:val="22"/>
          </w:rPr>
          <w:t>la Cordillera Principal</w:t>
        </w:r>
      </w:smartTag>
      <w:r w:rsidRPr="00074EFD">
        <w:rPr>
          <w:rFonts w:cs="Arial"/>
          <w:szCs w:val="22"/>
        </w:rPr>
        <w:t>, regiones V a VII: Ignimbrita Pudahuel y Toba Loma Seca.</w:t>
      </w:r>
    </w:p>
    <w:p w:rsidR="003E464B" w:rsidRDefault="003E464B" w:rsidP="00B51B51">
      <w:pPr>
        <w:widowControl w:val="0"/>
        <w:tabs>
          <w:tab w:val="left" w:pos="993"/>
        </w:tabs>
        <w:rPr>
          <w:rFonts w:cs="Arial"/>
          <w:szCs w:val="22"/>
        </w:rPr>
      </w:pPr>
    </w:p>
    <w:p w:rsidR="00BC1064" w:rsidRPr="00074EFD" w:rsidRDefault="008714A3" w:rsidP="00145762">
      <w:pPr>
        <w:pStyle w:val="Prrafodelista"/>
        <w:widowControl w:val="0"/>
        <w:numPr>
          <w:ilvl w:val="0"/>
          <w:numId w:val="6"/>
        </w:numPr>
        <w:ind w:left="426" w:hanging="426"/>
        <w:contextualSpacing/>
        <w:jc w:val="both"/>
        <w:rPr>
          <w:rFonts w:ascii="Arial" w:hAnsi="Arial" w:cs="Arial"/>
          <w:sz w:val="22"/>
          <w:szCs w:val="22"/>
        </w:rPr>
      </w:pPr>
      <w:r>
        <w:rPr>
          <w:rFonts w:ascii="Arial" w:hAnsi="Arial" w:cs="Arial"/>
          <w:sz w:val="22"/>
          <w:szCs w:val="22"/>
        </w:rPr>
        <w:br w:type="page"/>
      </w:r>
      <w:r w:rsidR="00BC1064" w:rsidRPr="00074EFD">
        <w:rPr>
          <w:rFonts w:ascii="Arial" w:hAnsi="Arial" w:cs="Arial"/>
          <w:sz w:val="22"/>
          <w:szCs w:val="22"/>
        </w:rPr>
        <w:lastRenderedPageBreak/>
        <w:t>Jurásico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(J3i):</w:t>
      </w:r>
      <w:r w:rsidRPr="00074EFD">
        <w:rPr>
          <w:rFonts w:cs="Arial"/>
          <w:szCs w:val="22"/>
        </w:rPr>
        <w:tab/>
        <w:t xml:space="preserve">Secuencias volcánicas continentales y marinas: lavas y aglomerados basálticos a andesíticos, tobas riolíticas, con intercalaciones de areniscas, calizas marinas y conglomerados continentales.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xml:space="preserve">, regiones I a III: formaciones Camaraca y </w:t>
      </w:r>
      <w:smartTag w:uri="urn:schemas-microsoft-com:office:smarttags" w:element="PersonName">
        <w:smartTagPr>
          <w:attr w:name="ProductID" w:val="La Negra"/>
        </w:smartTagPr>
        <w:r w:rsidRPr="00074EFD">
          <w:rPr>
            <w:rFonts w:cs="Arial"/>
            <w:szCs w:val="22"/>
          </w:rPr>
          <w:t>La Negra</w:t>
        </w:r>
      </w:smartTag>
      <w:r w:rsidRPr="00074EFD">
        <w:rPr>
          <w:rFonts w:cs="Arial"/>
          <w:szCs w:val="22"/>
        </w:rPr>
        <w:t xml:space="preserve">; en </w:t>
      </w:r>
      <w:smartTag w:uri="urn:schemas-microsoft-com:office:smarttags" w:element="PersonName">
        <w:smartTagPr>
          <w:attr w:name="ProductID" w:val="la Cordillera Principal"/>
        </w:smartTagPr>
        <w:r w:rsidRPr="00074EFD">
          <w:rPr>
            <w:rFonts w:cs="Arial"/>
            <w:szCs w:val="22"/>
          </w:rPr>
          <w:t>la Cordillera Principal</w:t>
        </w:r>
      </w:smartTag>
      <w:r w:rsidRPr="00074EFD">
        <w:rPr>
          <w:rFonts w:cs="Arial"/>
          <w:szCs w:val="22"/>
        </w:rPr>
        <w:t>, región VIII: Formación Nacientes del Biobío (Miembro Icalma).</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6"/>
        </w:numPr>
        <w:tabs>
          <w:tab w:val="clear" w:pos="1065"/>
        </w:tabs>
        <w:ind w:hanging="1065"/>
        <w:rPr>
          <w:rFonts w:cs="Arial"/>
          <w:b/>
        </w:rPr>
      </w:pPr>
      <w:r w:rsidRPr="00074EFD">
        <w:rPr>
          <w:rFonts w:cs="Arial"/>
          <w:b/>
        </w:rPr>
        <w:t>Rocas Intrusivas</w:t>
      </w:r>
    </w:p>
    <w:p w:rsidR="00BC1064" w:rsidRPr="00074EFD" w:rsidRDefault="00BC1064" w:rsidP="00B51B51">
      <w:pPr>
        <w:widowControl w:val="0"/>
        <w:tabs>
          <w:tab w:val="left" w:pos="993"/>
        </w:tabs>
        <w:rPr>
          <w:rFonts w:cs="Arial"/>
          <w:b/>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 xml:space="preserve">Cretácico Inferior alto-Cretácico Superior bajo (123-85 Ma) </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(Kiag):</w:t>
      </w:r>
      <w:r w:rsidRPr="00074EFD">
        <w:rPr>
          <w:rFonts w:cs="Arial"/>
          <w:szCs w:val="22"/>
        </w:rPr>
        <w:tab/>
        <w:t xml:space="preserve">Dioritas y monzodioritas de piroxeno y hornblenda, granodioritas, monzogranitos de hornblenda y biotita.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xml:space="preserve">, regiones II a IV, al este del Sistema de Fallas Atacama-El Romeral y asociados a mineralización de Fe-Cu-Au (Candelaria) y Cu-Au (Andacollo);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regiones V a X.</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Carbonífero-Pérmico (328-235 Ma)</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(CPg):</w:t>
      </w:r>
      <w:r w:rsidRPr="00074EFD">
        <w:rPr>
          <w:rFonts w:cs="Arial"/>
          <w:szCs w:val="22"/>
        </w:rPr>
        <w:tab/>
        <w:t xml:space="preserve">Granitos, granodioritas, tonalitas y dioritas, de hornblenda y biotita, localmente de muscovita. En </w:t>
      </w:r>
      <w:smartTag w:uri="urn:schemas-microsoft-com:office:smarttags" w:element="PersonName">
        <w:smartTagPr>
          <w:attr w:name="ProductID" w:val="la Precordillera"/>
        </w:smartTagPr>
        <w:r w:rsidRPr="00074EFD">
          <w:rPr>
            <w:rFonts w:cs="Arial"/>
            <w:szCs w:val="22"/>
          </w:rPr>
          <w:t>la Precordillera</w:t>
        </w:r>
      </w:smartTag>
      <w:r w:rsidRPr="00074EFD">
        <w:rPr>
          <w:rFonts w:cs="Arial"/>
          <w:szCs w:val="22"/>
        </w:rPr>
        <w:t xml:space="preserve"> y Cordillera Principal, regiones I a IV: Batolitos compuestos, ‘stocks’ y cuerpos hipabisales (Sierra Moreno, Cordillera de Domeyko, Batolito Elqui-Limarí); en </w:t>
      </w:r>
      <w:smartTag w:uri="urn:schemas-microsoft-com:office:smarttags" w:element="PersonName">
        <w:smartTagPr>
          <w:attr w:name="ProductID" w:val="la Cordillera Principal"/>
        </w:smartTagPr>
        <w:r w:rsidRPr="00074EFD">
          <w:rPr>
            <w:rFonts w:cs="Arial"/>
            <w:szCs w:val="22"/>
          </w:rPr>
          <w:t>la Cordillera Principal</w:t>
        </w:r>
      </w:smartTag>
      <w:r w:rsidRPr="00074EFD">
        <w:rPr>
          <w:rFonts w:cs="Arial"/>
          <w:szCs w:val="22"/>
        </w:rPr>
        <w:t>, regiones X y XI: Batolito Panguipulli-Riñihue y ‘Stock’ Leones.</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Triásico-Jurásico (212-180 Ma)</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(TrJg):</w:t>
      </w:r>
      <w:r w:rsidRPr="00074EFD">
        <w:rPr>
          <w:rFonts w:cs="Arial"/>
          <w:szCs w:val="22"/>
        </w:rPr>
        <w:tab/>
        <w:t xml:space="preserve">Granodioritas, monzogranitos, monzodioritas, dioritas y gabros de piroxeno y hornblenda; sienogranitos. En Cordillera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regiones III a V.</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Jurásico Inferior (202-178 Ma)</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(Jig):</w:t>
      </w:r>
      <w:r w:rsidRPr="00074EFD">
        <w:rPr>
          <w:rFonts w:cs="Arial"/>
          <w:szCs w:val="22"/>
        </w:rPr>
        <w:tab/>
        <w:t xml:space="preserve">Dioritas, gabros y monzodioritas de piroxeno, dioritas cuarcíferas y granodioritas y tonalitas de hornblenda y biotita.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regiones II a III: plutones Flamenco y Caldera-Pajonales.</w:t>
      </w:r>
    </w:p>
    <w:p w:rsidR="00BC1064" w:rsidRPr="00074EFD" w:rsidRDefault="00BC1064" w:rsidP="00B51B51">
      <w:pPr>
        <w:widowControl w:val="0"/>
        <w:tabs>
          <w:tab w:val="left" w:pos="993"/>
        </w:tabs>
        <w:rPr>
          <w:rFonts w:cs="Arial"/>
          <w:szCs w:val="22"/>
        </w:rPr>
      </w:pPr>
    </w:p>
    <w:p w:rsidR="00BC1064" w:rsidRPr="00074EFD" w:rsidRDefault="00BC1064" w:rsidP="00145762">
      <w:pPr>
        <w:widowControl w:val="0"/>
        <w:numPr>
          <w:ilvl w:val="0"/>
          <w:numId w:val="16"/>
        </w:numPr>
        <w:tabs>
          <w:tab w:val="clear" w:pos="1065"/>
        </w:tabs>
        <w:ind w:hanging="1065"/>
        <w:rPr>
          <w:rFonts w:cs="Arial"/>
          <w:b/>
        </w:rPr>
      </w:pPr>
      <w:r w:rsidRPr="00074EFD">
        <w:rPr>
          <w:rFonts w:cs="Arial"/>
          <w:b/>
        </w:rPr>
        <w:t>Rocas Metamórficas</w:t>
      </w:r>
    </w:p>
    <w:p w:rsidR="00BC1064" w:rsidRPr="00074EFD" w:rsidRDefault="00BC1064" w:rsidP="00B51B51">
      <w:pPr>
        <w:widowControl w:val="0"/>
        <w:tabs>
          <w:tab w:val="left" w:pos="993"/>
        </w:tabs>
        <w:rPr>
          <w:rFonts w:cs="Arial"/>
          <w:szCs w:val="22"/>
        </w:rPr>
      </w:pPr>
    </w:p>
    <w:p w:rsidR="00BC1064" w:rsidRPr="00074EFD" w:rsidRDefault="00BC1064" w:rsidP="00145762">
      <w:pPr>
        <w:pStyle w:val="Prrafodelista"/>
        <w:widowControl w:val="0"/>
        <w:numPr>
          <w:ilvl w:val="0"/>
          <w:numId w:val="6"/>
        </w:numPr>
        <w:ind w:left="426" w:hanging="426"/>
        <w:contextualSpacing/>
        <w:jc w:val="both"/>
        <w:rPr>
          <w:rFonts w:ascii="Arial" w:hAnsi="Arial" w:cs="Arial"/>
          <w:sz w:val="22"/>
          <w:szCs w:val="22"/>
        </w:rPr>
      </w:pPr>
      <w:r w:rsidRPr="00074EFD">
        <w:rPr>
          <w:rFonts w:ascii="Arial" w:hAnsi="Arial" w:cs="Arial"/>
          <w:sz w:val="22"/>
          <w:szCs w:val="22"/>
        </w:rPr>
        <w:t>Silúrico?-Carbonífero</w:t>
      </w:r>
    </w:p>
    <w:p w:rsidR="00FD7C5C" w:rsidRPr="00074EFD" w:rsidRDefault="00FD7C5C" w:rsidP="00B51B51">
      <w:pPr>
        <w:pStyle w:val="Prrafodelista"/>
        <w:widowControl w:val="0"/>
        <w:ind w:left="0"/>
        <w:contextualSpacing/>
        <w:jc w:val="both"/>
        <w:rPr>
          <w:rFonts w:ascii="Arial" w:hAnsi="Arial" w:cs="Arial"/>
          <w:sz w:val="22"/>
          <w:szCs w:val="22"/>
        </w:rPr>
      </w:pPr>
    </w:p>
    <w:p w:rsidR="00BC1064" w:rsidRPr="00074EFD" w:rsidRDefault="00BC1064" w:rsidP="00B51B51">
      <w:pPr>
        <w:widowControl w:val="0"/>
        <w:tabs>
          <w:tab w:val="left" w:pos="993"/>
        </w:tabs>
        <w:rPr>
          <w:rFonts w:cs="Arial"/>
          <w:szCs w:val="22"/>
        </w:rPr>
      </w:pPr>
      <w:r w:rsidRPr="00074EFD">
        <w:rPr>
          <w:rFonts w:cs="Arial"/>
          <w:szCs w:val="22"/>
        </w:rPr>
        <w:t>(Pz4a):</w:t>
      </w:r>
      <w:r w:rsidRPr="00074EFD">
        <w:rPr>
          <w:rFonts w:cs="Arial"/>
          <w:szCs w:val="22"/>
        </w:rPr>
        <w:tab/>
        <w:t xml:space="preserve">Esquistos muscovíticos y metabasitas, metachert y serpentinitas con metamorfismo de alto gradiente P/T (Serie Occidental) y metamorfismo del Carbonífero temprano.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regiones VI a IX.</w:t>
      </w:r>
    </w:p>
    <w:p w:rsidR="00BC1064" w:rsidRPr="00074EFD" w:rsidRDefault="00BC1064" w:rsidP="00B51B51">
      <w:pPr>
        <w:widowControl w:val="0"/>
        <w:tabs>
          <w:tab w:val="left" w:pos="993"/>
        </w:tabs>
        <w:rPr>
          <w:rFonts w:cs="Arial"/>
          <w:szCs w:val="22"/>
        </w:rPr>
      </w:pPr>
    </w:p>
    <w:p w:rsidR="00BC1064" w:rsidRPr="00074EFD" w:rsidRDefault="00BC1064" w:rsidP="00B51B51">
      <w:pPr>
        <w:widowControl w:val="0"/>
        <w:tabs>
          <w:tab w:val="left" w:pos="993"/>
        </w:tabs>
        <w:rPr>
          <w:rFonts w:cs="Arial"/>
          <w:szCs w:val="22"/>
        </w:rPr>
      </w:pPr>
      <w:r w:rsidRPr="00074EFD">
        <w:rPr>
          <w:rFonts w:cs="Arial"/>
          <w:szCs w:val="22"/>
        </w:rPr>
        <w:t>(Pz4b):</w:t>
      </w:r>
      <w:r w:rsidRPr="00074EFD">
        <w:rPr>
          <w:rFonts w:cs="Arial"/>
          <w:szCs w:val="22"/>
        </w:rPr>
        <w:tab/>
        <w:t xml:space="preserve">Pizarras, filitas y metaareniscas con metamorfismo de bajo gradiente P/T (Serie Oriental) del Carbonífero temprano. En </w:t>
      </w:r>
      <w:smartTag w:uri="urn:schemas-microsoft-com:office:smarttags" w:element="PersonName">
        <w:smartTagPr>
          <w:attr w:name="ProductID" w:val="la Cordillera"/>
        </w:smartTagPr>
        <w:r w:rsidRPr="00074EFD">
          <w:rPr>
            <w:rFonts w:cs="Arial"/>
            <w:szCs w:val="22"/>
          </w:rPr>
          <w:t>la Cordillera</w:t>
        </w:r>
      </w:smartTag>
      <w:r w:rsidRPr="00074EFD">
        <w:rPr>
          <w:rFonts w:cs="Arial"/>
          <w:szCs w:val="22"/>
        </w:rPr>
        <w:t xml:space="preserve"> de </w:t>
      </w:r>
      <w:smartTag w:uri="urn:schemas-microsoft-com:office:smarttags" w:element="PersonName">
        <w:smartTagPr>
          <w:attr w:name="ProductID" w:val="la Costa"/>
        </w:smartTagPr>
        <w:r w:rsidRPr="00074EFD">
          <w:rPr>
            <w:rFonts w:cs="Arial"/>
            <w:szCs w:val="22"/>
          </w:rPr>
          <w:t>la Costa</w:t>
        </w:r>
      </w:smartTag>
      <w:r w:rsidRPr="00074EFD">
        <w:rPr>
          <w:rFonts w:cs="Arial"/>
          <w:szCs w:val="22"/>
        </w:rPr>
        <w:t>, regiones VI a IX.</w:t>
      </w:r>
    </w:p>
    <w:p w:rsidR="00BC1064" w:rsidRPr="00074EFD" w:rsidRDefault="00BC1064" w:rsidP="00B51B51">
      <w:pPr>
        <w:widowControl w:val="0"/>
        <w:rPr>
          <w:rFonts w:cs="Arial"/>
          <w:szCs w:val="22"/>
        </w:rPr>
      </w:pPr>
    </w:p>
    <w:p w:rsidR="0007465B" w:rsidRDefault="00BC1064" w:rsidP="00B51B51">
      <w:pPr>
        <w:widowControl w:val="0"/>
      </w:pPr>
      <w:r w:rsidRPr="00074EFD">
        <w:t xml:space="preserve">Considerando las descripciones anteriores, se realiza una caracterización geológica para cada uno de los acuíferos, acuíferos que se pueden ver en </w:t>
      </w:r>
      <w:smartTag w:uri="urn:schemas-microsoft-com:office:smarttags" w:element="PersonName">
        <w:smartTagPr>
          <w:attr w:name="ProductID" w:val="la ￼￼￼￼￼￼￼￼￼￼￼￼￼￼￼￼￼￼￼￼￼￼￼￼￼Figura"/>
        </w:smartTagPr>
        <w:r w:rsidR="00074EFD">
          <w:t>la</w:t>
        </w:r>
        <w:r w:rsidR="0007465B">
          <w:t xml:space="preserve"> </w:t>
        </w:r>
        <w:r w:rsidR="00AD7548">
          <w:fldChar w:fldCharType="begin"/>
        </w:r>
        <w:r w:rsidR="00AD7548">
          <w:instrText xml:space="preserve"> REF _Ref336893882 \h </w:instrText>
        </w:r>
        <w:r w:rsidR="00AD7548">
          <w:fldChar w:fldCharType="separate"/>
        </w:r>
        <w:r w:rsidR="00264070">
          <w:t>Figura</w:t>
        </w:r>
      </w:smartTag>
      <w:r w:rsidR="00264070">
        <w:t xml:space="preserve"> </w:t>
      </w:r>
      <w:r w:rsidR="00264070">
        <w:rPr>
          <w:noProof/>
        </w:rPr>
        <w:t>3</w:t>
      </w:r>
      <w:r w:rsidR="00264070">
        <w:t>.</w:t>
      </w:r>
      <w:r w:rsidR="00264070">
        <w:rPr>
          <w:noProof/>
        </w:rPr>
        <w:t>1</w:t>
      </w:r>
      <w:r w:rsidR="00AD7548">
        <w:fldChar w:fldCharType="end"/>
      </w:r>
    </w:p>
    <w:p w:rsidR="00BC1064" w:rsidRDefault="00074EFD" w:rsidP="00B51B51">
      <w:pPr>
        <w:widowControl w:val="0"/>
      </w:pPr>
      <w:r>
        <w:t xml:space="preserve"> </w:t>
      </w:r>
    </w:p>
    <w:p w:rsidR="00BC1064" w:rsidRDefault="00074EFD" w:rsidP="00AD7548">
      <w:pPr>
        <w:pStyle w:val="Epgrafe"/>
      </w:pPr>
      <w:bookmarkStart w:id="86" w:name="_Ref336893882"/>
      <w:r>
        <w:lastRenderedPageBreak/>
        <w:t xml:space="preserve">Figura </w:t>
      </w:r>
      <w:r w:rsidR="00951FEC">
        <w:fldChar w:fldCharType="begin"/>
      </w:r>
      <w:r w:rsidR="00951FEC">
        <w:instrText xml:space="preserve"> STYLEREF 1 \s </w:instrText>
      </w:r>
      <w:r w:rsidR="00951FEC">
        <w:fldChar w:fldCharType="separate"/>
      </w:r>
      <w:r w:rsidR="00264070">
        <w:rPr>
          <w:noProof/>
        </w:rPr>
        <w:t>3</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w:t>
      </w:r>
      <w:r w:rsidR="00951FEC">
        <w:fldChar w:fldCharType="end"/>
      </w:r>
      <w:bookmarkEnd w:id="86"/>
    </w:p>
    <w:p w:rsidR="00074EFD" w:rsidRPr="00074EFD" w:rsidRDefault="00074EFD" w:rsidP="00B51B51">
      <w:pPr>
        <w:widowControl w:val="0"/>
      </w:pPr>
    </w:p>
    <w:p w:rsidR="00BC1064" w:rsidRPr="00074EFD" w:rsidRDefault="00074EFD" w:rsidP="00B51B51">
      <w:pPr>
        <w:pStyle w:val="Ttulo4Ttulo4"/>
        <w:keepNext w:val="0"/>
        <w:widowControl w:val="0"/>
        <w:spacing w:before="0" w:after="0"/>
        <w:ind w:left="862" w:hanging="862"/>
      </w:pPr>
      <w:bookmarkStart w:id="87" w:name="_Toc336426455"/>
      <w:r>
        <w:br w:type="page"/>
      </w:r>
      <w:bookmarkStart w:id="88" w:name="_Toc344391760"/>
      <w:r w:rsidR="00BC1064" w:rsidRPr="00074EFD">
        <w:lastRenderedPageBreak/>
        <w:t>Acuífero Río Angostura</w:t>
      </w:r>
      <w:bookmarkEnd w:id="87"/>
      <w:bookmarkEnd w:id="88"/>
    </w:p>
    <w:p w:rsidR="00BC1064" w:rsidRPr="00074EFD" w:rsidRDefault="00BC1064" w:rsidP="00B51B51">
      <w:pPr>
        <w:widowControl w:val="0"/>
        <w:rPr>
          <w:rFonts w:cs="Arial"/>
          <w:szCs w:val="22"/>
        </w:rPr>
      </w:pPr>
    </w:p>
    <w:p w:rsidR="00BC1064" w:rsidRPr="00074EFD" w:rsidRDefault="00BC1064" w:rsidP="00B51B51">
      <w:pPr>
        <w:widowControl w:val="0"/>
        <w:rPr>
          <w:szCs w:val="22"/>
        </w:rPr>
      </w:pPr>
      <w:r w:rsidRPr="00074EFD">
        <w:rPr>
          <w:szCs w:val="22"/>
        </w:rPr>
        <w:t>La mayor parte de este acuífero corresponde a una secuencia sedimentaria cuaternaria Pleistoceno-Holoceno (Q1).</w:t>
      </w:r>
    </w:p>
    <w:p w:rsidR="00BC1064" w:rsidRPr="00074EFD" w:rsidRDefault="00BC1064" w:rsidP="00B51B51">
      <w:pPr>
        <w:widowControl w:val="0"/>
        <w:rPr>
          <w:rFonts w:cs="Arial"/>
          <w:szCs w:val="22"/>
        </w:rPr>
      </w:pPr>
    </w:p>
    <w:p w:rsidR="00BC1064" w:rsidRPr="00074EFD" w:rsidRDefault="00BC1064" w:rsidP="00B51B51">
      <w:pPr>
        <w:pStyle w:val="Ttulo4Ttulo4"/>
        <w:keepNext w:val="0"/>
        <w:widowControl w:val="0"/>
        <w:spacing w:before="0" w:after="0"/>
        <w:ind w:left="862" w:hanging="862"/>
      </w:pPr>
      <w:bookmarkStart w:id="89" w:name="_Toc336426456"/>
      <w:bookmarkStart w:id="90" w:name="_Toc344391761"/>
      <w:r w:rsidRPr="00074EFD">
        <w:t>Acuífero Río Cachapoal</w:t>
      </w:r>
      <w:bookmarkEnd w:id="89"/>
      <w:bookmarkEnd w:id="90"/>
    </w:p>
    <w:p w:rsidR="00BC1064" w:rsidRPr="00074EFD" w:rsidRDefault="00BC1064" w:rsidP="00B51B51">
      <w:pPr>
        <w:widowControl w:val="0"/>
        <w:rPr>
          <w:rFonts w:cs="Arial"/>
          <w:szCs w:val="22"/>
        </w:rPr>
      </w:pPr>
    </w:p>
    <w:p w:rsidR="00BC1064" w:rsidRPr="00074EFD" w:rsidRDefault="00BC1064" w:rsidP="00B51B51">
      <w:pPr>
        <w:widowControl w:val="0"/>
        <w:rPr>
          <w:szCs w:val="22"/>
        </w:rPr>
      </w:pPr>
      <w:r w:rsidRPr="00074EFD">
        <w:rPr>
          <w:szCs w:val="22"/>
        </w:rPr>
        <w:t>La mayor parte de este acuífero corresponde a secuencias sedimentarias cuaternarias Pleistoceno-Holoceno (Q1), además es posible encontrar un relleno del tipo (Qf) en el lecho del río Cachapoal. En la parte alta, se observa la presencia de una secuencia volcánica del pleistoceno (Pl3t).</w:t>
      </w:r>
    </w:p>
    <w:p w:rsidR="00BC1064" w:rsidRPr="00074EFD" w:rsidRDefault="00BC1064" w:rsidP="00B51B51">
      <w:pPr>
        <w:widowControl w:val="0"/>
        <w:rPr>
          <w:rFonts w:cs="Arial"/>
          <w:szCs w:val="22"/>
        </w:rPr>
      </w:pPr>
    </w:p>
    <w:p w:rsidR="00BC1064" w:rsidRPr="00074EFD" w:rsidRDefault="00BC1064" w:rsidP="00B51B51">
      <w:pPr>
        <w:pStyle w:val="Ttulo4Ttulo4"/>
        <w:keepNext w:val="0"/>
        <w:widowControl w:val="0"/>
        <w:spacing w:before="0" w:after="0"/>
        <w:ind w:left="862" w:hanging="862"/>
      </w:pPr>
      <w:bookmarkStart w:id="91" w:name="_Toc336426457"/>
      <w:bookmarkStart w:id="92" w:name="_Toc344391762"/>
      <w:r w:rsidRPr="00074EFD">
        <w:t>Acuífero Estero Alhué</w:t>
      </w:r>
      <w:bookmarkEnd w:id="91"/>
      <w:bookmarkEnd w:id="92"/>
    </w:p>
    <w:p w:rsidR="00BC1064" w:rsidRPr="00074EFD" w:rsidRDefault="00BC1064" w:rsidP="00B51B51">
      <w:pPr>
        <w:widowControl w:val="0"/>
        <w:rPr>
          <w:rFonts w:cs="Arial"/>
          <w:szCs w:val="22"/>
        </w:rPr>
      </w:pPr>
    </w:p>
    <w:p w:rsidR="00BC1064" w:rsidRPr="00074EFD" w:rsidRDefault="00BC1064" w:rsidP="00B51B51">
      <w:pPr>
        <w:widowControl w:val="0"/>
        <w:rPr>
          <w:szCs w:val="22"/>
        </w:rPr>
      </w:pPr>
      <w:r w:rsidRPr="00074EFD">
        <w:rPr>
          <w:szCs w:val="22"/>
        </w:rPr>
        <w:t>Este acuífero se caracteriza por corresponder en gran parte a una secuencia sedimentaria cuaternaria Pleistoceno-Holoceno (Q1). En la parte alta del estero Las Palmas se observan secuencia volcanosedimenarias del cretácico (Ki2m). Más arriba por este mismo estero, se encuentran rocas intrusivas del cretácico (Kiag).</w:t>
      </w:r>
    </w:p>
    <w:p w:rsidR="00BC1064" w:rsidRPr="00074EFD" w:rsidRDefault="00BC1064" w:rsidP="00B51B51">
      <w:pPr>
        <w:widowControl w:val="0"/>
        <w:rPr>
          <w:rFonts w:cs="Arial"/>
          <w:szCs w:val="22"/>
        </w:rPr>
      </w:pPr>
    </w:p>
    <w:p w:rsidR="00BC1064" w:rsidRPr="00074EFD" w:rsidRDefault="00BC1064" w:rsidP="00B51B51">
      <w:pPr>
        <w:pStyle w:val="Ttulo4Ttulo4"/>
        <w:keepNext w:val="0"/>
        <w:widowControl w:val="0"/>
        <w:spacing w:before="0" w:after="0"/>
        <w:ind w:left="862" w:hanging="862"/>
      </w:pPr>
      <w:bookmarkStart w:id="93" w:name="_Toc336426458"/>
      <w:bookmarkStart w:id="94" w:name="_Toc344391763"/>
      <w:r w:rsidRPr="00074EFD">
        <w:t>Acuífero Río Tinguiririca</w:t>
      </w:r>
      <w:bookmarkEnd w:id="93"/>
      <w:bookmarkEnd w:id="94"/>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El acuífero del río Tinguiririca se compone de múltiples rellenos, siendo estos una secuencia volcánica del pleistoceno (Pl3t), rocas intrusivas del paleozoico (Cpg), secuencias sedimentarias cuaternarias Pleistoceno-Holoceno (Q1) y Plioceno-Pleistoceno (Ppl1c), además es posible encontrar un relleno del tipo (Qf) en la parte central del río Tinguiririca.</w:t>
      </w:r>
    </w:p>
    <w:p w:rsidR="00BC1064" w:rsidRPr="00074EFD" w:rsidRDefault="00BC1064" w:rsidP="00B51B51">
      <w:pPr>
        <w:widowControl w:val="0"/>
        <w:rPr>
          <w:rFonts w:cs="Arial"/>
          <w:szCs w:val="22"/>
        </w:rPr>
      </w:pPr>
    </w:p>
    <w:p w:rsidR="00BC1064" w:rsidRPr="00074EFD" w:rsidRDefault="00BC1064" w:rsidP="00B51B51">
      <w:pPr>
        <w:pStyle w:val="Ttulo4Ttulo4"/>
        <w:keepNext w:val="0"/>
        <w:widowControl w:val="0"/>
        <w:spacing w:before="0" w:after="0"/>
        <w:ind w:left="862" w:hanging="862"/>
      </w:pPr>
      <w:bookmarkStart w:id="95" w:name="_Toc336426459"/>
      <w:bookmarkStart w:id="96" w:name="_Toc344391764"/>
      <w:r w:rsidRPr="00074EFD">
        <w:t>Acuífero Río Nilahue</w:t>
      </w:r>
      <w:bookmarkEnd w:id="95"/>
      <w:bookmarkEnd w:id="96"/>
    </w:p>
    <w:p w:rsidR="00BC1064" w:rsidRPr="00E073DC" w:rsidRDefault="00BC1064" w:rsidP="00B51B51">
      <w:pPr>
        <w:widowControl w:val="0"/>
        <w:rPr>
          <w:rFonts w:cs="Arial"/>
          <w:sz w:val="18"/>
          <w:szCs w:val="22"/>
        </w:rPr>
      </w:pPr>
    </w:p>
    <w:p w:rsidR="00BC1064" w:rsidRPr="00074EFD" w:rsidRDefault="00BC1064" w:rsidP="00B51B51">
      <w:pPr>
        <w:widowControl w:val="0"/>
        <w:rPr>
          <w:rFonts w:cs="Arial"/>
          <w:szCs w:val="22"/>
        </w:rPr>
      </w:pPr>
      <w:r w:rsidRPr="00074EFD">
        <w:rPr>
          <w:rFonts w:cs="Arial"/>
          <w:szCs w:val="22"/>
        </w:rPr>
        <w:t>El acuífero del río Nilahue se encuentra compuesto por múltiples rellenos principalmente por secuencias sedimentarias cuaternarias Pleistoceno-Holoceno (Q1) y Plioceno-Pleistoceno (Ppl1c), rocas del paleozoico metamórficas (Pz4b), rocas intrusivas del paleozoico (Cpg), del jurásico inferior (Jig) y del cretácito (Kiag), secuencias volcánicas del jurásico (J3i) y volcanosedimenarias del cretácico inferior – superior (Ki2c).</w:t>
      </w:r>
    </w:p>
    <w:p w:rsidR="00BC1064" w:rsidRPr="00074EFD" w:rsidRDefault="00BC1064" w:rsidP="00B51B51">
      <w:pPr>
        <w:widowControl w:val="0"/>
        <w:rPr>
          <w:rFonts w:cs="Arial"/>
          <w:szCs w:val="22"/>
        </w:rPr>
      </w:pPr>
    </w:p>
    <w:p w:rsidR="00BC1064" w:rsidRPr="00074EFD" w:rsidRDefault="00BC1064" w:rsidP="00B51B51">
      <w:pPr>
        <w:pStyle w:val="Ttulo4Ttulo4"/>
        <w:keepNext w:val="0"/>
        <w:widowControl w:val="0"/>
        <w:spacing w:before="0" w:after="0"/>
        <w:ind w:left="862" w:hanging="862"/>
      </w:pPr>
      <w:bookmarkStart w:id="97" w:name="_Toc336426460"/>
      <w:bookmarkStart w:id="98" w:name="_Toc344391765"/>
      <w:r w:rsidRPr="00074EFD">
        <w:t>Acuíferos Cuencas Costeras</w:t>
      </w:r>
      <w:bookmarkEnd w:id="97"/>
      <w:bookmarkEnd w:id="98"/>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Estero Pupuya (1)</w:t>
      </w:r>
    </w:p>
    <w:p w:rsidR="00BC1064" w:rsidRPr="00E073DC" w:rsidRDefault="00BC1064" w:rsidP="00B51B51">
      <w:pPr>
        <w:widowControl w:val="0"/>
        <w:rPr>
          <w:rFonts w:cs="Arial"/>
          <w:sz w:val="16"/>
          <w:szCs w:val="22"/>
        </w:rPr>
      </w:pPr>
    </w:p>
    <w:p w:rsidR="00BC1064" w:rsidRPr="00074EFD" w:rsidRDefault="00BC1064" w:rsidP="00B51B51">
      <w:pPr>
        <w:widowControl w:val="0"/>
        <w:rPr>
          <w:rFonts w:cs="Arial"/>
          <w:szCs w:val="22"/>
        </w:rPr>
      </w:pPr>
      <w:r w:rsidRPr="00074EFD">
        <w:rPr>
          <w:rFonts w:cs="Arial"/>
          <w:szCs w:val="22"/>
        </w:rPr>
        <w:t>Acuífero compuesto mayormente por secuencias sedimentarias del mioceno superior-plioceno (MP1m).</w:t>
      </w:r>
    </w:p>
    <w:p w:rsidR="00BC1064" w:rsidRPr="00074EFD" w:rsidRDefault="00BC1064" w:rsidP="00B51B51">
      <w:pPr>
        <w:pStyle w:val="Prrafodelista"/>
        <w:widowControl w:val="0"/>
        <w:ind w:left="426" w:firstLine="708"/>
        <w:jc w:val="both"/>
        <w:rPr>
          <w:rFonts w:ascii="Arial" w:hAnsi="Arial" w:cs="Arial"/>
          <w:sz w:val="22"/>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Estero San Miguel (2)</w:t>
      </w:r>
    </w:p>
    <w:p w:rsidR="00BC1064" w:rsidRPr="00E073DC" w:rsidRDefault="00BC1064" w:rsidP="00B51B51">
      <w:pPr>
        <w:widowControl w:val="0"/>
        <w:rPr>
          <w:rFonts w:cs="Arial"/>
          <w:sz w:val="16"/>
          <w:szCs w:val="22"/>
        </w:rPr>
      </w:pPr>
    </w:p>
    <w:p w:rsidR="00BC1064" w:rsidRPr="00074EFD" w:rsidRDefault="00BC1064" w:rsidP="00B51B51">
      <w:pPr>
        <w:widowControl w:val="0"/>
        <w:rPr>
          <w:rFonts w:cs="Arial"/>
          <w:szCs w:val="22"/>
        </w:rPr>
      </w:pPr>
      <w:r w:rsidRPr="00074EFD">
        <w:rPr>
          <w:rFonts w:cs="Arial"/>
          <w:szCs w:val="22"/>
        </w:rPr>
        <w:t>Acuífero compuesto principalmente por rocas del paleozoico metamórficas (Pz4b) e intrusivas del (Cpg).</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Estero el Rosario (3)</w:t>
      </w:r>
    </w:p>
    <w:p w:rsidR="00715B27" w:rsidRPr="00E073DC" w:rsidRDefault="00715B27" w:rsidP="00B51B51">
      <w:pPr>
        <w:widowControl w:val="0"/>
        <w:rPr>
          <w:rFonts w:cs="Arial"/>
          <w:sz w:val="16"/>
          <w:szCs w:val="22"/>
        </w:rPr>
      </w:pPr>
    </w:p>
    <w:p w:rsidR="00BC1064" w:rsidRPr="00074EFD" w:rsidRDefault="00BC1064" w:rsidP="00B51B51">
      <w:pPr>
        <w:widowControl w:val="0"/>
        <w:rPr>
          <w:rFonts w:cs="Arial"/>
          <w:szCs w:val="22"/>
        </w:rPr>
      </w:pPr>
      <w:r w:rsidRPr="00074EFD">
        <w:rPr>
          <w:rFonts w:cs="Arial"/>
          <w:szCs w:val="22"/>
        </w:rPr>
        <w:t>Acuífero compuesto por secuencias volcánicas del pleistoceno (Pl3t), rocas intrusivas del paleozoico (Cpg) y triásico-juracico (TrJg), además de secuencias sedimentarias del mioceno superior-plioceno (MP1m).</w:t>
      </w: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lastRenderedPageBreak/>
        <w:t>Estero Navidad (4)</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secuencias sedimentarias del neógeno mioceno superior-plioceno (MP1m) y del cuaternario pleistoceno-holoceno (Qe).</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Río Rapel antes junta estero Rosario (5)</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secuencias volcánicas del pleistoceno (Pl3t), rocas intrusivas del paleozoico (Cpg), y de secuencias sedimentarias del pleistoceno (Pl1m).</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Río Rapel bajo junta estero Rosario (6)</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secuencias sedimentarias del neógeno mioceno superior-plioceno (MP1m), del cuaternario pleistoceno-holoceno (Qe) y del plioceno-pleistoceno (PPl1c) y del pleistoceno (Pl1m).</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Altos de Rapel (7)</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secuencias sedimentarias del Neógeno mioceno superior-plioceno (MP1m) y del cuaternario pleistoceno-holoceno (Qe).</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Caleta Matanzas (8)</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secuencias sedimentarias del neógeno mioceno superior-plioceno (MP1m) y del cuaternario pleistoceno-holoceno (Qe).</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Las Quebradas (9)</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secuencias sedimentarias del neógeno mioceno superior-plioceno (MP1m) y del cuaternario pleistoceno-holoceno (Q1), además por rocas del paleozoico metamórficas (Pz4b).</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Paredones subsector Estero Paredones (10)</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rocas intrusivas del paleozoico (Cpg).</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Paredones subsector Laguna Bucalemu (11)</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rocas del paleozoico metamórficas (Pz4a) y (Pz4b), además de rocas intrusivas del paleozoico (Cpg).</w:t>
      </w:r>
    </w:p>
    <w:p w:rsidR="00414555" w:rsidRPr="00074EFD" w:rsidRDefault="00414555"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Polcura (12)</w:t>
      </w:r>
    </w:p>
    <w:p w:rsidR="00715B27" w:rsidRPr="00074EFD" w:rsidRDefault="00715B27" w:rsidP="00B51B51">
      <w:pPr>
        <w:pStyle w:val="Prrafodelista"/>
        <w:widowControl w:val="0"/>
        <w:ind w:left="0"/>
        <w:contextualSpacing/>
        <w:jc w:val="both"/>
        <w:rPr>
          <w:rFonts w:ascii="Arial" w:hAnsi="Arial" w:cs="Arial"/>
          <w:sz w:val="22"/>
          <w:szCs w:val="22"/>
        </w:rPr>
      </w:pPr>
    </w:p>
    <w:p w:rsidR="008714A3" w:rsidRDefault="00BC1064" w:rsidP="00B51B51">
      <w:pPr>
        <w:widowControl w:val="0"/>
        <w:rPr>
          <w:rFonts w:cs="Arial"/>
          <w:szCs w:val="22"/>
        </w:rPr>
      </w:pPr>
      <w:r w:rsidRPr="00074EFD">
        <w:rPr>
          <w:rFonts w:cs="Arial"/>
          <w:szCs w:val="22"/>
        </w:rPr>
        <w:t>Acuífero compuesto mayormente por secuencias sedimentarias del mioceno superior-plioceno (MP1m).</w:t>
      </w:r>
    </w:p>
    <w:p w:rsidR="00E073DC" w:rsidRDefault="00E073DC"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Punta Tumán (13)</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secuencias sedimentarias del neógeno mioceno superior-plioceno (MP1m) y del cuaternario pleistoceno-holoceno (Q1).</w:t>
      </w: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lastRenderedPageBreak/>
        <w:t>Sector San Antonio subsector Pichilemu (14)</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secuencias sedimentarias del cuaternario Pleistoceno-Holoceno (Q1), y rocas del paleozoico metamórficas (Pz4a) y (Pz4b).</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San Antonio subsector Estero San Antonio (15)</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secuencias sedimentarias del cuaternario pleistoceno-holoceno (Q1), además por rocas del paleozoico metamórficas (Pz4b).</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San Antonio subsector Quebrada Honda (16)</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rocas del paleozoico metamórficas (Pz4b), además de rocas intrusivas del paleozoico (Cpg).</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San Pedro subsector estero San Pedro (17)</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rocas del paleozoico metamórficas (Pz4b), rocas intrusivas del paleozoico (Cpg). Se observa además secuencias sedimentarias del triásico superior (Tr1m) y del jurásico inferior-medio (Ji1m).</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szCs w:val="22"/>
        </w:rPr>
      </w:pPr>
      <w:r w:rsidRPr="00074EFD">
        <w:rPr>
          <w:rFonts w:cs="Arial"/>
          <w:b/>
        </w:rPr>
        <w:t>Sector San Pedro subsector Laguna Boyeruca (18)</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principalmente por rocas del paleozoico metamórficas (Pz4a) y (Pz4b), además de rocas intrusivas del paleozoico (Cpg).</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szCs w:val="22"/>
        </w:rPr>
      </w:pPr>
      <w:r w:rsidRPr="00074EFD">
        <w:rPr>
          <w:rFonts w:cs="Arial"/>
          <w:b/>
        </w:rPr>
        <w:t>Sector Topopalma subsector Estero Topocalma (19)</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rocas del paleozoico metamórficas (Pz4b), rocas intrusivas del paleozoico (Cpg) y del triásico-jurásico (TrJg). Se observa además secuencias sedimentarias del neógeno mioceno superior-plioceno (MP1m) y secuencias volcánicas del pleistoceno (Pl3t).</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Topocalma subsector Caleta Topocalma (20)</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por secuencias sedimentarias del cuaternario pleistoceno-holoceno (Q1), además de rocas intrusivas del paleozoico (Cpg).</w:t>
      </w:r>
    </w:p>
    <w:p w:rsidR="00414555" w:rsidRPr="00074EFD" w:rsidRDefault="00414555"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Sector Topocalma subsector Estero Hidango (21)</w:t>
      </w:r>
    </w:p>
    <w:p w:rsidR="00BC1064" w:rsidRPr="00074EFD" w:rsidRDefault="00BC1064" w:rsidP="00B51B51">
      <w:pPr>
        <w:widowControl w:val="0"/>
        <w:rPr>
          <w:rFonts w:cs="Arial"/>
          <w:szCs w:val="22"/>
        </w:rPr>
      </w:pPr>
    </w:p>
    <w:p w:rsidR="00BC1064" w:rsidRPr="00074EFD" w:rsidRDefault="00BC1064" w:rsidP="00B51B51">
      <w:pPr>
        <w:widowControl w:val="0"/>
        <w:rPr>
          <w:rFonts w:cs="Arial"/>
          <w:szCs w:val="22"/>
        </w:rPr>
      </w:pPr>
      <w:r w:rsidRPr="00074EFD">
        <w:rPr>
          <w:rFonts w:cs="Arial"/>
          <w:szCs w:val="22"/>
        </w:rPr>
        <w:t>Acuífero compuesto mayormente por secuencias sedimentarias del mioceno superior-plioceno (MP1m).</w:t>
      </w:r>
    </w:p>
    <w:p w:rsidR="00BC1064" w:rsidRPr="00074EFD" w:rsidRDefault="00BC1064" w:rsidP="00B51B51">
      <w:pPr>
        <w:widowControl w:val="0"/>
        <w:rPr>
          <w:rFonts w:cs="Arial"/>
          <w:szCs w:val="22"/>
        </w:rPr>
      </w:pPr>
    </w:p>
    <w:p w:rsidR="00BC1064" w:rsidRPr="00074EFD" w:rsidRDefault="00BC1064" w:rsidP="00145762">
      <w:pPr>
        <w:widowControl w:val="0"/>
        <w:numPr>
          <w:ilvl w:val="0"/>
          <w:numId w:val="17"/>
        </w:numPr>
        <w:tabs>
          <w:tab w:val="clear" w:pos="1065"/>
        </w:tabs>
        <w:ind w:hanging="1065"/>
        <w:rPr>
          <w:rFonts w:cs="Arial"/>
          <w:b/>
        </w:rPr>
      </w:pPr>
      <w:r w:rsidRPr="00074EFD">
        <w:rPr>
          <w:rFonts w:cs="Arial"/>
          <w:b/>
        </w:rPr>
        <w:t>Borde del Embalse Rapel (22)</w:t>
      </w:r>
    </w:p>
    <w:p w:rsidR="00BC1064" w:rsidRPr="00414555" w:rsidRDefault="00BC1064" w:rsidP="00B51B51">
      <w:pPr>
        <w:widowControl w:val="0"/>
        <w:rPr>
          <w:rFonts w:cs="Arial"/>
          <w:szCs w:val="22"/>
        </w:rPr>
      </w:pPr>
    </w:p>
    <w:p w:rsidR="00BC1064" w:rsidRDefault="00BC1064" w:rsidP="00B51B51">
      <w:pPr>
        <w:widowControl w:val="0"/>
        <w:rPr>
          <w:rFonts w:cs="Arial"/>
          <w:szCs w:val="22"/>
        </w:rPr>
      </w:pPr>
      <w:r w:rsidRPr="00414555">
        <w:rPr>
          <w:rFonts w:cs="Arial"/>
          <w:szCs w:val="22"/>
        </w:rPr>
        <w:t>Acuífero compuesto principalmente por rocas intrusivas del paleozoico (Cpg).</w:t>
      </w:r>
    </w:p>
    <w:p w:rsidR="00E073DC" w:rsidRDefault="00E073DC" w:rsidP="00B51B51">
      <w:pPr>
        <w:widowControl w:val="0"/>
        <w:rPr>
          <w:rFonts w:cs="Arial"/>
          <w:szCs w:val="22"/>
        </w:rPr>
      </w:pPr>
    </w:p>
    <w:p w:rsidR="00E073DC" w:rsidRPr="00414555" w:rsidRDefault="00E073DC" w:rsidP="00B51B51">
      <w:pPr>
        <w:widowControl w:val="0"/>
        <w:rPr>
          <w:rFonts w:cs="Arial"/>
          <w:szCs w:val="22"/>
        </w:rPr>
      </w:pPr>
    </w:p>
    <w:p w:rsidR="00BC1064" w:rsidRPr="00414555" w:rsidRDefault="00BC1064" w:rsidP="00B51B51">
      <w:pPr>
        <w:widowControl w:val="0"/>
        <w:rPr>
          <w:rFonts w:cs="Arial"/>
        </w:rPr>
      </w:pPr>
    </w:p>
    <w:p w:rsidR="00BC1064" w:rsidRPr="00414555" w:rsidRDefault="00F76146" w:rsidP="00B51B51">
      <w:pPr>
        <w:pStyle w:val="Ttulo2"/>
        <w:keepNext w:val="0"/>
        <w:rPr>
          <w:szCs w:val="24"/>
        </w:rPr>
      </w:pPr>
      <w:bookmarkStart w:id="99" w:name="_Toc336426461"/>
      <w:r>
        <w:rPr>
          <w:szCs w:val="24"/>
        </w:rPr>
        <w:br w:type="page"/>
      </w:r>
      <w:bookmarkStart w:id="100" w:name="_Toc344391766"/>
      <w:r w:rsidR="00BC1064" w:rsidRPr="00414555">
        <w:rPr>
          <w:szCs w:val="24"/>
        </w:rPr>
        <w:lastRenderedPageBreak/>
        <w:t>Descripción Hidrogeológica</w:t>
      </w:r>
      <w:bookmarkEnd w:id="99"/>
      <w:bookmarkEnd w:id="100"/>
    </w:p>
    <w:p w:rsidR="00BC1064" w:rsidRPr="00414555" w:rsidRDefault="00BC1064" w:rsidP="00B51B51">
      <w:pPr>
        <w:widowControl w:val="0"/>
        <w:rPr>
          <w:rFonts w:cs="Arial"/>
        </w:rPr>
      </w:pPr>
    </w:p>
    <w:p w:rsidR="00BC1064" w:rsidRDefault="00BC1064" w:rsidP="00B51B51">
      <w:pPr>
        <w:widowControl w:val="0"/>
        <w:rPr>
          <w:rFonts w:cs="Arial"/>
        </w:rPr>
      </w:pPr>
      <w:r w:rsidRPr="00414555">
        <w:rPr>
          <w:rFonts w:cs="Arial"/>
        </w:rPr>
        <w:t xml:space="preserve">La descripción hidrogeológica ha sido extraída de diversos estudios validados recientemente por </w:t>
      </w:r>
      <w:smartTag w:uri="urn:schemas-microsoft-com:office:smarttags" w:element="PersonName">
        <w:smartTagPr>
          <w:attr w:name="ProductID" w:val="la Dirección General"/>
        </w:smartTagPr>
        <w:r w:rsidRPr="00414555">
          <w:rPr>
            <w:rFonts w:cs="Arial"/>
          </w:rPr>
          <w:t>la Dirección General</w:t>
        </w:r>
      </w:smartTag>
      <w:r w:rsidRPr="00414555">
        <w:rPr>
          <w:rFonts w:cs="Arial"/>
        </w:rPr>
        <w:t xml:space="preserve"> de Aguas (Ref. </w:t>
      </w:r>
      <w:smartTag w:uri="urn:schemas-microsoft-com:office:smarttags" w:element="metricconverter">
        <w:smartTagPr>
          <w:attr w:name="ProductID" w:val="1 a"/>
        </w:smartTagPr>
        <w:r w:rsidRPr="00414555">
          <w:rPr>
            <w:rFonts w:cs="Arial"/>
          </w:rPr>
          <w:t>1 a</w:t>
        </w:r>
      </w:smartTag>
      <w:r w:rsidRPr="00414555">
        <w:rPr>
          <w:rFonts w:cs="Arial"/>
        </w:rPr>
        <w:t xml:space="preserve"> 13), así como también del Balance Hídrico de Chile de este mismo organismo.</w:t>
      </w:r>
    </w:p>
    <w:p w:rsidR="003E464B" w:rsidRPr="00414555" w:rsidRDefault="003E464B" w:rsidP="00B51B51">
      <w:pPr>
        <w:widowControl w:val="0"/>
        <w:rPr>
          <w:rFonts w:cs="Arial"/>
        </w:rPr>
      </w:pPr>
    </w:p>
    <w:p w:rsidR="00BC1064" w:rsidRPr="00414555" w:rsidRDefault="00BC1064" w:rsidP="003E464B">
      <w:pPr>
        <w:pStyle w:val="Ttulo3"/>
      </w:pPr>
      <w:bookmarkStart w:id="101" w:name="_Toc336426462"/>
      <w:bookmarkStart w:id="102" w:name="_Toc344391767"/>
      <w:r w:rsidRPr="00414555">
        <w:t>Acuífero Río Angostura</w:t>
      </w:r>
      <w:bookmarkEnd w:id="101"/>
      <w:bookmarkEnd w:id="102"/>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B51B51">
      <w:pPr>
        <w:widowControl w:val="0"/>
      </w:pPr>
      <w:r w:rsidRPr="00414555">
        <w:t xml:space="preserve">La cuenca de Angostura, ubicada al sur de la cuenca del Maipo, incluye como sus tributarios más importantes al estero Codegua y al río Peuco, recibiendo además los desagües de la depresión ocupada por la laguna de Aculeo y del estero Paine. En esta cuenca, el valle está dividido en dos sectores por el cordón cordillerano que forma la convergencia de las Cordilleras de </w:t>
      </w:r>
      <w:smartTag w:uri="urn:schemas-microsoft-com:office:smarttags" w:element="PersonName">
        <w:smartTagPr>
          <w:attr w:name="ProductID" w:val="la Costa"/>
        </w:smartTagPr>
        <w:r w:rsidRPr="00414555">
          <w:t>la Costa</w:t>
        </w:r>
      </w:smartTag>
      <w:r w:rsidRPr="00414555">
        <w:t xml:space="preserve"> y de Los Andes, a la altura del túnel Angostura en </w:t>
      </w:r>
      <w:smartTag w:uri="urn:schemas-microsoft-com:office:smarttags" w:element="PersonName">
        <w:smartTagPr>
          <w:attr w:name="ProductID" w:val="la Carretera Longitudinal"/>
        </w:smartTagPr>
        <w:r w:rsidRPr="00414555">
          <w:t>la Carretera Longitudinal</w:t>
        </w:r>
      </w:smartTag>
      <w:r w:rsidRPr="00414555">
        <w:t xml:space="preserve"> Sur.</w:t>
      </w:r>
    </w:p>
    <w:p w:rsidR="00BC1064" w:rsidRPr="00414555" w:rsidRDefault="00BC1064" w:rsidP="00B51B51">
      <w:pPr>
        <w:widowControl w:val="0"/>
      </w:pPr>
    </w:p>
    <w:p w:rsidR="00BC1064" w:rsidRDefault="00BC1064" w:rsidP="00B51B51">
      <w:pPr>
        <w:widowControl w:val="0"/>
      </w:pPr>
      <w:r w:rsidRPr="00414555">
        <w:t xml:space="preserve">En el área sur, formada por los esteros Codegua y río Peuco los rellenos son de tipo fluvial y fluvioglacial, con estratos acuíferos de granulometría heterogénea en que predominan gravas y arenas, ubicados a distintas profundidades y con potencias en general menores a </w:t>
      </w:r>
      <w:smartTag w:uri="urn:schemas-microsoft-com:office:smarttags" w:element="metricconverter">
        <w:smartTagPr>
          <w:attr w:name="ProductID" w:val="5 m"/>
        </w:smartTagPr>
        <w:r w:rsidRPr="00414555">
          <w:t>5 m</w:t>
        </w:r>
      </w:smartTag>
      <w:r w:rsidRPr="00414555">
        <w:t xml:space="preserve">, intercaladas con formaciones arcillosas que confinan las napas. El espesor del relleno en el área superaría los </w:t>
      </w:r>
      <w:smartTag w:uri="urn:schemas-microsoft-com:office:smarttags" w:element="metricconverter">
        <w:smartTagPr>
          <w:attr w:name="ProductID" w:val="150 m"/>
        </w:smartTagPr>
        <w:r w:rsidRPr="00414555">
          <w:t>150 m</w:t>
        </w:r>
      </w:smartTag>
      <w:r w:rsidRPr="00414555">
        <w:t xml:space="preserve">. </w:t>
      </w:r>
    </w:p>
    <w:p w:rsidR="003E464B" w:rsidRPr="00414555" w:rsidRDefault="003E464B" w:rsidP="00B51B51">
      <w:pPr>
        <w:widowControl w:val="0"/>
      </w:pPr>
    </w:p>
    <w:p w:rsidR="00BC1064" w:rsidRPr="00414555" w:rsidRDefault="00BC1064" w:rsidP="003E464B">
      <w:pPr>
        <w:pStyle w:val="Ttulo3"/>
      </w:pPr>
      <w:bookmarkStart w:id="103" w:name="_Toc336426463"/>
      <w:bookmarkStart w:id="104" w:name="_Toc344391768"/>
      <w:r w:rsidRPr="00414555">
        <w:t>Acuífero Río Cachapoal</w:t>
      </w:r>
      <w:bookmarkEnd w:id="103"/>
      <w:bookmarkEnd w:id="104"/>
    </w:p>
    <w:p w:rsidR="00BC1064" w:rsidRPr="00414555" w:rsidRDefault="00BC1064" w:rsidP="00B51B51">
      <w:pPr>
        <w:widowControl w:val="0"/>
        <w:rPr>
          <w:rFonts w:cs="Arial"/>
        </w:rPr>
      </w:pPr>
    </w:p>
    <w:p w:rsidR="00BC1064" w:rsidRPr="00414555" w:rsidRDefault="00BC1064" w:rsidP="00B51B51">
      <w:pPr>
        <w:widowControl w:val="0"/>
      </w:pPr>
      <w:r w:rsidRPr="00414555">
        <w:t>Desde el punto de vista hidrogeológico y para efectos de su descripción se puede dividir en tres sectores principales, ellos son Cachapoal Norte, Cachapoal Sur y Cachapoal Bajo.</w:t>
      </w:r>
    </w:p>
    <w:p w:rsidR="00BC1064" w:rsidRPr="00414555" w:rsidRDefault="00BC1064" w:rsidP="00B51B51">
      <w:pPr>
        <w:widowControl w:val="0"/>
      </w:pPr>
      <w:r w:rsidRPr="00414555">
        <w:t xml:space="preserve"> </w:t>
      </w:r>
    </w:p>
    <w:p w:rsidR="00BC1064" w:rsidRPr="00414555" w:rsidRDefault="00BC1064" w:rsidP="00B51B51">
      <w:pPr>
        <w:widowControl w:val="0"/>
      </w:pPr>
      <w:r w:rsidRPr="00414555">
        <w:t xml:space="preserve">Cachapoal Norte: Corresponde al sector del Valle Central Norte del río Cachapoal, al sur del estero Codegua. Incluye además el valle del estero </w:t>
      </w:r>
      <w:smartTag w:uri="urn:schemas-microsoft-com:office:smarttags" w:element="PersonName">
        <w:smartTagPr>
          <w:attr w:name="ProductID" w:val="La Cadena. Cachapoal"/>
        </w:smartTagPr>
        <w:r w:rsidRPr="00414555">
          <w:t>La Cadena. Cachapoal</w:t>
        </w:r>
      </w:smartTag>
      <w:r w:rsidRPr="00414555">
        <w:t xml:space="preserve"> Sur: Incluye el sector del valle central al sur del río Cachapoal y al norte de la localidad de Requínoa y el desarrollo del valle del Cachapoal aguas abajo de la confluencia con el estero </w:t>
      </w:r>
      <w:smartTag w:uri="urn:schemas-microsoft-com:office:smarttags" w:element="PersonName">
        <w:smartTagPr>
          <w:attr w:name="ProductID" w:val="La Cadena"/>
        </w:smartTagPr>
        <w:r w:rsidRPr="00414555">
          <w:t>La Cadena</w:t>
        </w:r>
      </w:smartTag>
      <w:r w:rsidRPr="00414555">
        <w:t xml:space="preserve"> hasta su encuentro con el río Claro de Rengo. Cachapoal Bajo: Corresponde al valle del río Cachapoal comprendido entre la confluencia de éste con el estero Zamorano cerca de la localidad de Peumo, hasta su desembocadura al Lago Rapel.</w:t>
      </w:r>
    </w:p>
    <w:p w:rsidR="00BC1064" w:rsidRPr="00414555" w:rsidRDefault="00BC1064" w:rsidP="00B51B51">
      <w:pPr>
        <w:widowControl w:val="0"/>
      </w:pPr>
    </w:p>
    <w:p w:rsidR="00BC1064" w:rsidRPr="00414555" w:rsidRDefault="00BC1064" w:rsidP="00B51B51">
      <w:pPr>
        <w:widowControl w:val="0"/>
      </w:pPr>
      <w:r w:rsidRPr="00414555">
        <w:t xml:space="preserve">En el primer sector el espesor total de los rellenos es superior a los </w:t>
      </w:r>
      <w:smartTag w:uri="urn:schemas-microsoft-com:office:smarttags" w:element="metricconverter">
        <w:smartTagPr>
          <w:attr w:name="ProductID" w:val="66 m"/>
        </w:smartTagPr>
        <w:r w:rsidRPr="00414555">
          <w:t>66 m</w:t>
        </w:r>
      </w:smartTag>
      <w:r w:rsidRPr="00414555">
        <w:t xml:space="preserve">, en la zona de Graneros, aumentando hacia el sur para llegar a la zona de Rancagua a espesores superiores a los </w:t>
      </w:r>
      <w:smartTag w:uri="urn:schemas-microsoft-com:office:smarttags" w:element="metricconverter">
        <w:smartTagPr>
          <w:attr w:name="ProductID" w:val="120 m"/>
        </w:smartTagPr>
        <w:r w:rsidRPr="00414555">
          <w:t>120 m</w:t>
        </w:r>
      </w:smartTag>
      <w:r w:rsidRPr="00414555">
        <w:t xml:space="preserve">. </w:t>
      </w:r>
    </w:p>
    <w:p w:rsidR="00BC1064" w:rsidRPr="00414555" w:rsidRDefault="00BC1064" w:rsidP="00B51B51">
      <w:pPr>
        <w:widowControl w:val="0"/>
      </w:pPr>
    </w:p>
    <w:p w:rsidR="00BC1064" w:rsidRDefault="00BC1064" w:rsidP="00B51B51">
      <w:pPr>
        <w:widowControl w:val="0"/>
      </w:pPr>
      <w:r w:rsidRPr="00414555">
        <w:t xml:space="preserve">Están compuestas por materiales fluviales del tipo gravas, arenas y arcillas, presentando estratos de distinta permeabilidad. En el sector norte el acuífero es semiconfinado ubicándose entre los 10 y </w:t>
      </w:r>
      <w:smartTag w:uri="urn:schemas-microsoft-com:office:smarttags" w:element="metricconverter">
        <w:smartTagPr>
          <w:attr w:name="ProductID" w:val="20 m"/>
        </w:smartTagPr>
        <w:r w:rsidRPr="00414555">
          <w:t>20</w:t>
        </w:r>
        <w:r w:rsidR="00CA5B05">
          <w:t xml:space="preserve"> </w:t>
        </w:r>
        <w:r w:rsidRPr="00414555">
          <w:t>m</w:t>
        </w:r>
      </w:smartTag>
      <w:r w:rsidRPr="00414555">
        <w:t xml:space="preserve"> de profundidad, bajo un estrato semipermeable de arcilla con grava y arena en menor proporción. Hacia el sur, en el sector de Rancagua, el acuífero principal corresponde al relleno superior de unos </w:t>
      </w:r>
      <w:smartTag w:uri="urn:schemas-microsoft-com:office:smarttags" w:element="metricconverter">
        <w:smartTagPr>
          <w:attr w:name="ProductID" w:val="80 m"/>
        </w:smartTagPr>
        <w:r w:rsidRPr="00414555">
          <w:t>80 m</w:t>
        </w:r>
      </w:smartTag>
      <w:r w:rsidRPr="00414555">
        <w:t xml:space="preserve"> de espesor formado por materiales gruesos del tipo grava y bolones, el que se desarrolla sobre estratos de menor permeabilidad compuestos por arenas finas, limo y arcilla en menor proporción. En el segundo sector se distinguen formaciones distintas en el valle central y en el valle medio del Cachapoal. </w:t>
      </w:r>
    </w:p>
    <w:p w:rsidR="00E073DC" w:rsidRPr="00414555" w:rsidRDefault="00E073DC" w:rsidP="00B51B51">
      <w:pPr>
        <w:widowControl w:val="0"/>
      </w:pPr>
    </w:p>
    <w:p w:rsidR="00BC1064" w:rsidRPr="00414555" w:rsidRDefault="00BC1064" w:rsidP="00B51B51">
      <w:pPr>
        <w:widowControl w:val="0"/>
      </w:pPr>
      <w:r w:rsidRPr="00414555">
        <w:t xml:space="preserve">El sector del valle central al sur de Rancagua no difiere significativamente del primer sector. El espesor del relleno es superior a los </w:t>
      </w:r>
      <w:smartTag w:uri="urn:schemas-microsoft-com:office:smarttags" w:element="metricconverter">
        <w:smartTagPr>
          <w:attr w:name="ProductID" w:val="130 m"/>
        </w:smartTagPr>
        <w:r w:rsidRPr="00414555">
          <w:t>130 m</w:t>
        </w:r>
      </w:smartTag>
      <w:r w:rsidRPr="00414555">
        <w:t xml:space="preserve">, formados por estratos de distinta permeabilidad, distinguiéndose en todos ellos bolones, ripio, arena y conglomerados </w:t>
      </w:r>
      <w:r w:rsidRPr="00414555">
        <w:lastRenderedPageBreak/>
        <w:t xml:space="preserve">arcillosos en variadas proporciones y distintas profundidades. Esta situación se mantiene en el desarrollo del Cachapoal medio entre la desembocadura del estero </w:t>
      </w:r>
      <w:smartTag w:uri="urn:schemas-microsoft-com:office:smarttags" w:element="PersonName">
        <w:smartTagPr>
          <w:attr w:name="ProductID" w:val="La Cadena"/>
        </w:smartTagPr>
        <w:r w:rsidRPr="00414555">
          <w:t>La Cadena</w:t>
        </w:r>
      </w:smartTag>
      <w:r w:rsidRPr="00414555">
        <w:t xml:space="preserve"> y la confluencia con el río Claro de Rengo, variando exclusivamente el espesor del relleno, el que de acuerdo a los sondajes del sector sería del orden de </w:t>
      </w:r>
      <w:smartTag w:uri="urn:schemas-microsoft-com:office:smarttags" w:element="metricconverter">
        <w:smartTagPr>
          <w:attr w:name="ProductID" w:val="60 a"/>
        </w:smartTagPr>
        <w:r w:rsidRPr="00414555">
          <w:t>60 a</w:t>
        </w:r>
      </w:smartTag>
      <w:r w:rsidRPr="00414555">
        <w:t xml:space="preserve"> </w:t>
      </w:r>
      <w:smartTag w:uri="urn:schemas-microsoft-com:office:smarttags" w:element="metricconverter">
        <w:smartTagPr>
          <w:attr w:name="ProductID" w:val="70 m"/>
        </w:smartTagPr>
        <w:r w:rsidRPr="00414555">
          <w:t>70 m</w:t>
        </w:r>
      </w:smartTag>
      <w:r w:rsidRPr="00414555">
        <w:t>. El acuífero principal en esta zona se ubica más superficialmente en relación a como se presenta en el valle central, distinguiéndose zonas donde éste es freático y otras en que es semiconfinado, estando formado principalmente por materiales fluviales del tipo grava, arena y arcilla.</w:t>
      </w:r>
    </w:p>
    <w:p w:rsidR="00BC1064" w:rsidRPr="00414555" w:rsidRDefault="00BC1064" w:rsidP="00B51B51">
      <w:pPr>
        <w:widowControl w:val="0"/>
      </w:pPr>
    </w:p>
    <w:p w:rsidR="00BC1064" w:rsidRPr="00414555" w:rsidRDefault="00BC1064" w:rsidP="00B51B51">
      <w:pPr>
        <w:widowControl w:val="0"/>
      </w:pPr>
      <w:r w:rsidRPr="00414555">
        <w:t xml:space="preserve">En el tercer sector el espesor total de los rellenos supera en general los </w:t>
      </w:r>
      <w:smartTag w:uri="urn:schemas-microsoft-com:office:smarttags" w:element="metricconverter">
        <w:smartTagPr>
          <w:attr w:name="ProductID" w:val="80 m"/>
        </w:smartTagPr>
        <w:r w:rsidRPr="00414555">
          <w:t>80 m</w:t>
        </w:r>
      </w:smartTag>
      <w:r w:rsidRPr="00414555">
        <w:t>, apareciendo una secuencia más bien fina que le confiere al acuífero características de semi confinamiento. En la cabecera del valle se distingue un acuífero superior formado por materiales finos del tipo arenas y arcilla, seguido de un estrato inferior de sedimentos gruesos del tipo gravas y bolones. Hacia aguas abajo desaparece la secuencia gruesa quedando sólo materiales finos estratificados en mezclas heterogéneas de distinta permeabilidad. En el sector de Las Cabras el acuífero es semiconfinado encontrándose el acuífero principal bajo una secuencia de sedimentos aluviales de baja permeabilidad.</w:t>
      </w:r>
    </w:p>
    <w:p w:rsidR="00BC1064" w:rsidRPr="00414555" w:rsidRDefault="00BC1064" w:rsidP="00B51B51">
      <w:pPr>
        <w:widowControl w:val="0"/>
      </w:pPr>
    </w:p>
    <w:p w:rsidR="00BC1064" w:rsidRPr="00414555" w:rsidRDefault="00BC1064" w:rsidP="00B51B51">
      <w:pPr>
        <w:widowControl w:val="0"/>
      </w:pPr>
      <w:r w:rsidRPr="00414555">
        <w:t>En las proximidades de la ciudad de Rancagua, las aguas subterráneas provienen del este, para luego curvarse en dirección suroeste (donde una parte fluye hacia el valle inferior del río</w:t>
      </w:r>
    </w:p>
    <w:p w:rsidR="00BC1064" w:rsidRPr="00414555" w:rsidRDefault="00BC1064" w:rsidP="00B51B51">
      <w:pPr>
        <w:widowControl w:val="0"/>
      </w:pPr>
      <w:r w:rsidRPr="00414555">
        <w:t>Cachapoal, aguas abajo de Punta Cortés) y posteriormente escurrir en dirección sur para encontrarse con las aguas que provienen del valle superior del río Claro y tomar dirección oeste hasta la confluencia del río Cachapoal con el río Claro.</w:t>
      </w:r>
    </w:p>
    <w:p w:rsidR="00BC1064" w:rsidRPr="00414555" w:rsidRDefault="00BC1064" w:rsidP="00B51B51">
      <w:pPr>
        <w:widowControl w:val="0"/>
      </w:pPr>
    </w:p>
    <w:p w:rsidR="00BC1064" w:rsidRPr="00414555" w:rsidRDefault="00BC1064" w:rsidP="00B51B51">
      <w:pPr>
        <w:widowControl w:val="0"/>
      </w:pPr>
      <w:r w:rsidRPr="00414555">
        <w:t xml:space="preserve">Unos </w:t>
      </w:r>
      <w:smartTag w:uri="urn:schemas-microsoft-com:office:smarttags" w:element="metricconverter">
        <w:smartTagPr>
          <w:attr w:name="ProductID" w:val="5 km"/>
        </w:smartTagPr>
        <w:r w:rsidRPr="00414555">
          <w:t>5 km</w:t>
        </w:r>
      </w:smartTag>
      <w:r w:rsidRPr="00414555">
        <w:t xml:space="preserve"> más abajo se juntan con los flujos subterráneos que vienen bajo el estero Zamorano. Desde aquí hacia el embalse Rapel, el agua se sigue moviendo en la misma dirección que el río Cachapoal, aunque cada vez con un gradiente menor. En el estero Zamorano, el flujo subterráneo va de este a oeste, pero con un gradiente menor que los dos ríos principales (Cachapoal y Claro).</w:t>
      </w:r>
    </w:p>
    <w:p w:rsidR="00BC1064" w:rsidRPr="00414555" w:rsidRDefault="00BC1064" w:rsidP="00B51B51">
      <w:pPr>
        <w:widowControl w:val="0"/>
      </w:pPr>
    </w:p>
    <w:p w:rsidR="00BC1064" w:rsidRPr="00414555" w:rsidRDefault="00BC1064" w:rsidP="00B51B51">
      <w:pPr>
        <w:widowControl w:val="0"/>
      </w:pPr>
      <w:r w:rsidRPr="00414555">
        <w:t>Básicamente, la conductividad en la zona de la depresión central va aumentando de norte a sur, empezando en el sector de Angostura donde las conductividades medidas en pozos varían en torno a 1 m/día, y alcanzando un valor máximo muy variable entre Rancagua y Rengo, donde los valores extremos son 7,49 m/día (pozo E139, Fundo El Nogal, sector Rinconada de Malambo) y 199,74 m/día (pozo E141, Gener S.A.).</w:t>
      </w:r>
    </w:p>
    <w:p w:rsidR="00BC1064" w:rsidRPr="00414555" w:rsidRDefault="00BC1064" w:rsidP="00B51B51">
      <w:pPr>
        <w:widowControl w:val="0"/>
      </w:pPr>
    </w:p>
    <w:p w:rsidR="00BC1064" w:rsidRPr="00414555" w:rsidRDefault="00BC1064" w:rsidP="00B51B51">
      <w:pPr>
        <w:widowControl w:val="0"/>
      </w:pPr>
      <w:r w:rsidRPr="00414555">
        <w:t xml:space="preserve">Cuando la cuenca comienza a atravesar </w:t>
      </w:r>
      <w:smartTag w:uri="urn:schemas-microsoft-com:office:smarttags" w:element="PersonName">
        <w:smartTagPr>
          <w:attr w:name="ProductID" w:val="la Cordillera"/>
        </w:smartTagPr>
        <w:r w:rsidRPr="00414555">
          <w:t>la Cordillera</w:t>
        </w:r>
      </w:smartTag>
      <w:r w:rsidRPr="00414555">
        <w:t xml:space="preserve"> de </w:t>
      </w:r>
      <w:smartTag w:uri="urn:schemas-microsoft-com:office:smarttags" w:element="PersonName">
        <w:smartTagPr>
          <w:attr w:name="ProductID" w:val="la Costa"/>
        </w:smartTagPr>
        <w:r w:rsidRPr="00414555">
          <w:t>la Costa</w:t>
        </w:r>
      </w:smartTag>
      <w:r w:rsidRPr="00414555">
        <w:t xml:space="preserve">, la conductividad comienza a disminuir progresivamente, pasando desde valores cercanos a 100 m/día en la depresión central, pasando por valores variables entre 2,76 y 42,26 m/día en </w:t>
      </w:r>
      <w:smartTag w:uri="urn:schemas-microsoft-com:office:smarttags" w:element="PersonName">
        <w:smartTagPr>
          <w:attr w:name="ProductID" w:val="la Comuna"/>
        </w:smartTagPr>
        <w:r w:rsidRPr="00414555">
          <w:t>la Comuna</w:t>
        </w:r>
      </w:smartTag>
      <w:r w:rsidRPr="00414555">
        <w:t xml:space="preserve"> de Coltauco (pozos E105, Fundo Parrales, sector Loreto, y E102, Herto Sta. Rosa, respectivamente), y mostrando una disminución lenta pero constante desde Peumo (valores entre 20,38 y 62,5 m/día) hasta el embalse Rapel, donde se estima una permeabilidad de 0,62 m/día (Pozo E117, José Jorquera Diaz).</w:t>
      </w:r>
    </w:p>
    <w:p w:rsidR="00BC1064" w:rsidRPr="00414555" w:rsidRDefault="00BC1064" w:rsidP="00B51B51">
      <w:pPr>
        <w:widowControl w:val="0"/>
      </w:pPr>
    </w:p>
    <w:p w:rsidR="00BC1064" w:rsidRDefault="00BC1064" w:rsidP="00B51B51">
      <w:pPr>
        <w:widowControl w:val="0"/>
      </w:pPr>
      <w:r w:rsidRPr="00414555">
        <w:t>En el estero Zamorano, las conductividades medidas en pozos pasan desde valores cercanos a 1,3 m/día en la parte más alta, a valores que varían en torno a 24 m/día en la parte media, llegando a valores de gran variabilidad cerca de San Vicente de Tagua Tagua (entre 0,59 y 105,40 m/día). Las pruebas de bombeo mostraron conductividades más bajas en los sectores donde entran ríos y esteros a la cuenca. Los valores típicos medidos se ubican entre 1 y 15 m/día.</w:t>
      </w:r>
    </w:p>
    <w:p w:rsidR="003E464B" w:rsidRPr="00414555" w:rsidRDefault="003E464B" w:rsidP="00B51B51">
      <w:pPr>
        <w:widowControl w:val="0"/>
      </w:pPr>
    </w:p>
    <w:p w:rsidR="00BC1064" w:rsidRPr="00414555" w:rsidRDefault="00BC1064" w:rsidP="003E464B">
      <w:pPr>
        <w:pStyle w:val="Ttulo3"/>
      </w:pPr>
      <w:bookmarkStart w:id="105" w:name="_Toc336426464"/>
      <w:bookmarkStart w:id="106" w:name="_Toc344391769"/>
      <w:r w:rsidRPr="00414555">
        <w:lastRenderedPageBreak/>
        <w:t>Acuífero Estero Alhué</w:t>
      </w:r>
      <w:bookmarkEnd w:id="105"/>
      <w:bookmarkEnd w:id="106"/>
    </w:p>
    <w:p w:rsidR="00BC1064" w:rsidRPr="00414555" w:rsidRDefault="00BC1064" w:rsidP="00B51B51">
      <w:pPr>
        <w:widowControl w:val="0"/>
        <w:rPr>
          <w:rFonts w:cs="Arial"/>
        </w:rPr>
      </w:pPr>
    </w:p>
    <w:p w:rsidR="00BC1064" w:rsidRPr="00414555" w:rsidRDefault="00BC1064" w:rsidP="00B51B51">
      <w:pPr>
        <w:widowControl w:val="0"/>
        <w:autoSpaceDE w:val="0"/>
        <w:autoSpaceDN w:val="0"/>
        <w:adjustRightInd w:val="0"/>
        <w:rPr>
          <w:rFonts w:cs="Arial"/>
        </w:rPr>
      </w:pPr>
      <w:r w:rsidRPr="00414555">
        <w:rPr>
          <w:rFonts w:cs="Arial"/>
          <w:lang w:val="es-CL" w:eastAsia="es-CL"/>
        </w:rPr>
        <w:t xml:space="preserve">La cuenca del estero Alhué se caracteriza por un espesor de relleno creciente desde las cabeceras de los esteros hacia el embalse Rapel. </w:t>
      </w:r>
      <w:r w:rsidRPr="00414555">
        <w:rPr>
          <w:rFonts w:cs="Arial"/>
        </w:rPr>
        <w:t xml:space="preserve">La cuenca puede ser caracterizada casi completamente por dos estratos; uno superior, caracterizado por una granulometría media a gruesa, contenido bajo de arcilla y un espesor aproximado de </w:t>
      </w:r>
      <w:smartTag w:uri="urn:schemas-microsoft-com:office:smarttags" w:element="metricconverter">
        <w:smartTagPr>
          <w:attr w:name="ProductID" w:val="50 m"/>
        </w:smartTagPr>
        <w:r w:rsidRPr="00414555">
          <w:rPr>
            <w:rFonts w:cs="Arial"/>
          </w:rPr>
          <w:t>50 m</w:t>
        </w:r>
      </w:smartTag>
      <w:r w:rsidRPr="00414555">
        <w:rPr>
          <w:rFonts w:cs="Arial"/>
        </w:rPr>
        <w:t>, y otro inferior. El estrato inferior está formado por una intercalación de sedimentos que pueden ser diferenciados por su granulometría, en la cual, hacia la cabecera de los esteros, los niveles más gruesos se hacen progresivamente menos abundantes, haciendo que este nivel esté constituido principalmente por sedimentos de granulometría fina.</w:t>
      </w:r>
    </w:p>
    <w:p w:rsidR="00BC1064" w:rsidRPr="00D91E96"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 xml:space="preserve">En la parte alta de la cuenca del estero Las Palmas, sobre el estrato superior se encuentra un tercer estrato, también caracterizado por un contenido muy alto de arcillas. Por otro lado, cerca del embalse Rapel, y especialmente en el estero Alhué, aparece un estrato de granulometría predominantemente fina, incluido dentro del estrato superior, con un espesor máximo cercano a </w:t>
      </w:r>
      <w:smartTag w:uri="urn:schemas-microsoft-com:office:smarttags" w:element="metricconverter">
        <w:smartTagPr>
          <w:attr w:name="ProductID" w:val="15 m"/>
        </w:smartTagPr>
        <w:r w:rsidRPr="00414555">
          <w:rPr>
            <w:rFonts w:cs="Arial"/>
          </w:rPr>
          <w:t>15 m</w:t>
        </w:r>
      </w:smartTag>
      <w:r w:rsidRPr="00414555">
        <w:rPr>
          <w:rFonts w:cs="Arial"/>
        </w:rPr>
        <w:t>. Es probable que estos dos estratos le den al acuífero un grado de confinamiento local en algunos sectores.</w:t>
      </w:r>
    </w:p>
    <w:p w:rsidR="00BC1064" w:rsidRPr="00D91E96" w:rsidRDefault="00BC1064" w:rsidP="00B51B51">
      <w:pPr>
        <w:widowControl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En la cuenca del estero Alhué sólo se calculó una conductividad, cuyo valor fue 16,25 m/día (Fundo Valdebenito). En la cuenca del estero Las Palmas, se midieron dos conductividades, cuyos valores variaban en torno a 3 m/día.</w:t>
      </w:r>
    </w:p>
    <w:p w:rsidR="00BC1064" w:rsidRPr="00D91E96" w:rsidRDefault="00BC1064" w:rsidP="00B51B51">
      <w:pPr>
        <w:widowControl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La cuenca completa se caracteriza por un importante gradiente hidráulico en la parte alta de las subcuencas, que disminuye al acercarse al embalse Rapel, haciéndose mucho más notorio a partir del estero Pululo, en la subcuenca Alhué, y desde el estero Quilicura, en la subcuenca Las Palmas. El escurrimiento ocurre desde las cabeceras de la cuenca hacia el embalse Rapel.</w:t>
      </w:r>
    </w:p>
    <w:p w:rsidR="00BC1064" w:rsidRPr="00D91E96"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lang w:val="es-CL" w:eastAsia="es-CL"/>
        </w:rPr>
        <w:t>En el informe técnico SDT 209, se definió una serie de sectores hidrogeológicos de interés asociados a los valles de Alhué, Cachapoal y Tinguiririca, en base a criterios hidrogeológicos, hidrológicos, geomorfológicos y de modelación numérica. Para el caso del valle de Alhué los sectores se describen a continuación:</w:t>
      </w:r>
    </w:p>
    <w:p w:rsidR="00BC1064" w:rsidRPr="00414555" w:rsidRDefault="00BC1064" w:rsidP="00B51B51">
      <w:pPr>
        <w:widowControl w:val="0"/>
        <w:rPr>
          <w:rFonts w:cs="Aria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Las Palmas: Este sector acuífero está asociado a la cuenca del estero Las Palmas. </w:t>
      </w: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Alhué: Este sector corresponde al relleno acuífero asociado al estero Alhúe hasta la desembocadura al embalse Rapel.</w:t>
      </w:r>
    </w:p>
    <w:p w:rsidR="00BC1064" w:rsidRPr="00E073DC" w:rsidRDefault="00BC1064" w:rsidP="00B51B51">
      <w:pPr>
        <w:widowControl w:val="0"/>
        <w:autoSpaceDE w:val="0"/>
        <w:autoSpaceDN w:val="0"/>
        <w:adjustRightInd w:val="0"/>
        <w:rPr>
          <w:rFonts w:cs="Arial"/>
          <w:sz w:val="26"/>
          <w:lang w:val="es-CL" w:eastAsia="es-CL"/>
        </w:rPr>
      </w:pPr>
    </w:p>
    <w:p w:rsidR="00BC1064" w:rsidRPr="00414555" w:rsidRDefault="00BC1064" w:rsidP="00D91E96">
      <w:pPr>
        <w:pStyle w:val="Ttulo3"/>
      </w:pPr>
      <w:bookmarkStart w:id="107" w:name="_Toc336426465"/>
      <w:bookmarkStart w:id="108" w:name="_Toc344391770"/>
      <w:r w:rsidRPr="00414555">
        <w:t>Acuífero Río Tinguiririca</w:t>
      </w:r>
      <w:bookmarkEnd w:id="107"/>
      <w:bookmarkEnd w:id="108"/>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 xml:space="preserve">En el valle central el acuífero es freático, está formado fundamentalmente por materiales fluviales del tipo gravas y arenas. El espesor total del relleno es superior a </w:t>
      </w:r>
      <w:smartTag w:uri="urn:schemas-microsoft-com:office:smarttags" w:element="metricconverter">
        <w:smartTagPr>
          <w:attr w:name="ProductID" w:val="40 m"/>
        </w:smartTagPr>
        <w:r w:rsidRPr="00414555">
          <w:rPr>
            <w:rFonts w:cs="Arial"/>
          </w:rPr>
          <w:t>40 m</w:t>
        </w:r>
      </w:smartTag>
      <w:r w:rsidRPr="00414555">
        <w:rPr>
          <w:rFonts w:cs="Arial"/>
        </w:rPr>
        <w:t xml:space="preserve">, de los cuales el acuífero principal ocupa del orden de </w:t>
      </w:r>
      <w:smartTag w:uri="urn:schemas-microsoft-com:office:smarttags" w:element="metricconverter">
        <w:smartTagPr>
          <w:attr w:name="ProductID" w:val="25 m"/>
        </w:smartTagPr>
        <w:r w:rsidRPr="00414555">
          <w:rPr>
            <w:rFonts w:cs="Arial"/>
          </w:rPr>
          <w:t>25 m</w:t>
        </w:r>
      </w:smartTag>
      <w:r w:rsidRPr="00414555">
        <w:rPr>
          <w:rFonts w:cs="Arial"/>
        </w:rPr>
        <w:t xml:space="preserve">. Bajo él se dispone una secuencia aluvial de estratos de distinta permeabilidad. Hacia el poniente aumenta el espesor total de los rellenos, particularmente en el centro del valle, alcanzando a la altura de Santa Cruz espesores superiores a los </w:t>
      </w:r>
      <w:smartTag w:uri="urn:schemas-microsoft-com:office:smarttags" w:element="metricconverter">
        <w:smartTagPr>
          <w:attr w:name="ProductID" w:val="130 m"/>
        </w:smartTagPr>
        <w:r w:rsidRPr="00414555">
          <w:rPr>
            <w:rFonts w:cs="Arial"/>
          </w:rPr>
          <w:t>130 m</w:t>
        </w:r>
      </w:smartTag>
      <w:r w:rsidRPr="00414555">
        <w:rPr>
          <w:rFonts w:cs="Arial"/>
        </w:rPr>
        <w:t>. En este sector el acuífero está formado por múltiples estratificaciones de distinta permeabilidad, con mezclas heterogéneas de ripios y arenas con arcilla en diversas proporciones.</w:t>
      </w:r>
    </w:p>
    <w:p w:rsidR="00BC1064" w:rsidRPr="00E073DC" w:rsidRDefault="00BC1064" w:rsidP="00B51B51">
      <w:pPr>
        <w:widowControl w:val="0"/>
        <w:autoSpaceDE w:val="0"/>
        <w:autoSpaceDN w:val="0"/>
        <w:adjustRightInd w:val="0"/>
        <w:rPr>
          <w:rFonts w:cs="Arial"/>
          <w:sz w:val="24"/>
        </w:rPr>
      </w:pPr>
    </w:p>
    <w:p w:rsidR="00BC1064" w:rsidRPr="00414555" w:rsidRDefault="00BC1064" w:rsidP="00B51B51">
      <w:pPr>
        <w:widowControl w:val="0"/>
        <w:autoSpaceDE w:val="0"/>
        <w:autoSpaceDN w:val="0"/>
        <w:adjustRightInd w:val="0"/>
        <w:rPr>
          <w:rFonts w:cs="Arial"/>
        </w:rPr>
      </w:pPr>
      <w:r w:rsidRPr="00414555">
        <w:rPr>
          <w:rFonts w:cs="Arial"/>
        </w:rPr>
        <w:t xml:space="preserve">El resto del valle presenta características similares disminuyendo sólo el espesor de los rellenos, los que no superan los </w:t>
      </w:r>
      <w:smartTag w:uri="urn:schemas-microsoft-com:office:smarttags" w:element="metricconverter">
        <w:smartTagPr>
          <w:attr w:name="ProductID" w:val="70 m"/>
        </w:smartTagPr>
        <w:r w:rsidRPr="00414555">
          <w:rPr>
            <w:rFonts w:cs="Arial"/>
          </w:rPr>
          <w:t>70 m</w:t>
        </w:r>
      </w:smartTag>
      <w:r w:rsidRPr="00414555">
        <w:rPr>
          <w:rFonts w:cs="Arial"/>
        </w:rPr>
        <w:t xml:space="preserve">. La margen occidental del valle presenta una </w:t>
      </w:r>
      <w:r w:rsidRPr="00414555">
        <w:rPr>
          <w:rFonts w:cs="Arial"/>
        </w:rPr>
        <w:lastRenderedPageBreak/>
        <w:t>secuencia estratigráfica más fina, con arcilla y poca arena en la superficie y limos con arcilla en los estratos inferiores.</w:t>
      </w:r>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En el sector alto de la cuenca las conductividades medidas en las pruebas de bombeo varían dentro de un amplio rango, entre 2,06 y 49,70 m/día (pozos E143, San Esteban-Los Lingues, y E109, Parcela nº8, San Antonio, respectivamente). Los valores más altos son los que se observan inmediatamente al sur del río Tinguiririca, decreciendo hacia el sur. Al sur de esta entrada se encuentran los valores más bajos del área.</w:t>
      </w:r>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 xml:space="preserve">Hacia el norte del río Tinguiririca se observan valores decrecientes, aproximadamente desde 20 hasta 2 m/día. Donde el río entra a la cuenca, se midieron valores de conductividad variables entre 3,50 y 89,24 m/día (pozos E144, Reserva El Chascón, sector </w:t>
      </w:r>
      <w:smartTag w:uri="urn:schemas-microsoft-com:office:smarttags" w:element="PersonName">
        <w:smartTagPr>
          <w:attr w:name="ProductID" w:val="La Palma"/>
        </w:smartTagPr>
        <w:r w:rsidRPr="00414555">
          <w:rPr>
            <w:rFonts w:cs="Arial"/>
          </w:rPr>
          <w:t>La Palma</w:t>
        </w:r>
      </w:smartTag>
      <w:r w:rsidRPr="00414555">
        <w:rPr>
          <w:rFonts w:cs="Arial"/>
        </w:rPr>
        <w:t>, y E147, Hospital San Fernando). Sin embargo, después de este sector nuevamente se observa valores más bajos, que varían entre 8,18 y 15,16 m/día. En la cuenca del estero Chimbarongo, el único pozo medido muestra una conductividad de 24,65 m/día.</w:t>
      </w:r>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Desde Santa Cruz hacia abajo, se midieron valores de conductividad variables entre 3 y 7 m/día cerca de la confluencia del río Tinguiririca y el estero Chimbarongo. Más abajo los valores vuelven a aumentar, aunque sólo en los pozos ubicados cerca del río. Esta última zona se caracteriza por una importante variabilidad de los valores medidos de la conductividad, alcanzando valores extremos de 0,17 y 24,99 m/día (pozos E562, Ganadera y Forestal Nacional, y E561, Soc. Agrícola Las Pataguas Ltda., respectivamente).</w:t>
      </w:r>
    </w:p>
    <w:p w:rsidR="00BC1064" w:rsidRPr="00414555" w:rsidRDefault="00BC1064" w:rsidP="00B51B51">
      <w:pPr>
        <w:widowControl w:val="0"/>
        <w:autoSpaceDE w:val="0"/>
        <w:autoSpaceDN w:val="0"/>
        <w:adjustRightInd w:val="0"/>
        <w:rPr>
          <w:rFonts w:cs="Arial"/>
        </w:rPr>
      </w:pPr>
    </w:p>
    <w:p w:rsidR="00BC1064" w:rsidRDefault="00BC1064" w:rsidP="00B51B51">
      <w:pPr>
        <w:widowControl w:val="0"/>
        <w:autoSpaceDE w:val="0"/>
        <w:autoSpaceDN w:val="0"/>
        <w:adjustRightInd w:val="0"/>
        <w:rPr>
          <w:rFonts w:cs="Arial"/>
        </w:rPr>
      </w:pPr>
      <w:r w:rsidRPr="00414555">
        <w:rPr>
          <w:rFonts w:cs="Arial"/>
        </w:rPr>
        <w:t>En algunas subcuencas laterales pequeñas se midieron conductividades variables entre 0,36 y 6,33 m/día (pozos E565, Inversiones Los Culenes Ltda., y E154, Sector Los Boldos, respectivamente). De estos valores, los más bajos son aquellos que se midieron en la parte baja de la cuenca.</w:t>
      </w:r>
    </w:p>
    <w:p w:rsidR="00D91E96" w:rsidRPr="00414555" w:rsidRDefault="00D91E96" w:rsidP="00B51B51">
      <w:pPr>
        <w:widowControl w:val="0"/>
        <w:autoSpaceDE w:val="0"/>
        <w:autoSpaceDN w:val="0"/>
        <w:adjustRightInd w:val="0"/>
        <w:rPr>
          <w:rFonts w:cs="Arial"/>
        </w:rPr>
      </w:pPr>
    </w:p>
    <w:p w:rsidR="00BC1064" w:rsidRPr="00414555" w:rsidRDefault="00BC1064" w:rsidP="00D91E96">
      <w:pPr>
        <w:pStyle w:val="Ttulo3"/>
      </w:pPr>
      <w:bookmarkStart w:id="109" w:name="_Toc336426466"/>
      <w:bookmarkStart w:id="110" w:name="_Toc344391771"/>
      <w:r w:rsidRPr="00414555">
        <w:t>Acuífero Río Nilahue</w:t>
      </w:r>
      <w:bookmarkEnd w:id="109"/>
      <w:bookmarkEnd w:id="110"/>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Constituido por depósitos fluviales actuales del estero Nilahue y sus afluentes, junto con depósitos fluviales de valles interserranos, los que conforman un acuífero de carácter libre.</w:t>
      </w:r>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Las captaciones localizadas en este acuífero son principalmente pozos de profundidades variables de 60-</w:t>
      </w:r>
      <w:smartTag w:uri="urn:schemas-microsoft-com:office:smarttags" w:element="metricconverter">
        <w:smartTagPr>
          <w:attr w:name="ProductID" w:val="80 m"/>
        </w:smartTagPr>
        <w:r w:rsidRPr="00414555">
          <w:rPr>
            <w:rFonts w:cs="Arial"/>
          </w:rPr>
          <w:t>80 m</w:t>
        </w:r>
      </w:smartTag>
      <w:r w:rsidRPr="00414555">
        <w:rPr>
          <w:rFonts w:cs="Arial"/>
        </w:rPr>
        <w:t xml:space="preserve"> hasta </w:t>
      </w:r>
      <w:smartTag w:uri="urn:schemas-microsoft-com:office:smarttags" w:element="metricconverter">
        <w:smartTagPr>
          <w:attr w:name="ProductID" w:val="100 m"/>
        </w:smartTagPr>
        <w:r w:rsidRPr="00414555">
          <w:rPr>
            <w:rFonts w:cs="Arial"/>
          </w:rPr>
          <w:t>100 m</w:t>
        </w:r>
      </w:smartTag>
      <w:r w:rsidRPr="00414555">
        <w:rPr>
          <w:rFonts w:cs="Arial"/>
        </w:rPr>
        <w:t xml:space="preserve"> de profundidad, habilitados casi todos en su totalidad. Los caudales obtenidos son variables, dependiendo del tipo de captación y su ubicación, llegando a obtener caudales de extracción de hasta 36 l/s. Las norias se ubican principalmente en los depósitos fluviales, cerca del lecho del estero Nilahue. Los caudales obtenidos por este tipo de captaciones oscilan entre 2 y 3 l/s.</w:t>
      </w:r>
    </w:p>
    <w:p w:rsidR="00D91E96" w:rsidRPr="00414555" w:rsidRDefault="00D91E96" w:rsidP="00B51B51">
      <w:pPr>
        <w:widowControl w:val="0"/>
        <w:autoSpaceDE w:val="0"/>
        <w:autoSpaceDN w:val="0"/>
        <w:adjustRightInd w:val="0"/>
        <w:rPr>
          <w:rFonts w:cs="Arial"/>
        </w:rPr>
      </w:pPr>
    </w:p>
    <w:p w:rsidR="00BC1064" w:rsidRDefault="00BC1064" w:rsidP="00B51B51">
      <w:pPr>
        <w:widowControl w:val="0"/>
        <w:autoSpaceDE w:val="0"/>
        <w:autoSpaceDN w:val="0"/>
        <w:adjustRightInd w:val="0"/>
        <w:rPr>
          <w:rFonts w:cs="Arial"/>
        </w:rPr>
      </w:pPr>
      <w:r w:rsidRPr="00414555">
        <w:rPr>
          <w:rFonts w:cs="Arial"/>
        </w:rPr>
        <w:t>Cabe mencionar, que en el sector de la desembocadura, el valle se estrecha y disminuye gradualmente la potencia de sus sedimentos. Las captaciones en este sector, también se reducen en número y corresponden principalmente a punteras, utilizadas para el abastecimiento de agua potable de Pichilemu.</w:t>
      </w:r>
    </w:p>
    <w:p w:rsidR="00CA5B05" w:rsidRPr="00414555" w:rsidRDefault="00CA5B05" w:rsidP="00B51B51">
      <w:pPr>
        <w:widowControl w:val="0"/>
        <w:autoSpaceDE w:val="0"/>
        <w:autoSpaceDN w:val="0"/>
        <w:adjustRightInd w:val="0"/>
        <w:rPr>
          <w:rFonts w:cs="Arial"/>
        </w:rPr>
      </w:pPr>
    </w:p>
    <w:p w:rsidR="00BC1064" w:rsidRPr="00414555" w:rsidRDefault="00BC1064" w:rsidP="00CA5B05">
      <w:pPr>
        <w:pStyle w:val="Ttulo3"/>
      </w:pPr>
      <w:bookmarkStart w:id="111" w:name="_Toc336426467"/>
      <w:bookmarkStart w:id="112" w:name="_Toc344391772"/>
      <w:r w:rsidRPr="00414555">
        <w:t>Acuíferos Cuencas Costeras</w:t>
      </w:r>
      <w:bookmarkEnd w:id="111"/>
      <w:bookmarkEnd w:id="112"/>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 xml:space="preserve">Las formaciones acuíferas principales se ubican en los rellenos cuaternarios recientes de la zona, ya que los abundantes rellenos terciarios existentes son prácticamente impermeables y no contienen acuíferos, salvo pequeñas vertientes de escasísimo caudal. Estos rellenos </w:t>
      </w:r>
      <w:r w:rsidRPr="00414555">
        <w:rPr>
          <w:rFonts w:cs="Arial"/>
        </w:rPr>
        <w:lastRenderedPageBreak/>
        <w:t xml:space="preserve">cuaternarios se ubican en los sectores adyacentes al río Rapel y a sus tributarios principales, alcanzando una potencia de unos </w:t>
      </w:r>
      <w:smartTag w:uri="urn:schemas-microsoft-com:office:smarttags" w:element="metricconverter">
        <w:smartTagPr>
          <w:attr w:name="ProductID" w:val="70 m"/>
        </w:smartTagPr>
        <w:r w:rsidRPr="00414555">
          <w:rPr>
            <w:rFonts w:cs="Arial"/>
          </w:rPr>
          <w:t>70 m</w:t>
        </w:r>
      </w:smartTag>
      <w:r w:rsidRPr="00414555">
        <w:rPr>
          <w:rFonts w:cs="Arial"/>
        </w:rPr>
        <w:t xml:space="preserve"> a lo largo del río Rapel y de unos </w:t>
      </w:r>
      <w:smartTag w:uri="urn:schemas-microsoft-com:office:smarttags" w:element="metricconverter">
        <w:smartTagPr>
          <w:attr w:name="ProductID" w:val="30 a"/>
        </w:smartTagPr>
        <w:r w:rsidRPr="00414555">
          <w:rPr>
            <w:rFonts w:cs="Arial"/>
          </w:rPr>
          <w:t>30 a</w:t>
        </w:r>
      </w:smartTag>
      <w:r w:rsidRPr="00414555">
        <w:rPr>
          <w:rFonts w:cs="Arial"/>
        </w:rPr>
        <w:t xml:space="preserve"> </w:t>
      </w:r>
      <w:smartTag w:uri="urn:schemas-microsoft-com:office:smarttags" w:element="metricconverter">
        <w:smartTagPr>
          <w:attr w:name="ProductID" w:val="40 m"/>
        </w:smartTagPr>
        <w:r w:rsidRPr="00414555">
          <w:rPr>
            <w:rFonts w:cs="Arial"/>
          </w:rPr>
          <w:t>40 m</w:t>
        </w:r>
      </w:smartTag>
      <w:r w:rsidRPr="00414555">
        <w:rPr>
          <w:rFonts w:cs="Arial"/>
        </w:rPr>
        <w:t xml:space="preserve"> en los valles de los esteros Navidad, Licancheu y Rapel. Respecto a los materiales presentes en el relleno, aguas abajo de Rapel están formados por estratos de gravas arenosas alternados con formaciones de arenas, arenas limosas y limos, mientras que aguas arriba de Rapel los materiales son algo más gruesos, con predomino de gravas arenosas y arenas. Finalmente, en los valles de los esteros afluentes al río Rapel el relleno está formado por arenas finas limosas y limas, con poca arena gruesa y grava fina.</w:t>
      </w:r>
    </w:p>
    <w:p w:rsidR="00BC1064" w:rsidRPr="00414555" w:rsidRDefault="00BC1064"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rPr>
      </w:pPr>
      <w:r w:rsidRPr="00414555">
        <w:rPr>
          <w:rFonts w:cs="Arial"/>
        </w:rPr>
        <w:t xml:space="preserve">En el valle del Rapel los estratos acuíferos principales son dos: uno superior con napa libre y otro confinado inferior. El superior tendría unos </w:t>
      </w:r>
      <w:smartTag w:uri="urn:schemas-microsoft-com:office:smarttags" w:element="metricconverter">
        <w:smartTagPr>
          <w:attr w:name="ProductID" w:val="7 m"/>
        </w:smartTagPr>
        <w:r w:rsidRPr="00414555">
          <w:rPr>
            <w:rFonts w:cs="Arial"/>
          </w:rPr>
          <w:t>7 m</w:t>
        </w:r>
      </w:smartTag>
      <w:r w:rsidRPr="00414555">
        <w:rPr>
          <w:rFonts w:cs="Arial"/>
        </w:rPr>
        <w:t xml:space="preserve"> de espesor en </w:t>
      </w:r>
      <w:smartTag w:uri="urn:schemas-microsoft-com:office:smarttags" w:element="PersonName">
        <w:smartTagPr>
          <w:attr w:name="ProductID" w:val="la Boca"/>
        </w:smartTagPr>
        <w:r w:rsidRPr="00414555">
          <w:rPr>
            <w:rFonts w:cs="Arial"/>
          </w:rPr>
          <w:t>la Boca</w:t>
        </w:r>
      </w:smartTag>
      <w:r w:rsidRPr="00414555">
        <w:rPr>
          <w:rFonts w:cs="Arial"/>
        </w:rPr>
        <w:t xml:space="preserve"> de Rapel, que aumentaría a unos </w:t>
      </w:r>
      <w:smartTag w:uri="urn:schemas-microsoft-com:office:smarttags" w:element="metricconverter">
        <w:smartTagPr>
          <w:attr w:name="ProductID" w:val="20 m"/>
        </w:smartTagPr>
        <w:r w:rsidRPr="00414555">
          <w:rPr>
            <w:rFonts w:cs="Arial"/>
          </w:rPr>
          <w:t>20 m</w:t>
        </w:r>
      </w:smartTag>
      <w:r w:rsidRPr="00414555">
        <w:rPr>
          <w:rFonts w:cs="Arial"/>
        </w:rPr>
        <w:t xml:space="preserve"> en Rapel. El inferior, se desarrollaría aproximadamente entre los 10 y </w:t>
      </w:r>
      <w:smartTag w:uri="urn:schemas-microsoft-com:office:smarttags" w:element="metricconverter">
        <w:smartTagPr>
          <w:attr w:name="ProductID" w:val="20 m"/>
        </w:smartTagPr>
        <w:r w:rsidRPr="00414555">
          <w:rPr>
            <w:rFonts w:cs="Arial"/>
          </w:rPr>
          <w:t>20 m</w:t>
        </w:r>
      </w:smartTag>
      <w:r w:rsidRPr="00414555">
        <w:rPr>
          <w:rFonts w:cs="Arial"/>
        </w:rPr>
        <w:t xml:space="preserve"> de profundidad en Boca de Rapel, y a profundidades mayores hacia aguas arriba.</w:t>
      </w:r>
    </w:p>
    <w:p w:rsidR="00BC1064" w:rsidRPr="00E073DC"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 xml:space="preserve">En el valle del estero Navidad los acuíferos son de muy inferior calidad, con estratos acuíferos de espesores variables que pueden encontrarse hasta unos </w:t>
      </w:r>
      <w:smartTag w:uri="urn:schemas-microsoft-com:office:smarttags" w:element="metricconverter">
        <w:smartTagPr>
          <w:attr w:name="ProductID" w:val="30 m"/>
        </w:smartTagPr>
        <w:r w:rsidRPr="00414555">
          <w:rPr>
            <w:rFonts w:cs="Arial"/>
          </w:rPr>
          <w:t>30 m</w:t>
        </w:r>
      </w:smartTag>
      <w:r w:rsidRPr="00414555">
        <w:rPr>
          <w:rFonts w:cs="Arial"/>
        </w:rPr>
        <w:t xml:space="preserve"> de profundidad.</w:t>
      </w:r>
    </w:p>
    <w:p w:rsidR="00BC1064" w:rsidRPr="00E073DC"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Respecto a las propiedades hidráulicas de los acuíferos, ellas están relacionadas directamente con el tipo de relleno existente en cada zona. Es así como de las pruebas de bombeo de pozos existentes se pueden estimar gastos específicos aproximados de 2</w:t>
      </w:r>
      <w:r w:rsidR="008E3905">
        <w:rPr>
          <w:rFonts w:cs="Arial"/>
        </w:rPr>
        <w:t>0 m3/h/m en Boca de Rapel, 15 m</w:t>
      </w:r>
      <w:r w:rsidR="008E3905">
        <w:rPr>
          <w:rFonts w:cs="Arial"/>
          <w:vertAlign w:val="superscript"/>
        </w:rPr>
        <w:t>3</w:t>
      </w:r>
      <w:r w:rsidRPr="00414555">
        <w:rPr>
          <w:rFonts w:cs="Arial"/>
        </w:rPr>
        <w:t>/h/m en Rape</w:t>
      </w:r>
      <w:r w:rsidR="008E3905">
        <w:rPr>
          <w:rFonts w:cs="Arial"/>
        </w:rPr>
        <w:t>l y 0,20 m</w:t>
      </w:r>
      <w:r w:rsidR="008E3905">
        <w:rPr>
          <w:rFonts w:cs="Arial"/>
          <w:vertAlign w:val="superscript"/>
        </w:rPr>
        <w:t>3</w:t>
      </w:r>
      <w:r w:rsidRPr="00414555">
        <w:rPr>
          <w:rFonts w:cs="Arial"/>
        </w:rPr>
        <w:t>/h/m en Navidad.</w:t>
      </w:r>
    </w:p>
    <w:p w:rsidR="00BC1064" w:rsidRPr="00E073DC"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 xml:space="preserve">En el sector de Pichilemu los sedimentos cuaternarios recientes tienen espesores que varían entre la y </w:t>
      </w:r>
      <w:smartTag w:uri="urn:schemas-microsoft-com:office:smarttags" w:element="metricconverter">
        <w:smartTagPr>
          <w:attr w:name="ProductID" w:val="25 m"/>
        </w:smartTagPr>
        <w:r w:rsidRPr="00414555">
          <w:rPr>
            <w:rFonts w:cs="Arial"/>
          </w:rPr>
          <w:t>25 m</w:t>
        </w:r>
      </w:smartTag>
      <w:r w:rsidRPr="00414555">
        <w:rPr>
          <w:rFonts w:cs="Arial"/>
        </w:rPr>
        <w:t>, estando formados por estratos alternados de materiales gruesos y finos, ubicándose los mejores acuíferos, no confinados, en los primeros la m desde la superficie.</w:t>
      </w:r>
    </w:p>
    <w:p w:rsidR="00BC1064" w:rsidRPr="00E073DC" w:rsidRDefault="00BC1064" w:rsidP="00B51B51">
      <w:pPr>
        <w:widowControl w:val="0"/>
        <w:autoSpaceDE w:val="0"/>
        <w:autoSpaceDN w:val="0"/>
        <w:adjustRightInd w:val="0"/>
        <w:rPr>
          <w:rFonts w:cs="Arial"/>
          <w:sz w:val="18"/>
        </w:rPr>
      </w:pPr>
    </w:p>
    <w:p w:rsidR="00BC1064" w:rsidRPr="00414555" w:rsidRDefault="00BC1064" w:rsidP="00B51B51">
      <w:pPr>
        <w:widowControl w:val="0"/>
        <w:autoSpaceDE w:val="0"/>
        <w:autoSpaceDN w:val="0"/>
        <w:adjustRightInd w:val="0"/>
        <w:rPr>
          <w:rFonts w:cs="Arial"/>
        </w:rPr>
      </w:pPr>
      <w:r w:rsidRPr="00414555">
        <w:rPr>
          <w:rFonts w:cs="Arial"/>
        </w:rPr>
        <w:t xml:space="preserve">El cuaternario más antiguo, que subyace al anterior, presenta también estratos acuíferos de pequeños espesores, confinados entre capas potentes impermeables y ubicados a profundidades entre 40 y </w:t>
      </w:r>
      <w:smartTag w:uri="urn:schemas-microsoft-com:office:smarttags" w:element="metricconverter">
        <w:smartTagPr>
          <w:attr w:name="ProductID" w:val="70 m"/>
        </w:smartTagPr>
        <w:r w:rsidRPr="00414555">
          <w:rPr>
            <w:rFonts w:cs="Arial"/>
          </w:rPr>
          <w:t>70 m</w:t>
        </w:r>
      </w:smartTag>
      <w:r w:rsidRPr="00414555">
        <w:rPr>
          <w:rFonts w:cs="Arial"/>
        </w:rPr>
        <w:t>.</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t>Navidad – Licancheu</w:t>
      </w:r>
    </w:p>
    <w:p w:rsidR="00715B27" w:rsidRPr="00414555" w:rsidRDefault="00715B27" w:rsidP="00B51B51">
      <w:pPr>
        <w:widowControl w:val="0"/>
        <w:autoSpaceDE w:val="0"/>
        <w:autoSpaceDN w:val="0"/>
        <w:adjustRightInd w:val="0"/>
        <w:rPr>
          <w:rFonts w:cs="Arial"/>
          <w:b/>
          <w:bCs/>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Únicamente el extremo de aguas abajo del estero Navidad en un trecho de sólo unos </w:t>
      </w:r>
      <w:smartTag w:uri="urn:schemas-microsoft-com:office:smarttags" w:element="metricconverter">
        <w:smartTagPr>
          <w:attr w:name="ProductID" w:val="3 Km"/>
        </w:smartTagPr>
        <w:r w:rsidRPr="00414555">
          <w:rPr>
            <w:rFonts w:cs="Arial"/>
            <w:lang w:val="es-CL" w:eastAsia="es-CL"/>
          </w:rPr>
          <w:t>3 Km</w:t>
        </w:r>
      </w:smartTag>
      <w:r w:rsidRPr="00414555">
        <w:rPr>
          <w:rFonts w:cs="Arial"/>
          <w:lang w:val="es-CL" w:eastAsia="es-CL"/>
        </w:rPr>
        <w:t xml:space="preserve"> presenta condiciones hidrogeológicas de interés ya que el valle se ensancha hasta poco más de </w:t>
      </w:r>
      <w:smartTag w:uri="urn:schemas-microsoft-com:office:smarttags" w:element="metricconverter">
        <w:smartTagPr>
          <w:attr w:name="ProductID" w:val="500 m"/>
        </w:smartTagPr>
        <w:r w:rsidRPr="00414555">
          <w:rPr>
            <w:rFonts w:cs="Arial"/>
            <w:lang w:val="es-CL" w:eastAsia="es-CL"/>
          </w:rPr>
          <w:t>500 m</w:t>
        </w:r>
      </w:smartTag>
      <w:r w:rsidRPr="00414555">
        <w:rPr>
          <w:rFonts w:cs="Arial"/>
          <w:lang w:val="es-CL" w:eastAsia="es-CL"/>
        </w:rPr>
        <w:t xml:space="preserve"> y los rellenos sedimentarios no corresponden únicamente a depósitos aluvionales sino que también aparecen materiales de origen fluvial-torrencial. El resto de la cuenca es ondulado, no presentándose condiciones que pudieran favorecer la presencia de rellenos correspondientes a formaciones acuíferas de magnitud apreciable.</w:t>
      </w:r>
    </w:p>
    <w:p w:rsidR="00D91E96" w:rsidRPr="00414555" w:rsidRDefault="00D91E96"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t>Litueche</w:t>
      </w:r>
    </w:p>
    <w:p w:rsidR="00715B27" w:rsidRPr="00414555" w:rsidRDefault="00715B27" w:rsidP="00B51B51">
      <w:pPr>
        <w:widowControl w:val="0"/>
        <w:autoSpaceDE w:val="0"/>
        <w:autoSpaceDN w:val="0"/>
        <w:adjustRightInd w:val="0"/>
        <w:rPr>
          <w:rFonts w:cs="Arial"/>
          <w:b/>
          <w:bCs/>
          <w:lang w:val="es-CL" w:eastAsia="es-CL"/>
        </w:rPr>
      </w:pPr>
    </w:p>
    <w:p w:rsidR="00BC1064" w:rsidRDefault="00BC1064" w:rsidP="00B51B51">
      <w:pPr>
        <w:widowControl w:val="0"/>
        <w:autoSpaceDE w:val="0"/>
        <w:autoSpaceDN w:val="0"/>
        <w:adjustRightInd w:val="0"/>
        <w:rPr>
          <w:rFonts w:cs="Arial"/>
        </w:rPr>
      </w:pPr>
      <w:r w:rsidRPr="00414555">
        <w:rPr>
          <w:rFonts w:cs="Arial"/>
        </w:rPr>
        <w:t xml:space="preserve">El sector Litueche se enmarca en el área de la cuenca del estero El Rosario, compuesta por cuatro o cinco cauces perfectamente desarrollados. A pesar de ello, el relieve ondulado y la poca pendiente natural de ellos ha impedido desarrollos importantes de formaciones cuaternarias sedimentarias en los lechos de los esteros, de manera que los escasos rellenos de algún valor hidrogeológico son del tipo arenas medias a finas con algunas presencia de gravillas, aunque de un espesor que sólo ocasionalmente ha superado los </w:t>
      </w:r>
      <w:smartTag w:uri="urn:schemas-microsoft-com:office:smarttags" w:element="metricconverter">
        <w:smartTagPr>
          <w:attr w:name="ProductID" w:val="10 m"/>
        </w:smartTagPr>
        <w:r w:rsidRPr="00414555">
          <w:rPr>
            <w:rFonts w:cs="Arial"/>
          </w:rPr>
          <w:t>10</w:t>
        </w:r>
        <w:r w:rsidR="00695518">
          <w:rPr>
            <w:rFonts w:cs="Arial"/>
          </w:rPr>
          <w:t xml:space="preserve"> </w:t>
        </w:r>
        <w:r w:rsidRPr="00414555">
          <w:rPr>
            <w:rFonts w:cs="Arial"/>
          </w:rPr>
          <w:t>m</w:t>
        </w:r>
      </w:smartTag>
      <w:r w:rsidRPr="00414555">
        <w:rPr>
          <w:rFonts w:cs="Arial"/>
        </w:rPr>
        <w:t xml:space="preserve"> de potencia.</w:t>
      </w:r>
    </w:p>
    <w:p w:rsidR="00695518" w:rsidRPr="00414555" w:rsidRDefault="00695518" w:rsidP="00B51B51">
      <w:pPr>
        <w:widowControl w:val="0"/>
        <w:autoSpaceDE w:val="0"/>
        <w:autoSpaceDN w:val="0"/>
        <w:adjustRightInd w:val="0"/>
        <w:rPr>
          <w:rFonts w:cs="Aria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El sector que podría aparecer como interesante para extracción de recursos de aguas subterráneas estaría entre las localidades desde Litueche y San Vicente de Pucalán, ya que en ese tramo los cauces están mejor desarrollados.</w:t>
      </w: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lastRenderedPageBreak/>
        <w:t>Lo anterior significa que los recursos subterráneos son en general escasos y que su limitada explotación debe provenir principalmente de captaciones subsuperficiales. Según lo anterior, no se tienen antecedentes de captaciones subterráneas en este sector.</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smartTag w:uri="urn:schemas-microsoft-com:office:smarttags" w:element="PersonName">
        <w:smartTagPr>
          <w:attr w:name="ProductID" w:val="La Estrella"/>
        </w:smartTagPr>
        <w:r w:rsidRPr="00414555">
          <w:rPr>
            <w:rFonts w:cs="Arial"/>
            <w:b/>
          </w:rPr>
          <w:t>La Estrella</w:t>
        </w:r>
      </w:smartTag>
    </w:p>
    <w:p w:rsidR="00715B27" w:rsidRPr="00414555" w:rsidRDefault="00715B27" w:rsidP="00B51B51">
      <w:pPr>
        <w:widowControl w:val="0"/>
        <w:autoSpaceDE w:val="0"/>
        <w:autoSpaceDN w:val="0"/>
        <w:adjustRightInd w:val="0"/>
        <w:rPr>
          <w:rFonts w:cs="Arial"/>
          <w:b/>
          <w:bCs/>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El sector que se ha denominado </w:t>
      </w:r>
      <w:smartTag w:uri="urn:schemas-microsoft-com:office:smarttags" w:element="PersonName">
        <w:smartTagPr>
          <w:attr w:name="ProductID" w:val="La Estrella"/>
        </w:smartTagPr>
        <w:r w:rsidRPr="00414555">
          <w:rPr>
            <w:rFonts w:cs="Arial"/>
            <w:lang w:val="es-CL" w:eastAsia="es-CL"/>
          </w:rPr>
          <w:t>La Estrella</w:t>
        </w:r>
      </w:smartTag>
      <w:r w:rsidRPr="00414555">
        <w:rPr>
          <w:rFonts w:cs="Arial"/>
          <w:lang w:val="es-CL" w:eastAsia="es-CL"/>
        </w:rPr>
        <w:t xml:space="preserve"> corresponde a la cuenca del estero San Miguel que formada por los esteros Alonso de Morales y Mallermo, desagua al río Tinguiririca sobre su ribera izquierda. Los cauces de estos esteros se desarrollan en medio del relieve típico de </w:t>
      </w:r>
      <w:smartTag w:uri="urn:schemas-microsoft-com:office:smarttags" w:element="PersonName">
        <w:smartTagPr>
          <w:attr w:name="ProductID" w:val="la Cordillera"/>
        </w:smartTagPr>
        <w:r w:rsidRPr="00414555">
          <w:rPr>
            <w:rFonts w:cs="Arial"/>
            <w:lang w:val="es-CL" w:eastAsia="es-CL"/>
          </w:rPr>
          <w:t>la Cordillera</w:t>
        </w:r>
      </w:smartTag>
      <w:r w:rsidRPr="00414555">
        <w:rPr>
          <w:rFonts w:cs="Arial"/>
          <w:lang w:val="es-CL" w:eastAsia="es-CL"/>
        </w:rPr>
        <w:t xml:space="preserve"> de </w:t>
      </w:r>
      <w:smartTag w:uri="urn:schemas-microsoft-com:office:smarttags" w:element="PersonName">
        <w:smartTagPr>
          <w:attr w:name="ProductID" w:val="la Costa"/>
        </w:smartTagPr>
        <w:r w:rsidRPr="00414555">
          <w:rPr>
            <w:rFonts w:cs="Arial"/>
            <w:lang w:val="es-CL" w:eastAsia="es-CL"/>
          </w:rPr>
          <w:t>la Costa</w:t>
        </w:r>
      </w:smartTag>
      <w:r w:rsidRPr="00414555">
        <w:rPr>
          <w:rFonts w:cs="Arial"/>
          <w:lang w:val="es-CL" w:eastAsia="es-CL"/>
        </w:rPr>
        <w:t xml:space="preserve"> entre colinas y cerros que originan sinuosidades en sus cursos y relativas bajas pendientes longitudinales, con lo cual el desarrollo de rellenos de importancia, es limitado y el respaldo hidrogeológico bajo.</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No obstante lo anterior, el estero Alonso de Morales, entre las localidades de </w:t>
      </w:r>
      <w:smartTag w:uri="urn:schemas-microsoft-com:office:smarttags" w:element="PersonName">
        <w:smartTagPr>
          <w:attr w:name="ProductID" w:val="La Estrella"/>
        </w:smartTagPr>
        <w:r w:rsidRPr="00414555">
          <w:rPr>
            <w:rFonts w:cs="Arial"/>
            <w:lang w:val="es-CL" w:eastAsia="es-CL"/>
          </w:rPr>
          <w:t>La Estrella</w:t>
        </w:r>
      </w:smartTag>
      <w:r w:rsidRPr="00414555">
        <w:rPr>
          <w:rFonts w:cs="Arial"/>
          <w:lang w:val="es-CL" w:eastAsia="es-CL"/>
        </w:rPr>
        <w:t xml:space="preserve"> y San Miguel de los Llanos, en un trecho de unos </w:t>
      </w:r>
      <w:smartTag w:uri="urn:schemas-microsoft-com:office:smarttags" w:element="metricconverter">
        <w:smartTagPr>
          <w:attr w:name="ProductID" w:val="10 km"/>
        </w:smartTagPr>
        <w:r w:rsidRPr="00414555">
          <w:rPr>
            <w:rFonts w:cs="Arial"/>
            <w:lang w:val="es-CL" w:eastAsia="es-CL"/>
          </w:rPr>
          <w:t>10 Km</w:t>
        </w:r>
      </w:smartTag>
      <w:r w:rsidRPr="00414555">
        <w:rPr>
          <w:rFonts w:cs="Arial"/>
          <w:lang w:val="es-CL" w:eastAsia="es-CL"/>
        </w:rPr>
        <w:t xml:space="preserve">, se presenta con una mayor pendiente, dando lugar a que las formaciones hidrogeológicas sean de cierto interés. Se tienen antecedentes de un solo sondaje en el sector, con una profundidad de </w:t>
      </w:r>
      <w:smartTag w:uri="urn:schemas-microsoft-com:office:smarttags" w:element="metricconverter">
        <w:smartTagPr>
          <w:attr w:name="ProductID" w:val="48 m"/>
        </w:smartTagPr>
        <w:r w:rsidRPr="00414555">
          <w:rPr>
            <w:rFonts w:cs="Arial"/>
            <w:lang w:val="es-CL" w:eastAsia="es-CL"/>
          </w:rPr>
          <w:t>48 m</w:t>
        </w:r>
      </w:smartTag>
      <w:r w:rsidRPr="00414555">
        <w:rPr>
          <w:rFonts w:cs="Arial"/>
          <w:lang w:val="es-CL" w:eastAsia="es-CL"/>
        </w:rPr>
        <w:t>, el cual alcanzó un caudal máximo de explotación de 18 l/s.</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t>Pupuya</w:t>
      </w:r>
    </w:p>
    <w:p w:rsidR="00715B27" w:rsidRPr="00414555" w:rsidRDefault="00715B27" w:rsidP="00B51B51">
      <w:pPr>
        <w:widowControl w:val="0"/>
        <w:autoSpaceDE w:val="0"/>
        <w:autoSpaceDN w:val="0"/>
        <w:adjustRightInd w:val="0"/>
        <w:rPr>
          <w:rFonts w:cs="Arial"/>
          <w:b/>
          <w:bCs/>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El estero Pupuya, presenta relleno fluvial interserrano desde Alto los Colihues, con una sección de ancho 80 y </w:t>
      </w:r>
      <w:smartTag w:uri="urn:schemas-microsoft-com:office:smarttags" w:element="metricconverter">
        <w:smartTagPr>
          <w:attr w:name="ProductID" w:val="220 m"/>
        </w:smartTagPr>
        <w:r w:rsidRPr="00414555">
          <w:rPr>
            <w:rFonts w:cs="Arial"/>
            <w:lang w:val="es-CL" w:eastAsia="es-CL"/>
          </w:rPr>
          <w:t>220 m</w:t>
        </w:r>
      </w:smartTag>
      <w:r w:rsidRPr="00414555">
        <w:rPr>
          <w:rFonts w:cs="Arial"/>
          <w:lang w:val="es-CL" w:eastAsia="es-CL"/>
        </w:rPr>
        <w:t xml:space="preserve">. En Pupuya Alto el relleno fluvial interserrano comienza a alternar con escombros de falda hacia los costados del cauce. Una situación similar se observa en Pupuya Bajo, el ancho del relleno varía entre 250 y </w:t>
      </w:r>
      <w:smartTag w:uri="urn:schemas-microsoft-com:office:smarttags" w:element="metricconverter">
        <w:smartTagPr>
          <w:attr w:name="ProductID" w:val="400 m"/>
        </w:smartTagPr>
        <w:r w:rsidRPr="00414555">
          <w:rPr>
            <w:rFonts w:cs="Arial"/>
            <w:lang w:val="es-CL" w:eastAsia="es-CL"/>
          </w:rPr>
          <w:t>400 m</w:t>
        </w:r>
      </w:smartTag>
      <w:r w:rsidRPr="00414555">
        <w:rPr>
          <w:rFonts w:cs="Arial"/>
          <w:lang w:val="es-CL" w:eastAsia="es-CL"/>
        </w:rPr>
        <w:t>. Los sedimentos corresponden a relleno fluvial de valle interserrano y escombros de falda. Las mediciones de nivel piezométrico, obtenidas a partir de los sondajes ubicados en Pupuya indican que los niveles están entre 3,5 y 5m. Por otra parte, la existencia de Vegas en las desembocaduras de los esteros Navidad y Pupuya indica que el nivel piezométrico en estos sectores se ubica a nivel superficial.</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t>Topocalma</w:t>
      </w:r>
    </w:p>
    <w:p w:rsidR="00715B27" w:rsidRPr="00414555" w:rsidRDefault="00715B27" w:rsidP="00B51B51">
      <w:pPr>
        <w:widowControl w:val="0"/>
        <w:autoSpaceDE w:val="0"/>
        <w:autoSpaceDN w:val="0"/>
        <w:adjustRightInd w:val="0"/>
        <w:rPr>
          <w:rFonts w:cs="Arial"/>
          <w:b/>
          <w:bCs/>
          <w:lang w:val="es-CL" w:eastAsia="es-CL"/>
        </w:rPr>
      </w:pPr>
    </w:p>
    <w:p w:rsidR="00BC1064" w:rsidRDefault="00BC1064" w:rsidP="00B51B51">
      <w:pPr>
        <w:widowControl w:val="0"/>
        <w:autoSpaceDE w:val="0"/>
        <w:autoSpaceDN w:val="0"/>
        <w:adjustRightInd w:val="0"/>
        <w:rPr>
          <w:rFonts w:cs="Arial"/>
          <w:lang w:val="es-CL" w:eastAsia="es-CL"/>
        </w:rPr>
      </w:pPr>
      <w:r w:rsidRPr="00414555">
        <w:rPr>
          <w:rFonts w:cs="Arial"/>
          <w:lang w:val="es-CL" w:eastAsia="es-CL"/>
        </w:rPr>
        <w:t xml:space="preserve">El estero Topocalma se desarrolla desde los esteros Las Garzas y El Ganso, que forman el estero Quebrada Honda hasta su desembocadura al mar, con un recorrido cercano a los </w:t>
      </w:r>
      <w:smartTag w:uri="urn:schemas-microsoft-com:office:smarttags" w:element="metricconverter">
        <w:smartTagPr>
          <w:attr w:name="ProductID" w:val="40 Km"/>
        </w:smartTagPr>
        <w:r w:rsidRPr="00414555">
          <w:rPr>
            <w:rFonts w:cs="Arial"/>
            <w:lang w:val="es-CL" w:eastAsia="es-CL"/>
          </w:rPr>
          <w:t>40</w:t>
        </w:r>
        <w:r w:rsidR="00F20DB3">
          <w:rPr>
            <w:rFonts w:cs="Arial"/>
            <w:lang w:val="es-CL" w:eastAsia="es-CL"/>
          </w:rPr>
          <w:t> </w:t>
        </w:r>
        <w:r w:rsidRPr="00414555">
          <w:rPr>
            <w:rFonts w:cs="Arial"/>
            <w:lang w:val="es-CL" w:eastAsia="es-CL"/>
          </w:rPr>
          <w:t>Km</w:t>
        </w:r>
      </w:smartTag>
      <w:r w:rsidRPr="00414555">
        <w:rPr>
          <w:rFonts w:cs="Arial"/>
          <w:lang w:val="es-CL" w:eastAsia="es-CL"/>
        </w:rPr>
        <w:t xml:space="preserve">. Aunque todo el entorno a </w:t>
      </w:r>
      <w:smartTag w:uri="urn:schemas-microsoft-com:office:smarttags" w:element="PersonName">
        <w:smartTagPr>
          <w:attr w:name="ProductID" w:val="la Quebrada Honda"/>
        </w:smartTagPr>
        <w:r w:rsidRPr="00414555">
          <w:rPr>
            <w:rFonts w:cs="Arial"/>
            <w:lang w:val="es-CL" w:eastAsia="es-CL"/>
          </w:rPr>
          <w:t>la Quebrada Honda</w:t>
        </w:r>
      </w:smartTag>
      <w:r w:rsidRPr="00414555">
        <w:rPr>
          <w:rFonts w:cs="Arial"/>
          <w:lang w:val="es-CL" w:eastAsia="es-CL"/>
        </w:rPr>
        <w:t xml:space="preserve"> y sus afluentes es de relieve abrupto y escaso desarrollo de cauces, aguas arriba yaguas abajo de ella existen dos áreas que aparecen como interesantes desde el punto de vista hidrogeológico. En efecto, a lo menos el valle del estero Las Garzas en un trecho de unos </w:t>
      </w:r>
      <w:smartTag w:uri="urn:schemas-microsoft-com:office:smarttags" w:element="metricconverter">
        <w:smartTagPr>
          <w:attr w:name="ProductID" w:val="5 km"/>
        </w:smartTagPr>
        <w:r w:rsidRPr="00414555">
          <w:rPr>
            <w:rFonts w:cs="Arial"/>
            <w:lang w:val="es-CL" w:eastAsia="es-CL"/>
          </w:rPr>
          <w:t>5 Km</w:t>
        </w:r>
      </w:smartTag>
      <w:r w:rsidRPr="00414555">
        <w:rPr>
          <w:rFonts w:cs="Arial"/>
          <w:lang w:val="es-CL" w:eastAsia="es-CL"/>
        </w:rPr>
        <w:t xml:space="preserve"> se presenta bastante ancho de más de </w:t>
      </w:r>
      <w:smartTag w:uri="urn:schemas-microsoft-com:office:smarttags" w:element="metricconverter">
        <w:smartTagPr>
          <w:attr w:name="ProductID" w:val="500 m"/>
        </w:smartTagPr>
        <w:r w:rsidRPr="00414555">
          <w:rPr>
            <w:rFonts w:cs="Arial"/>
            <w:lang w:val="es-CL" w:eastAsia="es-CL"/>
          </w:rPr>
          <w:t>500 m</w:t>
        </w:r>
      </w:smartTag>
      <w:r w:rsidRPr="00414555">
        <w:rPr>
          <w:rFonts w:cs="Arial"/>
          <w:lang w:val="es-CL" w:eastAsia="es-CL"/>
        </w:rPr>
        <w:t xml:space="preserve"> en algunas partes, y con rellenos que aparecen atractivos para la instalación de captaciones subterráneas. </w:t>
      </w:r>
    </w:p>
    <w:p w:rsidR="00CA5B05" w:rsidRPr="00414555" w:rsidRDefault="00CA5B05" w:rsidP="00B51B51">
      <w:pPr>
        <w:widowControl w:val="0"/>
        <w:autoSpaceDE w:val="0"/>
        <w:autoSpaceDN w:val="0"/>
        <w:adjustRightInd w:val="0"/>
        <w:rPr>
          <w:rFonts w:cs="Arial"/>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Por otra parte, en la zona de la desembocadura, el típico relieve acantilado de la cordillera de la costa ha dado paso a una amplia extensión de depósitos marinos del tipo arenas medias y finas que cubren la cota </w:t>
      </w:r>
      <w:smartTag w:uri="urn:schemas-microsoft-com:office:smarttags" w:element="metricconverter">
        <w:smartTagPr>
          <w:attr w:name="ProductID" w:val="20 m"/>
        </w:smartTagPr>
        <w:r w:rsidRPr="00414555">
          <w:rPr>
            <w:rFonts w:cs="Arial"/>
            <w:lang w:val="es-CL" w:eastAsia="es-CL"/>
          </w:rPr>
          <w:t>20 m</w:t>
        </w:r>
      </w:smartTag>
      <w:r w:rsidRPr="00414555">
        <w:rPr>
          <w:rFonts w:cs="Arial"/>
          <w:lang w:val="es-CL" w:eastAsia="es-CL"/>
        </w:rPr>
        <w:t xml:space="preserve">.s.n.m. y el mar ha permitido la existencia de un área de unos 15 Km2 de playa, dentro de la cual se ubica la salobre laguna Topocalma. De acuerdo a antecedentes de estudios anteriores, particularmente en este último sector se ha perforado pozos para </w:t>
      </w:r>
      <w:smartTag w:uri="urn:schemas-microsoft-com:office:smarttags" w:element="PersonName">
        <w:smartTagPr>
          <w:attr w:name="ProductID" w:val="la Hacienda Topocalma"/>
        </w:smartTagPr>
        <w:r w:rsidRPr="00414555">
          <w:rPr>
            <w:rFonts w:cs="Arial"/>
            <w:lang w:val="es-CL" w:eastAsia="es-CL"/>
          </w:rPr>
          <w:t>la Hacienda Topocalma</w:t>
        </w:r>
      </w:smartTag>
      <w:r w:rsidRPr="00414555">
        <w:rPr>
          <w:rFonts w:cs="Arial"/>
          <w:lang w:val="es-CL" w:eastAsia="es-CL"/>
        </w:rPr>
        <w:t>, que han permitido ext</w:t>
      </w:r>
      <w:r w:rsidR="004B0A9B">
        <w:rPr>
          <w:rFonts w:cs="Arial"/>
          <w:lang w:val="es-CL" w:eastAsia="es-CL"/>
        </w:rPr>
        <w:t>raer hasta 40 l/</w:t>
      </w:r>
      <w:r w:rsidRPr="00414555">
        <w:rPr>
          <w:rFonts w:cs="Arial"/>
          <w:lang w:val="es-CL" w:eastAsia="es-CL"/>
        </w:rPr>
        <w:t xml:space="preserve">s. Los dos sondajes existentes en este sector, presentados en el catastro, tienen profundidades de 20 y </w:t>
      </w:r>
      <w:smartTag w:uri="urn:schemas-microsoft-com:office:smarttags" w:element="metricconverter">
        <w:smartTagPr>
          <w:attr w:name="ProductID" w:val="40 m"/>
        </w:smartTagPr>
        <w:r w:rsidRPr="00414555">
          <w:rPr>
            <w:rFonts w:cs="Arial"/>
            <w:lang w:val="es-CL" w:eastAsia="es-CL"/>
          </w:rPr>
          <w:t>40 m</w:t>
        </w:r>
      </w:smartTag>
      <w:r w:rsidRPr="00414555">
        <w:rPr>
          <w:rFonts w:cs="Arial"/>
          <w:lang w:val="es-CL" w:eastAsia="es-CL"/>
        </w:rPr>
        <w:t>.</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lastRenderedPageBreak/>
        <w:t>Las Cadenas</w:t>
      </w:r>
    </w:p>
    <w:p w:rsidR="00715B27" w:rsidRPr="00414555" w:rsidRDefault="00715B27" w:rsidP="00B51B51">
      <w:pPr>
        <w:widowControl w:val="0"/>
        <w:autoSpaceDE w:val="0"/>
        <w:autoSpaceDN w:val="0"/>
        <w:adjustRightInd w:val="0"/>
        <w:rPr>
          <w:rFonts w:cs="Arial"/>
          <w:b/>
          <w:bCs/>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Los rellenos de este sector están compuestos de materiales fluviales del tipo gravas, arenas y arcillas, presentando estratos de distinta permeabilidad. El nivel freático varía en forma estacional entre 6 y 10m. Este sector cuenta con cinco sondajes y una noria, entregando un caudal máximo de 27 l/s.</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145762">
      <w:pPr>
        <w:widowControl w:val="0"/>
        <w:numPr>
          <w:ilvl w:val="0"/>
          <w:numId w:val="18"/>
        </w:numPr>
        <w:tabs>
          <w:tab w:val="clear" w:pos="1065"/>
        </w:tabs>
        <w:ind w:hanging="1065"/>
        <w:rPr>
          <w:rFonts w:cs="Arial"/>
          <w:b/>
        </w:rPr>
      </w:pPr>
      <w:r w:rsidRPr="00414555">
        <w:rPr>
          <w:rFonts w:cs="Arial"/>
          <w:b/>
        </w:rPr>
        <w:t>Marchihue</w:t>
      </w:r>
    </w:p>
    <w:p w:rsidR="00715B27" w:rsidRPr="00414555" w:rsidRDefault="00715B27" w:rsidP="00B51B51">
      <w:pPr>
        <w:widowControl w:val="0"/>
        <w:autoSpaceDE w:val="0"/>
        <w:autoSpaceDN w:val="0"/>
        <w:adjustRightInd w:val="0"/>
        <w:rPr>
          <w:rFonts w:cs="Arial"/>
          <w:b/>
          <w:bCs/>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En este sector, drenado por los esteros Trinidad y Las Cadenas, se presenta una configuración de los cauces muy particulares, que curiosamente ha beneficiado el desarrollo hidrogeológico de estas áreas. En efecto, por encontrarse sobre la vertiente oriental de una Cordillera de </w:t>
      </w:r>
      <w:smartTag w:uri="urn:schemas-microsoft-com:office:smarttags" w:element="PersonName">
        <w:smartTagPr>
          <w:attr w:name="ProductID" w:val="la Costa"/>
        </w:smartTagPr>
        <w:r w:rsidRPr="00414555">
          <w:rPr>
            <w:rFonts w:cs="Arial"/>
            <w:lang w:val="es-CL" w:eastAsia="es-CL"/>
          </w:rPr>
          <w:t>la Costa</w:t>
        </w:r>
      </w:smartTag>
      <w:r w:rsidRPr="00414555">
        <w:rPr>
          <w:rFonts w:cs="Arial"/>
          <w:lang w:val="es-CL" w:eastAsia="es-CL"/>
        </w:rPr>
        <w:t xml:space="preserve"> de menor ancho que hacia el Norte y hacia el Sur, se genera un sector más bajo bastante menos irregular y muy amplio en el cual los cauces tienen direcciones variadas para confluir entre Marchihue, Población y Trinidad, dando origen a rellenos cuaternarios muy posiblemente abundantes en agua subterránea.</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 xml:space="preserve">Por otra parte, si se toma en consideración que el desnivel entre la cumbres más elevadas de </w:t>
      </w:r>
      <w:smartTag w:uri="urn:schemas-microsoft-com:office:smarttags" w:element="PersonName">
        <w:smartTagPr>
          <w:attr w:name="ProductID" w:val="la Cordillera"/>
        </w:smartTagPr>
        <w:r w:rsidRPr="00414555">
          <w:rPr>
            <w:rFonts w:cs="Arial"/>
            <w:lang w:val="es-CL" w:eastAsia="es-CL"/>
          </w:rPr>
          <w:t>la Cordillera</w:t>
        </w:r>
      </w:smartTag>
      <w:r w:rsidRPr="00414555">
        <w:rPr>
          <w:rFonts w:cs="Arial"/>
          <w:lang w:val="es-CL" w:eastAsia="es-CL"/>
        </w:rPr>
        <w:t xml:space="preserve"> de </w:t>
      </w:r>
      <w:smartTag w:uri="urn:schemas-microsoft-com:office:smarttags" w:element="PersonName">
        <w:smartTagPr>
          <w:attr w:name="ProductID" w:val="la Costa"/>
        </w:smartTagPr>
        <w:r w:rsidRPr="00414555">
          <w:rPr>
            <w:rFonts w:cs="Arial"/>
            <w:lang w:val="es-CL" w:eastAsia="es-CL"/>
          </w:rPr>
          <w:t>la Costa</w:t>
        </w:r>
      </w:smartTag>
      <w:r w:rsidRPr="00414555">
        <w:rPr>
          <w:rFonts w:cs="Arial"/>
          <w:lang w:val="es-CL" w:eastAsia="es-CL"/>
        </w:rPr>
        <w:t xml:space="preserve"> y este llano puede superar los </w:t>
      </w:r>
      <w:smartTag w:uri="urn:schemas-microsoft-com:office:smarttags" w:element="metricconverter">
        <w:smartTagPr>
          <w:attr w:name="ProductID" w:val="200 m"/>
        </w:smartTagPr>
        <w:r w:rsidRPr="00414555">
          <w:rPr>
            <w:rFonts w:cs="Arial"/>
            <w:lang w:val="es-CL" w:eastAsia="es-CL"/>
          </w:rPr>
          <w:t>200 m</w:t>
        </w:r>
      </w:smartTag>
      <w:r w:rsidRPr="00414555">
        <w:rPr>
          <w:rFonts w:cs="Arial"/>
          <w:lang w:val="es-CL" w:eastAsia="es-CL"/>
        </w:rPr>
        <w:t xml:space="preserve"> en distancias no superiores a </w:t>
      </w:r>
      <w:smartTag w:uri="urn:schemas-microsoft-com:office:smarttags" w:element="metricconverter">
        <w:smartTagPr>
          <w:attr w:name="ProductID" w:val="10 a"/>
        </w:smartTagPr>
        <w:r w:rsidRPr="00414555">
          <w:rPr>
            <w:rFonts w:cs="Arial"/>
            <w:lang w:val="es-CL" w:eastAsia="es-CL"/>
          </w:rPr>
          <w:t>10 a</w:t>
        </w:r>
      </w:smartTag>
      <w:r w:rsidRPr="00414555">
        <w:rPr>
          <w:rFonts w:cs="Arial"/>
          <w:lang w:val="es-CL" w:eastAsia="es-CL"/>
        </w:rPr>
        <w:t xml:space="preserve"> </w:t>
      </w:r>
      <w:smartTag w:uri="urn:schemas-microsoft-com:office:smarttags" w:element="metricconverter">
        <w:smartTagPr>
          <w:attr w:name="ProductID" w:val="15 Km"/>
        </w:smartTagPr>
        <w:r w:rsidRPr="00414555">
          <w:rPr>
            <w:rFonts w:cs="Arial"/>
            <w:lang w:val="es-CL" w:eastAsia="es-CL"/>
          </w:rPr>
          <w:t>15 Km</w:t>
        </w:r>
      </w:smartTag>
      <w:r w:rsidRPr="00414555">
        <w:rPr>
          <w:rFonts w:cs="Arial"/>
          <w:lang w:val="es-CL" w:eastAsia="es-CL"/>
        </w:rPr>
        <w:t>, puede concluirse que los depósitos provenientes de arrastres desde esas alturas han permitido el desarrollo de rellenos de potencia apreciable.</w:t>
      </w:r>
    </w:p>
    <w:p w:rsidR="00BC1064" w:rsidRPr="00414555" w:rsidRDefault="00BC1064" w:rsidP="00B51B51">
      <w:pPr>
        <w:widowControl w:val="0"/>
        <w:autoSpaceDE w:val="0"/>
        <w:autoSpaceDN w:val="0"/>
        <w:adjustRightInd w:val="0"/>
        <w:rPr>
          <w:rFonts w:cs="Arial"/>
          <w:lang w:val="es-CL" w:eastAsia="es-CL"/>
        </w:rPr>
      </w:pPr>
    </w:p>
    <w:p w:rsidR="00BC1064" w:rsidRPr="00414555" w:rsidRDefault="00BC1064" w:rsidP="00B51B51">
      <w:pPr>
        <w:pStyle w:val="Ttulo2"/>
        <w:keepNext w:val="0"/>
      </w:pPr>
      <w:bookmarkStart w:id="113" w:name="_Toc336426468"/>
      <w:bookmarkStart w:id="114" w:name="_Toc344391773"/>
      <w:r w:rsidRPr="00414555">
        <w:t>Mecanismo de Recarga y Descarga de Acuíferos</w:t>
      </w:r>
      <w:bookmarkEnd w:id="113"/>
      <w:bookmarkEnd w:id="114"/>
    </w:p>
    <w:p w:rsidR="00BC1064" w:rsidRPr="00414555" w:rsidRDefault="00BC1064" w:rsidP="00B51B51">
      <w:pPr>
        <w:widowControl w:val="0"/>
        <w:rPr>
          <w:rFonts w:cs="Arial"/>
        </w:rPr>
      </w:pPr>
    </w:p>
    <w:p w:rsidR="00BC1064" w:rsidRDefault="00BC1064" w:rsidP="00B51B51">
      <w:pPr>
        <w:widowControl w:val="0"/>
        <w:rPr>
          <w:rFonts w:cs="Arial"/>
        </w:rPr>
      </w:pPr>
      <w:r w:rsidRPr="00414555">
        <w:rPr>
          <w:rFonts w:cs="Arial"/>
        </w:rPr>
        <w:t xml:space="preserve">Respecto a los mecanismos de recarga y descarga, se ha obtenido información de estudios referenciales (Ref. </w:t>
      </w:r>
      <w:smartTag w:uri="urn:schemas-microsoft-com:office:smarttags" w:element="metricconverter">
        <w:smartTagPr>
          <w:attr w:name="ProductID" w:val="1 a"/>
        </w:smartTagPr>
        <w:r w:rsidRPr="00414555">
          <w:rPr>
            <w:rFonts w:cs="Arial"/>
          </w:rPr>
          <w:t>1 a</w:t>
        </w:r>
      </w:smartTag>
      <w:r w:rsidRPr="00414555">
        <w:rPr>
          <w:rFonts w:cs="Arial"/>
        </w:rPr>
        <w:t xml:space="preserve"> 13), los que permiten caracterizar a grandes rasgos la recarga y descarga de cada acuífero.</w:t>
      </w:r>
    </w:p>
    <w:p w:rsidR="00D91E96" w:rsidRPr="00414555" w:rsidRDefault="00D91E96" w:rsidP="00B51B51">
      <w:pPr>
        <w:widowControl w:val="0"/>
        <w:rPr>
          <w:rFonts w:cs="Arial"/>
        </w:rPr>
      </w:pPr>
    </w:p>
    <w:p w:rsidR="00BC1064" w:rsidRPr="00414555" w:rsidRDefault="00BC1064" w:rsidP="00D91E96">
      <w:pPr>
        <w:pStyle w:val="Ttulo3"/>
      </w:pPr>
      <w:bookmarkStart w:id="115" w:name="_Toc336426469"/>
      <w:bookmarkStart w:id="116" w:name="_Toc344391774"/>
      <w:r w:rsidRPr="00414555">
        <w:t>Acuífero Río Angostura</w:t>
      </w:r>
      <w:bookmarkEnd w:id="115"/>
      <w:bookmarkEnd w:id="116"/>
    </w:p>
    <w:p w:rsidR="00BC1064" w:rsidRPr="00414555" w:rsidRDefault="00BC1064" w:rsidP="00B51B51">
      <w:pPr>
        <w:widowControl w:val="0"/>
        <w:rPr>
          <w:rFonts w:cs="Aria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La recarga del sistema se produce por:</w:t>
      </w:r>
    </w:p>
    <w:p w:rsidR="00BC1064" w:rsidRPr="00414555" w:rsidRDefault="00BC1064" w:rsidP="00B51B51">
      <w:pPr>
        <w:widowControl w:val="0"/>
        <w:autoSpaceDE w:val="0"/>
        <w:autoSpaceDN w:val="0"/>
        <w:adjustRightInd w:val="0"/>
        <w:rPr>
          <w:rFonts w:cs="Arial"/>
          <w:szCs w:val="22"/>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superficial.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lateral.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desde los ríos y esteros.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subterránea.</w:t>
      </w:r>
    </w:p>
    <w:p w:rsidR="00D91E96" w:rsidRPr="00414555" w:rsidRDefault="00D91E96"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La recarga superficial corresponde a la infiltración de precipitación directa sobre el acuífero, más la infiltración del riego agrícola y pérdida desde canales. La recarga lateral corresponde a la precipitación indirecta sobre las subcuencas y microcuencas ubicadas en el valle central y que drenan hacia el acuífero (recarga de piedemonte). </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Respecto a las descargas del acuífero, éstas se producen básicamente por tres mecanismos: </w:t>
      </w:r>
    </w:p>
    <w:p w:rsidR="00BC1064" w:rsidRPr="00414555" w:rsidRDefault="00BC1064" w:rsidP="00B51B51">
      <w:pPr>
        <w:widowControl w:val="0"/>
        <w:autoSpaceDE w:val="0"/>
        <w:autoSpaceDN w:val="0"/>
        <w:adjustRightInd w:val="0"/>
        <w:rPr>
          <w:rFonts w:cs="Arial"/>
          <w:szCs w:val="22"/>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subterránea hacia otros acuíferos.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hacia los cauces superficiales.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desde pozos.</w:t>
      </w:r>
    </w:p>
    <w:p w:rsidR="00D91E96" w:rsidRDefault="00D91E96" w:rsidP="00D91E96">
      <w:pPr>
        <w:pStyle w:val="Prrafodelista"/>
        <w:widowControl w:val="0"/>
        <w:ind w:left="0"/>
        <w:contextualSpacing/>
        <w:jc w:val="both"/>
        <w:rPr>
          <w:rFonts w:ascii="Arial" w:hAnsi="Arial" w:cs="Arial"/>
          <w:sz w:val="22"/>
          <w:szCs w:val="22"/>
          <w:lang w:val="es-CL"/>
        </w:rPr>
      </w:pPr>
    </w:p>
    <w:p w:rsidR="00E073DC" w:rsidRPr="00414555" w:rsidRDefault="00E073DC" w:rsidP="00D91E96">
      <w:pPr>
        <w:pStyle w:val="Prrafodelista"/>
        <w:widowControl w:val="0"/>
        <w:ind w:left="0"/>
        <w:contextualSpacing/>
        <w:jc w:val="both"/>
        <w:rPr>
          <w:rFonts w:ascii="Arial" w:hAnsi="Arial" w:cs="Arial"/>
          <w:sz w:val="22"/>
          <w:szCs w:val="22"/>
          <w:lang w:val="es-CL"/>
        </w:rPr>
      </w:pPr>
    </w:p>
    <w:p w:rsidR="00BC1064" w:rsidRPr="00414555" w:rsidRDefault="00BC1064" w:rsidP="00D91E96">
      <w:pPr>
        <w:pStyle w:val="Ttulo3"/>
      </w:pPr>
      <w:bookmarkStart w:id="117" w:name="_Toc336426470"/>
      <w:bookmarkStart w:id="118" w:name="_Toc344391775"/>
      <w:r w:rsidRPr="00414555">
        <w:lastRenderedPageBreak/>
        <w:t>Acuífero Río Cachapoal</w:t>
      </w:r>
      <w:bookmarkEnd w:id="117"/>
      <w:bookmarkEnd w:id="118"/>
    </w:p>
    <w:p w:rsidR="00BC1064" w:rsidRPr="00414555" w:rsidRDefault="00BC1064" w:rsidP="00B51B51">
      <w:pPr>
        <w:widowControl w:val="0"/>
        <w:rPr>
          <w:rFonts w:cs="Arial"/>
        </w:rPr>
      </w:pPr>
    </w:p>
    <w:p w:rsidR="00BC1064" w:rsidRPr="00414555" w:rsidRDefault="00BC1064" w:rsidP="00B51B51">
      <w:pPr>
        <w:widowControl w:val="0"/>
        <w:autoSpaceDE w:val="0"/>
        <w:autoSpaceDN w:val="0"/>
        <w:adjustRightInd w:val="0"/>
        <w:rPr>
          <w:rFonts w:cs="Arial"/>
          <w:lang w:val="es-CL" w:eastAsia="es-CL"/>
        </w:rPr>
      </w:pPr>
      <w:r w:rsidRPr="00414555">
        <w:rPr>
          <w:rFonts w:cs="Arial"/>
          <w:lang w:val="es-CL" w:eastAsia="es-CL"/>
        </w:rPr>
        <w:t>La recarga del sistema se produce por:</w:t>
      </w:r>
    </w:p>
    <w:p w:rsidR="00BC1064" w:rsidRPr="00414555" w:rsidRDefault="00BC1064" w:rsidP="00B51B51">
      <w:pPr>
        <w:widowControl w:val="0"/>
        <w:autoSpaceDE w:val="0"/>
        <w:autoSpaceDN w:val="0"/>
        <w:adjustRightInd w:val="0"/>
        <w:rPr>
          <w:rFonts w:cs="Arial"/>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superficial.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lateral.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desde los ríos y esteros.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subterránea.</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La recarga superficial corresponde a la infiltración de precipitación directa sobre el acuífero, más la infiltración del riego agrícola y pérdida desde canales. La recarga lateral corresponde a la precipitación indirecta sobre las subcuencas y microcuencas ubicadas en el valle central y que drenan hacia el acuífero (recarga de piedemonte). </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Respecto a las descargas del acuífero, éstas se producen básicamente por tres mecanismos: </w:t>
      </w:r>
    </w:p>
    <w:p w:rsidR="00BC1064" w:rsidRPr="00414555" w:rsidRDefault="00BC1064" w:rsidP="00B51B51">
      <w:pPr>
        <w:widowControl w:val="0"/>
        <w:autoSpaceDE w:val="0"/>
        <w:autoSpaceDN w:val="0"/>
        <w:adjustRightInd w:val="0"/>
        <w:rPr>
          <w:rFonts w:cs="Arial"/>
          <w:szCs w:val="22"/>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subterránea hacia el Embalse Rapel.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hacia los cauces superficiales.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desde pozos.</w:t>
      </w:r>
    </w:p>
    <w:p w:rsidR="00D91E96" w:rsidRPr="00414555" w:rsidRDefault="00D91E96" w:rsidP="00D91E96">
      <w:pPr>
        <w:pStyle w:val="Prrafodelista"/>
        <w:widowControl w:val="0"/>
        <w:ind w:left="0"/>
        <w:contextualSpacing/>
        <w:jc w:val="both"/>
        <w:rPr>
          <w:rFonts w:ascii="Arial" w:hAnsi="Arial" w:cs="Arial"/>
          <w:sz w:val="22"/>
          <w:szCs w:val="22"/>
          <w:lang w:val="es-CL"/>
        </w:rPr>
      </w:pPr>
    </w:p>
    <w:p w:rsidR="00BC1064" w:rsidRPr="00414555" w:rsidRDefault="00BC1064" w:rsidP="00D91E96">
      <w:pPr>
        <w:pStyle w:val="Ttulo3"/>
      </w:pPr>
      <w:bookmarkStart w:id="119" w:name="_Toc336426471"/>
      <w:bookmarkStart w:id="120" w:name="_Toc344391776"/>
      <w:r w:rsidRPr="00414555">
        <w:t>Acuífero Estero Alhué</w:t>
      </w:r>
      <w:bookmarkEnd w:id="119"/>
      <w:bookmarkEnd w:id="120"/>
    </w:p>
    <w:p w:rsidR="00BC1064" w:rsidRPr="00414555" w:rsidRDefault="00BC1064" w:rsidP="00B51B51">
      <w:pPr>
        <w:widowControl w:val="0"/>
        <w:rPr>
          <w:rFonts w:cs="Arial"/>
          <w:lang w:val="es-CL"/>
        </w:rPr>
      </w:pPr>
    </w:p>
    <w:p w:rsidR="00BC1064" w:rsidRPr="00414555" w:rsidRDefault="00BC1064" w:rsidP="00B51B51">
      <w:pPr>
        <w:widowControl w:val="0"/>
        <w:rPr>
          <w:rFonts w:cs="Arial"/>
          <w:szCs w:val="22"/>
          <w:lang w:val="es-CL"/>
        </w:rPr>
      </w:pPr>
      <w:r w:rsidRPr="00414555">
        <w:rPr>
          <w:rFonts w:cs="Arial"/>
          <w:szCs w:val="22"/>
          <w:lang w:val="es-CL"/>
        </w:rPr>
        <w:t>Los principales mecanismos de recarga o las entradas que tienen los distintos sistemas analizados son:</w:t>
      </w:r>
    </w:p>
    <w:p w:rsidR="00BC1064" w:rsidRPr="00414555" w:rsidRDefault="00BC1064" w:rsidP="00B51B51">
      <w:pPr>
        <w:widowControl w:val="0"/>
        <w:rPr>
          <w:rFonts w:cs="Arial"/>
          <w:szCs w:val="22"/>
          <w:lang w:val="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superficial.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lateral.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desde los ríos y esteros.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subterránea.</w:t>
      </w:r>
    </w:p>
    <w:p w:rsidR="00BC1064" w:rsidRPr="00414555" w:rsidRDefault="00BC1064" w:rsidP="00B51B51">
      <w:pPr>
        <w:widowControl w:val="0"/>
        <w:rPr>
          <w:rFonts w:cs="Arial"/>
          <w:szCs w:val="22"/>
          <w:lang w:val="es-CL"/>
        </w:rPr>
      </w:pPr>
    </w:p>
    <w:p w:rsidR="00BC1064" w:rsidRPr="00414555" w:rsidRDefault="00BC1064" w:rsidP="00B51B51">
      <w:pPr>
        <w:widowControl w:val="0"/>
        <w:rPr>
          <w:rFonts w:cs="Arial"/>
          <w:szCs w:val="22"/>
          <w:lang w:val="es-CL"/>
        </w:rPr>
      </w:pPr>
      <w:r w:rsidRPr="00414555">
        <w:rPr>
          <w:rFonts w:cs="Arial"/>
          <w:szCs w:val="22"/>
          <w:lang w:val="es-CL"/>
        </w:rPr>
        <w:t xml:space="preserve">La recarga superficial corresponde a la infiltración de precipitación directa sobre el acuífero, más la infiltración del riego agrícola y pérdida desde canales. La recarga lateral corresponde a la precipitación indirecta sobre las subcuencas y microcuencas ubicadas en el valle central y que drenan hacia el acuífero (recarga de piedemonte). </w:t>
      </w:r>
    </w:p>
    <w:p w:rsidR="00BC1064" w:rsidRPr="00414555" w:rsidRDefault="00BC1064" w:rsidP="00B51B51">
      <w:pPr>
        <w:widowControl w:val="0"/>
        <w:rPr>
          <w:rFonts w:cs="Arial"/>
          <w:szCs w:val="22"/>
          <w:lang w:val="es-CL"/>
        </w:rPr>
      </w:pPr>
    </w:p>
    <w:p w:rsidR="00BC1064" w:rsidRDefault="00BC1064" w:rsidP="00B51B51">
      <w:pPr>
        <w:widowControl w:val="0"/>
        <w:rPr>
          <w:rFonts w:cs="Arial"/>
          <w:szCs w:val="22"/>
          <w:lang w:val="es-CL"/>
        </w:rPr>
      </w:pPr>
      <w:r w:rsidRPr="00414555">
        <w:rPr>
          <w:rFonts w:cs="Arial"/>
          <w:szCs w:val="22"/>
          <w:lang w:val="es-CL"/>
        </w:rPr>
        <w:t>Los principales mecanismos de descarga o salidas que tienen los distintos sistemas analizados son:</w:t>
      </w:r>
    </w:p>
    <w:p w:rsidR="00695518" w:rsidRPr="00414555" w:rsidRDefault="00695518" w:rsidP="00B51B51">
      <w:pPr>
        <w:widowControl w:val="0"/>
        <w:rPr>
          <w:rFonts w:cs="Arial"/>
          <w:szCs w:val="22"/>
          <w:lang w:val="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subterránea hacia el embalse Rapel.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hacia ríos y esteros.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subterránea hacia otros acuíferos.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desde pozos.</w:t>
      </w:r>
    </w:p>
    <w:p w:rsidR="00CA5B05" w:rsidRDefault="00CA5B05" w:rsidP="00CA5B05">
      <w:pPr>
        <w:pStyle w:val="Prrafodelista"/>
        <w:widowControl w:val="0"/>
        <w:ind w:left="0"/>
        <w:contextualSpacing/>
        <w:jc w:val="both"/>
        <w:rPr>
          <w:rFonts w:ascii="Arial" w:hAnsi="Arial" w:cs="Arial"/>
          <w:sz w:val="22"/>
          <w:szCs w:val="22"/>
          <w:lang w:val="es-CL"/>
        </w:rPr>
      </w:pPr>
    </w:p>
    <w:p w:rsidR="00BC1064" w:rsidRPr="00414555" w:rsidRDefault="00BC1064" w:rsidP="00D91E96">
      <w:pPr>
        <w:pStyle w:val="Ttulo3"/>
      </w:pPr>
      <w:bookmarkStart w:id="121" w:name="_Toc336426472"/>
      <w:bookmarkStart w:id="122" w:name="_Toc344391777"/>
      <w:r w:rsidRPr="00414555">
        <w:t>Acuífero Río Tinguiririca</w:t>
      </w:r>
      <w:bookmarkEnd w:id="121"/>
      <w:bookmarkEnd w:id="122"/>
    </w:p>
    <w:p w:rsidR="00BC1064" w:rsidRPr="00414555" w:rsidRDefault="00BC1064" w:rsidP="00B51B51">
      <w:pPr>
        <w:widowControl w:val="0"/>
        <w:rPr>
          <w:rFonts w:cs="Arial"/>
          <w:lang w:val="es-CL"/>
        </w:rPr>
      </w:pPr>
    </w:p>
    <w:p w:rsidR="00BC1064"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De acuerdo al modelo conceptual del acuífero, la recarga del sistema se produce por:</w:t>
      </w:r>
    </w:p>
    <w:p w:rsidR="00E073DC" w:rsidRPr="00414555" w:rsidRDefault="00E073DC" w:rsidP="00B51B51">
      <w:pPr>
        <w:widowControl w:val="0"/>
        <w:autoSpaceDE w:val="0"/>
        <w:autoSpaceDN w:val="0"/>
        <w:adjustRightInd w:val="0"/>
        <w:rPr>
          <w:rFonts w:cs="Arial"/>
          <w:szCs w:val="22"/>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superficial.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lateral.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lastRenderedPageBreak/>
        <w:t>Recarga desde los ríos y esteros.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subterránea.</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La recarga superficial corresponde a la infiltración de precipitación directa sobre el acuífero, más la infiltración del riego agrícola y pérdida desde canales. La recarga lateral corresponde a la precipitación indirecta sobre las subcuencas y microcuencas ubicadas en el valle central y que drenan hacia el acuífero (recarga de piedemonte). Las recargas subterráneas corresponden a los ingresos desde las parte alta de los acuíferos asociados a los valles del río Tinguiririca. </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Respecto a las descargas del acuífero, éstas se producen básicamente por tres mecanismos: </w:t>
      </w:r>
    </w:p>
    <w:p w:rsidR="00BC1064" w:rsidRPr="00414555" w:rsidRDefault="00BC1064" w:rsidP="00B51B51">
      <w:pPr>
        <w:widowControl w:val="0"/>
        <w:autoSpaceDE w:val="0"/>
        <w:autoSpaceDN w:val="0"/>
        <w:adjustRightInd w:val="0"/>
        <w:rPr>
          <w:rFonts w:cs="Arial"/>
          <w:szCs w:val="22"/>
          <w:lang w:val="es-CL" w:eastAsia="es-C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subterránea hacia el embalse Rapel.</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hacia los cauces superficiales.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Descarga desde pozos.</w:t>
      </w:r>
    </w:p>
    <w:p w:rsidR="00D91E96" w:rsidRPr="00414555" w:rsidRDefault="00D91E96" w:rsidP="00D91E96">
      <w:pPr>
        <w:pStyle w:val="Prrafodelista"/>
        <w:widowControl w:val="0"/>
        <w:ind w:left="0"/>
        <w:contextualSpacing/>
        <w:jc w:val="both"/>
        <w:rPr>
          <w:rFonts w:ascii="Arial" w:hAnsi="Arial" w:cs="Arial"/>
          <w:sz w:val="22"/>
          <w:szCs w:val="22"/>
          <w:lang w:val="es-CL"/>
        </w:rPr>
      </w:pPr>
    </w:p>
    <w:p w:rsidR="00BC1064" w:rsidRPr="00414555" w:rsidRDefault="00BC1064" w:rsidP="00D91E96">
      <w:pPr>
        <w:pStyle w:val="Ttulo3"/>
      </w:pPr>
      <w:bookmarkStart w:id="123" w:name="_Toc336426473"/>
      <w:bookmarkStart w:id="124" w:name="_Toc344391778"/>
      <w:r w:rsidRPr="00414555">
        <w:t>Acuífero Río Nilahue</w:t>
      </w:r>
      <w:bookmarkEnd w:id="123"/>
      <w:bookmarkEnd w:id="124"/>
    </w:p>
    <w:p w:rsidR="00BC1064" w:rsidRPr="00414555" w:rsidRDefault="00BC1064" w:rsidP="00B51B51">
      <w:pPr>
        <w:widowControl w:val="0"/>
        <w:rPr>
          <w:rFonts w:cs="Arial"/>
          <w:lang w:val="es-CL"/>
        </w:rPr>
      </w:pPr>
    </w:p>
    <w:p w:rsidR="00BC1064" w:rsidRPr="00414555" w:rsidRDefault="00BC1064" w:rsidP="00B51B51">
      <w:pPr>
        <w:widowControl w:val="0"/>
        <w:rPr>
          <w:rFonts w:cs="Arial"/>
          <w:szCs w:val="22"/>
          <w:lang w:val="es-ES_tradnl"/>
        </w:rPr>
      </w:pPr>
      <w:r w:rsidRPr="00414555">
        <w:rPr>
          <w:rFonts w:cs="Arial"/>
          <w:szCs w:val="22"/>
          <w:lang w:val="es-ES_tradnl"/>
        </w:rPr>
        <w:t>La recarga a los acuíferos está constituida por los siguientes aportes:</w:t>
      </w:r>
    </w:p>
    <w:p w:rsidR="00BC1064" w:rsidRPr="00414555" w:rsidRDefault="00BC1064" w:rsidP="00B51B51">
      <w:pPr>
        <w:widowControl w:val="0"/>
        <w:rPr>
          <w:rFonts w:cs="Arial"/>
          <w:szCs w:val="22"/>
          <w:lang w:val="es-ES_tradnl"/>
        </w:rPr>
      </w:pP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Infiltración de lluvias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Percolación desde lechos de cauces</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Recarga producto del riego</w:t>
      </w:r>
    </w:p>
    <w:p w:rsidR="00BC1064" w:rsidRPr="008714A3" w:rsidRDefault="00BC1064" w:rsidP="00145762">
      <w:pPr>
        <w:pStyle w:val="NormalSangra"/>
        <w:numPr>
          <w:ilvl w:val="0"/>
          <w:numId w:val="1"/>
        </w:numPr>
        <w:tabs>
          <w:tab w:val="clear" w:pos="870"/>
        </w:tabs>
        <w:ind w:left="709" w:hanging="709"/>
        <w:rPr>
          <w:sz w:val="22"/>
          <w:szCs w:val="22"/>
        </w:rPr>
      </w:pPr>
      <w:r w:rsidRPr="008714A3">
        <w:rPr>
          <w:sz w:val="22"/>
          <w:szCs w:val="22"/>
        </w:rPr>
        <w:t>Flujo de agua subterránea</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En el sistema analizado la recarga proveniente de los excedentes de riego resulta prácticamente despreciable debido a que se trata de zonas de secano. El flujo subterráneo entrante es nulo ya que las cuencas estudiadas son cuencas de cabecera. Por lo tanto, la recarga proviene principalmente de la infiltración de precipitaciones y desde los lechos de los cauces.</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 xml:space="preserve">Parte de la escorrentía superficial puede recargar al acuífero, pero éste posee una capacidad limitada de captación, conducción y almacenamiento. </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autoSpaceDE w:val="0"/>
        <w:autoSpaceDN w:val="0"/>
        <w:adjustRightInd w:val="0"/>
        <w:rPr>
          <w:rFonts w:cs="Arial"/>
          <w:szCs w:val="22"/>
          <w:lang w:val="es-CL" w:eastAsia="es-CL"/>
        </w:rPr>
      </w:pPr>
      <w:r w:rsidRPr="00414555">
        <w:rPr>
          <w:rFonts w:cs="Arial"/>
          <w:szCs w:val="22"/>
          <w:lang w:val="es-CL" w:eastAsia="es-CL"/>
        </w:rPr>
        <w:t>Particularmente, el sistema se encuentra en una condición cercana al equilibrio, dado que hasta el momento no ha sido intensamente explotado y por ello los niveles se encuentran bastante superficiales.</w:t>
      </w:r>
    </w:p>
    <w:p w:rsidR="00BC1064" w:rsidRPr="00414555" w:rsidRDefault="00BC1064" w:rsidP="00B51B51">
      <w:pPr>
        <w:widowControl w:val="0"/>
        <w:autoSpaceDE w:val="0"/>
        <w:autoSpaceDN w:val="0"/>
        <w:adjustRightInd w:val="0"/>
        <w:rPr>
          <w:rFonts w:cs="Arial"/>
          <w:szCs w:val="22"/>
          <w:lang w:val="es-CL" w:eastAsia="es-CL"/>
        </w:rPr>
      </w:pPr>
    </w:p>
    <w:p w:rsidR="00BC1064" w:rsidRPr="00414555" w:rsidRDefault="00BC1064" w:rsidP="00B51B51">
      <w:pPr>
        <w:widowControl w:val="0"/>
        <w:rPr>
          <w:rFonts w:cs="Arial"/>
          <w:szCs w:val="22"/>
          <w:lang w:val="es-ES_tradnl"/>
        </w:rPr>
      </w:pPr>
      <w:r w:rsidRPr="00414555">
        <w:rPr>
          <w:rFonts w:cs="Arial"/>
          <w:szCs w:val="22"/>
          <w:lang w:val="es-ES_tradnl"/>
        </w:rPr>
        <w:t>La descarga artificial del sistema está constituida por el bombeo de pozos que es de 8,7 l/s en Los Coipos y 69 l/s en Quiahue. La descarga natural del sistema es el flujo subterráneo pasante. Otra descarga natural del sistema podría ser un aporte napa-cauce, pero en las cuencas analizadas probablemente no se presenta, dado que no existen angostamientos importantes del relleno y la pendiente del terreno es reducida (0,2%).</w:t>
      </w:r>
    </w:p>
    <w:p w:rsidR="00BC1064" w:rsidRPr="00414555" w:rsidRDefault="00BC1064" w:rsidP="00B51B51">
      <w:pPr>
        <w:widowControl w:val="0"/>
        <w:rPr>
          <w:rFonts w:cs="Arial"/>
          <w:lang w:val="es-ES_tradnl"/>
        </w:rPr>
      </w:pPr>
    </w:p>
    <w:p w:rsidR="00BC1064" w:rsidRPr="00414555" w:rsidRDefault="008714A3" w:rsidP="00B51B51">
      <w:pPr>
        <w:pStyle w:val="Ttulo2"/>
        <w:keepNext w:val="0"/>
      </w:pPr>
      <w:bookmarkStart w:id="125" w:name="_Toc336426474"/>
      <w:r>
        <w:br w:type="page"/>
      </w:r>
      <w:bookmarkStart w:id="126" w:name="_Toc344391779"/>
      <w:r w:rsidR="00BC1064" w:rsidRPr="00414555">
        <w:lastRenderedPageBreak/>
        <w:t>Determinación de Escorrentía y Disponibilidad</w:t>
      </w:r>
      <w:bookmarkEnd w:id="125"/>
      <w:bookmarkEnd w:id="126"/>
    </w:p>
    <w:p w:rsidR="00BC1064" w:rsidRPr="00414555" w:rsidRDefault="00BC1064" w:rsidP="00B51B51">
      <w:pPr>
        <w:widowControl w:val="0"/>
        <w:rPr>
          <w:rFonts w:cs="Arial"/>
        </w:rPr>
      </w:pPr>
    </w:p>
    <w:p w:rsidR="00CA5B05" w:rsidRPr="008714A3" w:rsidRDefault="00CA5B05" w:rsidP="00CA5B05">
      <w:pPr>
        <w:rPr>
          <w:rFonts w:cs="Arial"/>
          <w:szCs w:val="22"/>
          <w:lang w:val="es-ES_tradnl"/>
        </w:rPr>
      </w:pPr>
      <w:r w:rsidRPr="008714A3">
        <w:rPr>
          <w:rFonts w:cs="Arial"/>
          <w:szCs w:val="22"/>
          <w:lang w:val="es-ES_tradnl"/>
        </w:rPr>
        <w:t xml:space="preserve">Se ha consulta información de los estudios referenciales (Ref. </w:t>
      </w:r>
      <w:smartTag w:uri="urn:schemas-microsoft-com:office:smarttags" w:element="metricconverter">
        <w:smartTagPr>
          <w:attr w:name="ProductID" w:val="1 a"/>
        </w:smartTagPr>
        <w:r w:rsidRPr="008714A3">
          <w:rPr>
            <w:rFonts w:cs="Arial"/>
            <w:szCs w:val="22"/>
            <w:lang w:val="es-ES_tradnl"/>
          </w:rPr>
          <w:t>1 a</w:t>
        </w:r>
      </w:smartTag>
      <w:r w:rsidRPr="008714A3">
        <w:rPr>
          <w:rFonts w:cs="Arial"/>
          <w:szCs w:val="22"/>
          <w:lang w:val="es-ES_tradnl"/>
        </w:rPr>
        <w:t xml:space="preserve"> 25) y que permiten obtener información de la escorrentía y disponibilidad de los recursos subterráneos en cada acuífero.</w:t>
      </w:r>
    </w:p>
    <w:p w:rsidR="00CA5B05" w:rsidRPr="008714A3" w:rsidRDefault="00CA5B05" w:rsidP="00CA5B05">
      <w:pPr>
        <w:rPr>
          <w:rFonts w:cs="Arial"/>
          <w:szCs w:val="22"/>
          <w:lang w:val="es-ES_tradnl"/>
        </w:rPr>
      </w:pPr>
    </w:p>
    <w:p w:rsidR="00CA5B05" w:rsidRPr="008714A3" w:rsidRDefault="00CA5B05" w:rsidP="00CA5B05">
      <w:pPr>
        <w:rPr>
          <w:rFonts w:cs="Arial"/>
          <w:szCs w:val="22"/>
          <w:lang w:val="es-ES_tradnl"/>
        </w:rPr>
      </w:pPr>
      <w:r w:rsidRPr="008714A3">
        <w:rPr>
          <w:rFonts w:cs="Arial"/>
          <w:szCs w:val="22"/>
          <w:lang w:val="es-ES_tradnl"/>
        </w:rPr>
        <w:t xml:space="preserve">El creciente desarrollo de actividades agrícolas en </w:t>
      </w:r>
      <w:smartTag w:uri="urn:schemas-microsoft-com:office:smarttags" w:element="PersonName">
        <w:smartTagPr>
          <w:attr w:name="ProductID" w:val="la VI Región"/>
        </w:smartTagPr>
        <w:r w:rsidRPr="008714A3">
          <w:rPr>
            <w:rFonts w:cs="Arial"/>
            <w:szCs w:val="22"/>
            <w:lang w:val="es-ES_tradnl"/>
          </w:rPr>
          <w:t>la VI Región</w:t>
        </w:r>
      </w:smartTag>
      <w:r w:rsidRPr="008714A3">
        <w:rPr>
          <w:rFonts w:cs="Arial"/>
          <w:szCs w:val="22"/>
          <w:lang w:val="es-ES_tradnl"/>
        </w:rPr>
        <w:t xml:space="preserve">, ha considerado un fuerte interés sobre los recursos hídricos subterráneos, debido a que las principales fuentes superficiales se encuentran agotadas. En este contexto, </w:t>
      </w:r>
      <w:smartTag w:uri="urn:schemas-microsoft-com:office:smarttags" w:element="PersonName">
        <w:smartTagPr>
          <w:attr w:name="ProductID" w:val="la DGA"/>
        </w:smartTagPr>
        <w:r w:rsidRPr="008714A3">
          <w:rPr>
            <w:rFonts w:cs="Arial"/>
            <w:szCs w:val="22"/>
            <w:lang w:val="es-ES_tradnl"/>
          </w:rPr>
          <w:t>la DGA</w:t>
        </w:r>
      </w:smartTag>
      <w:r w:rsidRPr="008714A3">
        <w:rPr>
          <w:rFonts w:cs="Arial"/>
          <w:szCs w:val="22"/>
          <w:lang w:val="es-ES_tradnl"/>
        </w:rPr>
        <w:t xml:space="preserve"> decidió estudiar a escala regional, los principales acuíferos de </w:t>
      </w:r>
      <w:smartTag w:uri="urn:schemas-microsoft-com:office:smarttags" w:element="PersonName">
        <w:smartTagPr>
          <w:attr w:name="ProductID" w:val="la VI"/>
        </w:smartTagPr>
        <w:r w:rsidRPr="008714A3">
          <w:rPr>
            <w:rFonts w:cs="Arial"/>
            <w:szCs w:val="22"/>
            <w:lang w:val="es-ES_tradnl"/>
          </w:rPr>
          <w:t>la VI</w:t>
        </w:r>
      </w:smartTag>
      <w:r w:rsidRPr="008714A3">
        <w:rPr>
          <w:rFonts w:cs="Arial"/>
          <w:szCs w:val="22"/>
          <w:lang w:val="es-ES_tradnl"/>
        </w:rPr>
        <w:t xml:space="preserve"> región, confeccionando una modelación hidrogeológica de los Valles de Alhué, Cachapoal y Tinguiririca. Se utilizó un modelo numérico en Visual MODFLOW, desarrollado por DICTUC S.A. para </w:t>
      </w:r>
      <w:smartTag w:uri="urn:schemas-microsoft-com:office:smarttags" w:element="PersonName">
        <w:smartTagPr>
          <w:attr w:name="ProductID" w:val="la DGA"/>
        </w:smartTagPr>
        <w:r w:rsidRPr="008714A3">
          <w:rPr>
            <w:rFonts w:cs="Arial"/>
            <w:szCs w:val="22"/>
            <w:lang w:val="es-ES_tradnl"/>
          </w:rPr>
          <w:t>la DGA</w:t>
        </w:r>
      </w:smartTag>
      <w:r w:rsidRPr="008714A3">
        <w:rPr>
          <w:rFonts w:cs="Arial"/>
          <w:szCs w:val="22"/>
          <w:lang w:val="es-ES_tradnl"/>
        </w:rPr>
        <w:t>, que permitió evaluar balances de flujo, interacción río – acuífero, y analizar una serie de criterios cuantitativos que consisten en determinar el caudal de explotación sustentable o demanda máxima posible de extraer de cada uno de los sectores. Además evaluar distintos escenarios de demanda (con un horizonte de 50 años), los que se plantean siguiendo el patrón de demanda histórico del sector correspondiente. En base a estos escenarios, se analiza para cada sector cual es el caudal máximo que se puede extraer, tal que se cumplan los criterios cuantitativos establecidos.</w:t>
      </w:r>
    </w:p>
    <w:p w:rsidR="00CA5B05" w:rsidRPr="008714A3" w:rsidRDefault="00CA5B05" w:rsidP="00CA5B05">
      <w:pPr>
        <w:rPr>
          <w:rFonts w:cs="Arial"/>
          <w:szCs w:val="22"/>
          <w:lang w:val="es-ES_tradnl"/>
        </w:rPr>
      </w:pPr>
    </w:p>
    <w:p w:rsidR="00CA5B05" w:rsidRPr="008714A3" w:rsidRDefault="00CA5B05" w:rsidP="00CA5B05">
      <w:pPr>
        <w:rPr>
          <w:rFonts w:cs="Arial"/>
          <w:szCs w:val="22"/>
          <w:lang w:val="es-ES_tradnl"/>
        </w:rPr>
      </w:pPr>
      <w:r w:rsidRPr="008714A3">
        <w:rPr>
          <w:rFonts w:cs="Arial"/>
          <w:szCs w:val="22"/>
          <w:lang w:val="es-ES_tradnl"/>
        </w:rPr>
        <w:t>Con respecto a la evaluación de la sustentabilidad de los sectores abiertos, los criterios de cierre utilizados y la forma en que se llevaron a cabo, pueden encontrarse en el informe técnico DARH S.D.T N° 229 (Ref.5) y se detallan a continuación:</w:t>
      </w:r>
    </w:p>
    <w:p w:rsidR="00CA5B05" w:rsidRPr="00787B3C" w:rsidRDefault="00CA5B05" w:rsidP="00CA5B05">
      <w:pPr>
        <w:rPr>
          <w:rFonts w:cs="Arial"/>
          <w:szCs w:val="22"/>
          <w:highlight w:val="red"/>
          <w:lang w:val="es-ES_tradnl"/>
        </w:rPr>
      </w:pP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1: Descensos sostenibles en el tiempo a nivel de acuífero. Es decir, los descensos deben estar estabilizados para una operación de 50 años del sistema. Esta estabilización de niveles debe ser respaldada por una recarga suficiente que ingresa al volumen de control (recarga superficial, infiltración desde el río, aporte de flujos de agua subterránea de acuíferos superiores, etc.). Para poder concretar este criterio, se consideró que un descenso sostenible es aquel no mayor a 1[m] en los últimos 20 años de los escenarios planteados (50 años de simulación).</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2: La evaluación de la interacción entre aguas superficiales (ríos, vertientes, etc.) y aguas subterráneas debe ser despreciable, de tal forma de no afectar los recursos superficiales ya comprometidos. El grado de interacción (recursos inducidos sobre fuentes superficiales comparado con una situación de régimen natural) debe ser menor que 10% de los flujos superficiales pasantes en cada una de las zonas, evaluados como el caudal promedio anual de 85% de probabilidad de excedencia.</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3: Verificar que el aumento de extracciones desde un sector no afecte la disponibilidad sustentable desde otro sector aguas abajo. El cumplimiento de este criterio estará dado porque ninguno de los sectores abiertos en que se aumente la demanda provoque el no cumplimiento de los criterios para los otros sectores abiertos, o para los sectores cerrados (dichos criterios para los sectores cerrados se especifican en el siguiente punto).</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4: Para cada sector hidrogeológico, el modelo debe permitir una extracción mínima de un 95% del caudal ingresado como demanda y la oferta estará dada por el caudal de los pozos que el modelo indica que son factibles de obtener.</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5: En cada sector hidrogeológico no debe haber más de un 5% de pozos desconectados o colgados. En caso contrario el sector quedará cerrado. Esta condición apunta a respetar derechos de terceros sin importar la cantidad que extraiga cada pozo.</w:t>
      </w:r>
    </w:p>
    <w:p w:rsidR="00CA5B05" w:rsidRPr="00787B3C" w:rsidRDefault="00CA5B05" w:rsidP="00CA5B05">
      <w:pPr>
        <w:rPr>
          <w:rFonts w:cs="Arial"/>
          <w:szCs w:val="22"/>
          <w:highlight w:val="red"/>
          <w:lang w:val="es-ES_tradnl"/>
        </w:rPr>
      </w:pPr>
    </w:p>
    <w:p w:rsidR="00CA5B05" w:rsidRPr="008714A3" w:rsidRDefault="00CA5B05" w:rsidP="00CA5B05">
      <w:pPr>
        <w:rPr>
          <w:rFonts w:cs="Arial"/>
          <w:szCs w:val="22"/>
          <w:lang w:val="es-ES_tradnl"/>
        </w:rPr>
      </w:pPr>
      <w:r w:rsidRPr="008714A3">
        <w:rPr>
          <w:rFonts w:cs="Arial"/>
          <w:szCs w:val="22"/>
          <w:lang w:val="es-ES_tradnl"/>
        </w:rPr>
        <w:lastRenderedPageBreak/>
        <w:t>En relación con los criterios de sustentabilidad para los sectores acuíferos cerrados, estos son los siguientes:</w:t>
      </w:r>
    </w:p>
    <w:p w:rsidR="00CA5B05" w:rsidRPr="00787B3C" w:rsidRDefault="00CA5B05" w:rsidP="00CA5B05">
      <w:pPr>
        <w:rPr>
          <w:rFonts w:cs="Arial"/>
          <w:szCs w:val="22"/>
          <w:highlight w:val="red"/>
          <w:lang w:val="es-ES_tradnl"/>
        </w:rPr>
      </w:pP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1: Los descensos en los últimos 20 años no podrán variar en más de un 10%, con respecto a los valores obtenidos en la situación designada como base (cada vez que se cierre un sector, esta simulación pasará a ser la nueva situación base en lo que respecta a las comparaciones de los descensos, así como también de los otros criterios), si esto se produce, aquel sector abierto que provoque dicho descenso, deberá ser cerrado.</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2: La interferencia río acuífero se trabajará en porcentajes enteros, de tal manera, de que ésta puede aumentar entre cada simulación, pero para los sectores cerrados no se podrá pasar al entero siguiente, si esto sucede, el sector abierto que provoque este aumento deberá cerrarse.</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3: Para la satisfacción de la demanda se utilizará el mismo criterio que para la interferencia.</w:t>
      </w:r>
    </w:p>
    <w:p w:rsidR="00CA5B05" w:rsidRPr="008714A3" w:rsidRDefault="00CA5B05" w:rsidP="00145762">
      <w:pPr>
        <w:pStyle w:val="NormalSangra"/>
        <w:numPr>
          <w:ilvl w:val="0"/>
          <w:numId w:val="1"/>
        </w:numPr>
        <w:tabs>
          <w:tab w:val="clear" w:pos="870"/>
        </w:tabs>
        <w:ind w:left="709" w:hanging="709"/>
        <w:rPr>
          <w:sz w:val="22"/>
          <w:szCs w:val="22"/>
        </w:rPr>
      </w:pPr>
      <w:r w:rsidRPr="008714A3">
        <w:rPr>
          <w:sz w:val="22"/>
          <w:szCs w:val="22"/>
        </w:rPr>
        <w:t>Criterio 4: Con respecto a los pozos secos si en uno de los sectores cerrados, se seca un nuevo pozo, se deberá cerrar aquel sector (abierto) en que se aumentó la demanda y que provocó este nuevo pozo seco en el sector cerrado.</w:t>
      </w:r>
    </w:p>
    <w:p w:rsidR="00D91E96" w:rsidRPr="00CA5B05" w:rsidRDefault="00D91E96" w:rsidP="00B51B51">
      <w:pPr>
        <w:widowControl w:val="0"/>
        <w:rPr>
          <w:rFonts w:cs="Arial"/>
          <w:lang w:val="es-ES_tradnl"/>
        </w:rPr>
      </w:pPr>
    </w:p>
    <w:p w:rsidR="00BC1064" w:rsidRPr="00414555" w:rsidRDefault="00BC1064" w:rsidP="00D91E96">
      <w:pPr>
        <w:pStyle w:val="Ttulo3"/>
      </w:pPr>
      <w:bookmarkStart w:id="127" w:name="_Toc336426475"/>
      <w:bookmarkStart w:id="128" w:name="_Toc344391780"/>
      <w:r w:rsidRPr="00414555">
        <w:t>Acuífero Río Angostura</w:t>
      </w:r>
      <w:bookmarkEnd w:id="127"/>
      <w:bookmarkEnd w:id="128"/>
    </w:p>
    <w:p w:rsidR="00BC1064" w:rsidRPr="00414555" w:rsidRDefault="00BC1064" w:rsidP="00B51B51">
      <w:pPr>
        <w:widowControl w:val="0"/>
        <w:spacing w:line="240" w:lineRule="atLeast"/>
        <w:rPr>
          <w:rFonts w:cs="Arial"/>
        </w:rPr>
      </w:pPr>
    </w:p>
    <w:p w:rsidR="00BC1064" w:rsidRPr="00414555" w:rsidRDefault="00BC1064" w:rsidP="00B51B51">
      <w:pPr>
        <w:pStyle w:val="Ttulo4Ttulo4"/>
        <w:keepNext w:val="0"/>
        <w:widowControl w:val="0"/>
        <w:spacing w:before="0" w:after="0"/>
        <w:ind w:left="862" w:hanging="862"/>
      </w:pPr>
      <w:bookmarkStart w:id="129" w:name="_Toc336426476"/>
      <w:bookmarkStart w:id="130" w:name="_Toc344391781"/>
      <w:r w:rsidRPr="00414555">
        <w:t>Sector Codegua</w:t>
      </w:r>
      <w:bookmarkEnd w:id="129"/>
      <w:bookmarkEnd w:id="130"/>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lang w:val="es-ES_tradnl"/>
        </w:rPr>
      </w:pPr>
      <w:r w:rsidRPr="00414555">
        <w:rPr>
          <w:rFonts w:cs="Arial"/>
          <w:lang w:val="es-ES_tradnl"/>
        </w:rPr>
        <w:t>El escenario de demanda comprometida a diciembre de 2005 en el sector acuífero de Codegua, no se cumple el criterio 1 de sustentabilidad, esto es en relación al descenso sostenido del nivel de la napa y a la variación del volumen embalsado.</w:t>
      </w:r>
    </w:p>
    <w:p w:rsidR="00BC1064" w:rsidRPr="00414555" w:rsidRDefault="00BC1064" w:rsidP="00B51B51">
      <w:pPr>
        <w:widowControl w:val="0"/>
        <w:spacing w:line="240" w:lineRule="atLeast"/>
        <w:rPr>
          <w:rFonts w:cs="Arial"/>
          <w:lang w:val="es-ES_tradnl"/>
        </w:rPr>
      </w:pPr>
    </w:p>
    <w:p w:rsidR="00BC1064" w:rsidRPr="00414555" w:rsidRDefault="00BC1064" w:rsidP="00B51B51">
      <w:pPr>
        <w:widowControl w:val="0"/>
        <w:spacing w:line="240" w:lineRule="atLeast"/>
        <w:rPr>
          <w:rFonts w:cs="Arial"/>
          <w:lang w:val="es-ES_tradnl"/>
        </w:rPr>
      </w:pPr>
      <w:r w:rsidRPr="00414555">
        <w:rPr>
          <w:rFonts w:cs="Arial"/>
          <w:lang w:val="es-ES_tradnl"/>
        </w:rPr>
        <w:t>Según este criterio, un descenso sustentable corresponde a un descenso menor a un metro en 20 años. Para el Sector acuífero de Codegua se obtiene un descenso sostenido mayor al establecido en el criterio, por lo cual fue necesario chequear la variación del volumen embalsado.</w:t>
      </w:r>
    </w:p>
    <w:p w:rsidR="00BC1064" w:rsidRPr="00414555" w:rsidRDefault="00BC1064" w:rsidP="00B51B51">
      <w:pPr>
        <w:widowControl w:val="0"/>
        <w:spacing w:line="240" w:lineRule="atLeast"/>
        <w:rPr>
          <w:rFonts w:cs="Arial"/>
          <w:lang w:val="es-ES_tradnl"/>
        </w:rPr>
      </w:pPr>
    </w:p>
    <w:p w:rsidR="00BC1064" w:rsidRPr="00414555" w:rsidRDefault="00BC1064" w:rsidP="00B51B51">
      <w:pPr>
        <w:widowControl w:val="0"/>
        <w:spacing w:line="240" w:lineRule="atLeast"/>
        <w:rPr>
          <w:rFonts w:cs="Arial"/>
          <w:lang w:val="es-ES_tradnl"/>
        </w:rPr>
      </w:pPr>
      <w:r w:rsidRPr="00414555">
        <w:rPr>
          <w:rFonts w:cs="Arial"/>
          <w:lang w:val="es-ES_tradnl"/>
        </w:rPr>
        <w:t>El criterio de la variación del volumen embalsado respecto al régimen natural (situación inicial), indica que no se debe afectar el acuífero más allá de un 5%. El en caso del acuífero de Codegua, se observa que el volumen embalsado disminuyó aproximadamente en un 24%, no cumpliéndose el criterio 1 de sustentabilidad, por lo que el sector acuífero de Codegua debe ser cerrado.</w:t>
      </w:r>
    </w:p>
    <w:p w:rsidR="00CA5B05" w:rsidRPr="00414555" w:rsidRDefault="00CA5B05" w:rsidP="00B51B51">
      <w:pPr>
        <w:widowControl w:val="0"/>
        <w:spacing w:line="240" w:lineRule="atLeast"/>
        <w:rPr>
          <w:rFonts w:cs="Arial"/>
          <w:lang w:val="es-ES_tradnl"/>
        </w:rPr>
      </w:pPr>
    </w:p>
    <w:p w:rsidR="0032171E" w:rsidRPr="00414555" w:rsidRDefault="0032171E" w:rsidP="00B51B51">
      <w:pPr>
        <w:pStyle w:val="Epgrafe"/>
        <w:widowControl w:val="0"/>
      </w:pPr>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p>
    <w:p w:rsidR="00BC1064" w:rsidRPr="00414555" w:rsidRDefault="00254CE2" w:rsidP="00B51B51">
      <w:pPr>
        <w:widowControl w:val="0"/>
        <w:spacing w:line="240" w:lineRule="atLeast"/>
        <w:jc w:val="center"/>
        <w:rPr>
          <w:rFonts w:cs="Arial"/>
          <w:lang w:val="es-ES_tradnl"/>
        </w:rPr>
      </w:pPr>
      <w:r>
        <w:rPr>
          <w:rFonts w:cs="Arial"/>
          <w:noProof/>
          <w:lang w:val="es-CL" w:eastAsia="es-CL"/>
        </w:rPr>
        <w:drawing>
          <wp:inline distT="0" distB="0" distL="0" distR="0">
            <wp:extent cx="2785745" cy="1020445"/>
            <wp:effectExtent l="0" t="0" r="0" b="8255"/>
            <wp:docPr id="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5745" cy="1020445"/>
                    </a:xfrm>
                    <a:prstGeom prst="rect">
                      <a:avLst/>
                    </a:prstGeom>
                    <a:noFill/>
                    <a:ln>
                      <a:noFill/>
                    </a:ln>
                  </pic:spPr>
                </pic:pic>
              </a:graphicData>
            </a:graphic>
          </wp:inline>
        </w:drawing>
      </w:r>
    </w:p>
    <w:p w:rsidR="00BC1064" w:rsidRPr="00414555" w:rsidRDefault="00BC1064" w:rsidP="00B51B51">
      <w:pPr>
        <w:widowControl w:val="0"/>
        <w:spacing w:line="240" w:lineRule="atLeast"/>
        <w:rPr>
          <w:rFonts w:cs="Arial"/>
          <w:lang w:val="es-ES_tradnl"/>
        </w:rPr>
      </w:pPr>
    </w:p>
    <w:p w:rsidR="00BC1064" w:rsidRPr="00414555" w:rsidRDefault="00BC1064" w:rsidP="00B51B51">
      <w:pPr>
        <w:widowControl w:val="0"/>
        <w:spacing w:line="240" w:lineRule="atLeast"/>
        <w:rPr>
          <w:rFonts w:cs="Arial"/>
          <w:lang w:val="es-ES_tradnl"/>
        </w:rPr>
      </w:pPr>
      <w:r w:rsidRPr="00414555">
        <w:rPr>
          <w:rFonts w:cs="Arial"/>
          <w:lang w:val="es-ES_tradnl"/>
        </w:rPr>
        <w:t xml:space="preserve">Se observa también que el criterio 2, correspondiente al grado de interacción en la interferencia río acuífero no se cumple, dicho criterio busca no afectar los recursos superficiales ya comprometidos, en este sentido, el grado de interacción debe ser menor que </w:t>
      </w:r>
      <w:r w:rsidRPr="00414555">
        <w:rPr>
          <w:rFonts w:cs="Arial"/>
          <w:lang w:val="es-ES_tradnl"/>
        </w:rPr>
        <w:lastRenderedPageBreak/>
        <w:t>10% de los flujos superficiales pasantes en cada una de las zonas, evaluados como el caudal promedio anual de 85% de probabilidad de excedencia.</w:t>
      </w:r>
    </w:p>
    <w:p w:rsidR="00BC1064" w:rsidRPr="00414555" w:rsidRDefault="00BC1064" w:rsidP="00B51B51">
      <w:pPr>
        <w:widowControl w:val="0"/>
        <w:spacing w:line="240" w:lineRule="atLeast"/>
        <w:rPr>
          <w:rFonts w:cs="Arial"/>
          <w:lang w:val="es-ES_tradnl"/>
        </w:rPr>
      </w:pPr>
    </w:p>
    <w:p w:rsidR="00BC1064" w:rsidRPr="00414555" w:rsidRDefault="00BC1064" w:rsidP="00B51B51">
      <w:pPr>
        <w:widowControl w:val="0"/>
        <w:spacing w:line="240" w:lineRule="atLeast"/>
        <w:rPr>
          <w:rFonts w:cs="Arial"/>
          <w:lang w:val="es-ES_tradnl"/>
        </w:rPr>
      </w:pPr>
      <w:r w:rsidRPr="00414555">
        <w:rPr>
          <w:rFonts w:cs="Arial"/>
          <w:lang w:val="es-ES_tradnl"/>
        </w:rPr>
        <w:t>La variación de la interacción río acuífero reporta un caudal que supera considerablemente el 10 % del caudal pasante en el estero Codegua, en el río Peuco, y en la sumatoria de ambos, correspondiente a una afección total de 298,4 l/s.</w:t>
      </w:r>
    </w:p>
    <w:p w:rsidR="00BC1064" w:rsidRPr="00414555" w:rsidRDefault="00BC1064" w:rsidP="00B51B51">
      <w:pPr>
        <w:widowControl w:val="0"/>
        <w:spacing w:line="240" w:lineRule="atLeast"/>
        <w:rPr>
          <w:rFonts w:cs="Arial"/>
          <w:lang w:val="es-ES_tradnl"/>
        </w:rPr>
      </w:pPr>
    </w:p>
    <w:p w:rsidR="00BC1064" w:rsidRPr="00414555" w:rsidRDefault="00BC1064" w:rsidP="00B51B51">
      <w:pPr>
        <w:widowControl w:val="0"/>
        <w:spacing w:line="240" w:lineRule="atLeast"/>
        <w:rPr>
          <w:rFonts w:cs="Arial"/>
          <w:lang w:val="es-ES_tradnl"/>
        </w:rPr>
      </w:pPr>
      <w:r w:rsidRPr="00414555">
        <w:rPr>
          <w:rFonts w:cs="Arial"/>
          <w:lang w:val="es-ES_tradnl"/>
        </w:rPr>
        <w:t>Por lo tanto, este escenario de simulación no respeta el criterio 2 de sustentabilidad del acuífero.</w:t>
      </w:r>
    </w:p>
    <w:p w:rsidR="00BC1064" w:rsidRPr="00414555" w:rsidRDefault="00BC1064" w:rsidP="00B51B51">
      <w:pPr>
        <w:widowControl w:val="0"/>
        <w:spacing w:line="240" w:lineRule="atLeast"/>
        <w:rPr>
          <w:rFonts w:cs="Arial"/>
        </w:rPr>
      </w:pPr>
    </w:p>
    <w:p w:rsidR="0032171E" w:rsidRPr="00414555" w:rsidRDefault="0032171E" w:rsidP="00B51B51">
      <w:pPr>
        <w:pStyle w:val="Epgrafe"/>
        <w:widowControl w:val="0"/>
      </w:pPr>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p>
    <w:p w:rsidR="00BC1064" w:rsidRPr="00414555" w:rsidRDefault="00254CE2" w:rsidP="00B51B51">
      <w:pPr>
        <w:widowControl w:val="0"/>
        <w:spacing w:line="240" w:lineRule="atLeast"/>
        <w:jc w:val="center"/>
        <w:rPr>
          <w:rFonts w:cs="Arial"/>
        </w:rPr>
      </w:pPr>
      <w:r>
        <w:rPr>
          <w:rFonts w:cs="Arial"/>
          <w:noProof/>
          <w:lang w:val="es-CL" w:eastAsia="es-CL"/>
        </w:rPr>
        <w:drawing>
          <wp:inline distT="0" distB="0" distL="0" distR="0">
            <wp:extent cx="4348480" cy="1042035"/>
            <wp:effectExtent l="0" t="0" r="0" b="5715"/>
            <wp:docPr id="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48480" cy="1042035"/>
                    </a:xfrm>
                    <a:prstGeom prst="rect">
                      <a:avLst/>
                    </a:prstGeom>
                    <a:noFill/>
                    <a:ln>
                      <a:noFill/>
                    </a:ln>
                  </pic:spPr>
                </pic:pic>
              </a:graphicData>
            </a:graphic>
          </wp:inline>
        </w:drawing>
      </w:r>
    </w:p>
    <w:p w:rsidR="00D91E96" w:rsidRDefault="00D91E96" w:rsidP="00D91E96">
      <w:bookmarkStart w:id="131" w:name="_Toc336426477"/>
    </w:p>
    <w:p w:rsidR="00BC1064" w:rsidRPr="00414555" w:rsidRDefault="00BC1064" w:rsidP="00D91E96">
      <w:pPr>
        <w:pStyle w:val="Ttulo3"/>
      </w:pPr>
      <w:bookmarkStart w:id="132" w:name="_Toc344391782"/>
      <w:r w:rsidRPr="00414555">
        <w:t>Acuífero Río Cachapoal</w:t>
      </w:r>
      <w:bookmarkEnd w:id="131"/>
      <w:bookmarkEnd w:id="132"/>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BC1064" w:rsidP="00B51B51">
      <w:pPr>
        <w:pStyle w:val="Ttulo4Ttulo4"/>
        <w:keepNext w:val="0"/>
        <w:widowControl w:val="0"/>
        <w:spacing w:before="0" w:after="0"/>
        <w:ind w:left="862" w:hanging="862"/>
      </w:pPr>
      <w:bookmarkStart w:id="133" w:name="_Toc336426478"/>
      <w:bookmarkStart w:id="134" w:name="_Toc344391783"/>
      <w:r w:rsidRPr="00414555">
        <w:t>Sector Graneros-Rancagua</w:t>
      </w:r>
      <w:bookmarkEnd w:id="133"/>
      <w:bookmarkEnd w:id="134"/>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BC1064" w:rsidP="00B51B51">
      <w:pPr>
        <w:widowControl w:val="0"/>
        <w:autoSpaceDE w:val="0"/>
        <w:autoSpaceDN w:val="0"/>
        <w:adjustRightInd w:val="0"/>
        <w:spacing w:line="240" w:lineRule="atLeast"/>
        <w:rPr>
          <w:rFonts w:cs="Arial"/>
          <w:lang w:val="es-CL" w:eastAsia="es-CL"/>
        </w:rPr>
      </w:pPr>
      <w:r w:rsidRPr="00414555">
        <w:rPr>
          <w:rFonts w:cs="Arial"/>
          <w:lang w:val="es-CL" w:eastAsia="es-CL"/>
        </w:rPr>
        <w:t xml:space="preserve">Este sector se encuentra cerrado a partir del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por lo tanto, la explotación previsible de los usos y derechos de aprovechamiento se mantiene en un caudal equivalente a una explotación neta de 49.511.520 m</w:t>
      </w:r>
      <w:r w:rsidRPr="00414555">
        <w:rPr>
          <w:rFonts w:cs="Arial"/>
          <w:vertAlign w:val="superscript"/>
          <w:lang w:val="es-CL" w:eastAsia="es-CL"/>
        </w:rPr>
        <w:t>3</w:t>
      </w:r>
      <w:r w:rsidRPr="00414555">
        <w:rPr>
          <w:rFonts w:cs="Arial"/>
          <w:lang w:val="es-CL" w:eastAsia="es-CL"/>
        </w:rPr>
        <w:t>/año (1,57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pStyle w:val="Ttulo4Ttulo4"/>
        <w:keepNext w:val="0"/>
        <w:widowControl w:val="0"/>
        <w:spacing w:before="0" w:after="0"/>
        <w:ind w:left="862" w:hanging="862"/>
      </w:pPr>
      <w:bookmarkStart w:id="135" w:name="_Toc336426479"/>
      <w:bookmarkStart w:id="136" w:name="_Toc344391784"/>
      <w:r w:rsidRPr="00414555">
        <w:t>Sector Olivar</w:t>
      </w:r>
      <w:bookmarkEnd w:id="135"/>
      <w:bookmarkEnd w:id="136"/>
    </w:p>
    <w:p w:rsidR="00BC1064" w:rsidRPr="00414555" w:rsidRDefault="00BC1064" w:rsidP="00B51B51">
      <w:pPr>
        <w:widowControl w:val="0"/>
        <w:rPr>
          <w:lang w:val="es-CL" w:eastAsia="es-CL"/>
        </w:rPr>
      </w:pPr>
    </w:p>
    <w:p w:rsidR="00BC1064" w:rsidRDefault="00BC1064" w:rsidP="00B51B51">
      <w:pPr>
        <w:widowControl w:val="0"/>
        <w:spacing w:line="240" w:lineRule="atLeast"/>
        <w:rPr>
          <w:rFonts w:cs="Arial"/>
          <w:lang w:val="es-ES_tradnl"/>
        </w:rPr>
      </w:pPr>
      <w:r w:rsidRPr="00414555">
        <w:rPr>
          <w:rFonts w:cs="Arial"/>
          <w:lang w:val="es-ES_tradnl"/>
        </w:rPr>
        <w:t xml:space="preserve">Este sector se mantenía abierto según el análisis realizado por </w:t>
      </w:r>
      <w:smartTag w:uri="urn:schemas-microsoft-com:office:smarttags" w:element="PersonName">
        <w:smartTagPr>
          <w:attr w:name="ProductID" w:val="la DGA"/>
        </w:smartTagPr>
        <w:r w:rsidRPr="00414555">
          <w:rPr>
            <w:rFonts w:cs="Arial"/>
            <w:lang w:val="es-ES_tradnl"/>
          </w:rPr>
          <w:t>la DGA</w:t>
        </w:r>
      </w:smartTag>
      <w:r w:rsidRPr="00414555">
        <w:rPr>
          <w:rFonts w:cs="Arial"/>
          <w:lang w:val="es-ES_tradnl"/>
        </w:rPr>
        <w:t xml:space="preserve"> en el Informe Técnico SDT 209 con un caudal equivalente a una explotación neta de 0,56 (m</w:t>
      </w:r>
      <w:r w:rsidRPr="00414555">
        <w:rPr>
          <w:rFonts w:cs="Arial"/>
          <w:vertAlign w:val="superscript"/>
          <w:lang w:val="es-ES_tradnl"/>
        </w:rPr>
        <w:t>3</w:t>
      </w:r>
      <w:r w:rsidRPr="00414555">
        <w:rPr>
          <w:rFonts w:cs="Arial"/>
          <w:lang w:val="es-ES_tradnl"/>
        </w:rPr>
        <w:t xml:space="preserve">/s). En el presente estudio se determinó que este sector no cumple con uno de los criterios de sustentabilidad impuestos por </w:t>
      </w:r>
      <w:smartTag w:uri="urn:schemas-microsoft-com:office:smarttags" w:element="PersonName">
        <w:smartTagPr>
          <w:attr w:name="ProductID" w:val="la DGA"/>
        </w:smartTagPr>
        <w:r w:rsidRPr="00414555">
          <w:rPr>
            <w:rFonts w:cs="Arial"/>
            <w:lang w:val="es-ES_tradnl"/>
          </w:rPr>
          <w:t>la DGA</w:t>
        </w:r>
      </w:smartTag>
      <w:r w:rsidRPr="00414555">
        <w:rPr>
          <w:rFonts w:cs="Arial"/>
          <w:lang w:val="es-ES_tradnl"/>
        </w:rPr>
        <w:t xml:space="preserve"> (criterio 1 para sectores abiertos), incluso para el valor determinado en el estudio anterior. Por lo tanto, como dicho valor no se puede disminuir, la explotación previsible de los usos y derechos de aprovechamiento se mantiene en un caudal equivalente a una explotación neta de 17.660.160 m</w:t>
      </w:r>
      <w:r w:rsidRPr="00414555">
        <w:rPr>
          <w:rFonts w:cs="Arial"/>
          <w:vertAlign w:val="superscript"/>
          <w:lang w:val="es-ES_tradnl"/>
        </w:rPr>
        <w:t>3</w:t>
      </w:r>
      <w:r w:rsidRPr="00414555">
        <w:rPr>
          <w:rFonts w:cs="Arial"/>
          <w:lang w:val="es-ES_tradnl"/>
        </w:rPr>
        <w:t>/año (0,56 m</w:t>
      </w:r>
      <w:r w:rsidRPr="00414555">
        <w:rPr>
          <w:rFonts w:cs="Arial"/>
          <w:vertAlign w:val="superscript"/>
          <w:lang w:val="es-CL" w:eastAsia="es-CL"/>
        </w:rPr>
        <w:t>3</w:t>
      </w:r>
      <w:r w:rsidRPr="00414555">
        <w:rPr>
          <w:rFonts w:cs="Arial"/>
          <w:lang w:val="es-ES_tradnl"/>
        </w:rPr>
        <w:t>/s).</w:t>
      </w:r>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pStyle w:val="Ttulo4Ttulo4"/>
        <w:keepNext w:val="0"/>
        <w:widowControl w:val="0"/>
        <w:spacing w:before="0" w:after="0"/>
        <w:ind w:left="862" w:hanging="862"/>
      </w:pPr>
      <w:bookmarkStart w:id="137" w:name="_Toc336426480"/>
      <w:bookmarkStart w:id="138" w:name="_Toc344391785"/>
      <w:r w:rsidRPr="00414555">
        <w:t>Sector Doñihue – Coinco – Coltauco</w:t>
      </w:r>
      <w:bookmarkEnd w:id="137"/>
      <w:bookmarkEnd w:id="138"/>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Default="00BC1064" w:rsidP="00B51B51">
      <w:pPr>
        <w:widowControl w:val="0"/>
        <w:autoSpaceDE w:val="0"/>
        <w:autoSpaceDN w:val="0"/>
        <w:adjustRightInd w:val="0"/>
        <w:spacing w:line="240" w:lineRule="atLeast"/>
        <w:rPr>
          <w:rFonts w:cs="Arial"/>
          <w:lang w:val="es-CL" w:eastAsia="es-CL"/>
        </w:rPr>
      </w:pPr>
      <w:r w:rsidRPr="00414555">
        <w:rPr>
          <w:rFonts w:cs="Arial"/>
          <w:lang w:val="es-CL" w:eastAsia="es-CL"/>
        </w:rPr>
        <w:t xml:space="preserve">Este sector se mantenía abierto según 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con un caudal equivalente a una explotación neta de 0,4 (m</w:t>
      </w:r>
      <w:r w:rsidRPr="00414555">
        <w:rPr>
          <w:rFonts w:cs="Arial"/>
          <w:vertAlign w:val="superscript"/>
          <w:lang w:val="es-CL" w:eastAsia="es-CL"/>
        </w:rPr>
        <w:t>3</w:t>
      </w:r>
      <w:r w:rsidRPr="00414555">
        <w:rPr>
          <w:rFonts w:cs="Arial"/>
          <w:lang w:val="es-CL" w:eastAsia="es-CL"/>
        </w:rPr>
        <w:t>/s). En el presente estudio se determinó que para este sector, debido a la influencia que tiene su operación en otros sectores cerrados (lo que llevaba al incumplimiento de los criterios para estos sectores), la explotación previsible de los usos y derechos de aprovechamiento se puede llevar a un caudal equivalente a una explotación neta máxima de 27.436.320 m</w:t>
      </w:r>
      <w:r w:rsidRPr="00414555">
        <w:rPr>
          <w:rFonts w:cs="Arial"/>
          <w:vertAlign w:val="superscript"/>
          <w:lang w:val="es-CL" w:eastAsia="es-CL"/>
        </w:rPr>
        <w:t>3</w:t>
      </w:r>
      <w:r w:rsidRPr="00414555">
        <w:rPr>
          <w:rFonts w:cs="Arial"/>
          <w:lang w:val="es-CL" w:eastAsia="es-CL"/>
        </w:rPr>
        <w:t>/año (0,87 m</w:t>
      </w:r>
      <w:r w:rsidRPr="00414555">
        <w:rPr>
          <w:rFonts w:cs="Arial"/>
          <w:vertAlign w:val="superscript"/>
          <w:lang w:val="es-CL" w:eastAsia="es-CL"/>
        </w:rPr>
        <w:t>3</w:t>
      </w:r>
      <w:r w:rsidRPr="00414555">
        <w:rPr>
          <w:rFonts w:cs="Arial"/>
          <w:lang w:val="es-CL" w:eastAsia="es-CL"/>
        </w:rPr>
        <w:t>/s).</w:t>
      </w:r>
    </w:p>
    <w:p w:rsidR="00D91E96" w:rsidRPr="00414555" w:rsidRDefault="00D91E96" w:rsidP="00B51B51">
      <w:pPr>
        <w:widowControl w:val="0"/>
        <w:autoSpaceDE w:val="0"/>
        <w:autoSpaceDN w:val="0"/>
        <w:adjustRightInd w:val="0"/>
        <w:spacing w:line="240" w:lineRule="atLeast"/>
        <w:rPr>
          <w:rFonts w:cs="Arial"/>
          <w:lang w:val="es-CL" w:eastAsia="es-CL"/>
        </w:rPr>
      </w:pPr>
    </w:p>
    <w:p w:rsidR="00BC1064" w:rsidRPr="00414555" w:rsidRDefault="008714A3" w:rsidP="00B51B51">
      <w:pPr>
        <w:pStyle w:val="Ttulo4Ttulo4"/>
        <w:keepNext w:val="0"/>
        <w:widowControl w:val="0"/>
        <w:spacing w:before="0" w:after="0"/>
        <w:ind w:left="862" w:hanging="862"/>
      </w:pPr>
      <w:bookmarkStart w:id="139" w:name="_Toc336426481"/>
      <w:r>
        <w:br w:type="page"/>
      </w:r>
      <w:bookmarkStart w:id="140" w:name="_Toc344391786"/>
      <w:r w:rsidR="00BC1064" w:rsidRPr="00414555">
        <w:lastRenderedPageBreak/>
        <w:t>Sector Requínoa – Rosario – Rengo – Quinta de Tilcoco</w:t>
      </w:r>
      <w:bookmarkEnd w:id="139"/>
      <w:bookmarkEnd w:id="140"/>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Default="00BC1064" w:rsidP="00B51B51">
      <w:pPr>
        <w:widowControl w:val="0"/>
        <w:autoSpaceDE w:val="0"/>
        <w:autoSpaceDN w:val="0"/>
        <w:adjustRightInd w:val="0"/>
        <w:spacing w:line="240" w:lineRule="atLeast"/>
        <w:rPr>
          <w:rFonts w:cs="Arial"/>
          <w:lang w:val="es-CL" w:eastAsia="es-CL"/>
        </w:rPr>
      </w:pPr>
      <w:r w:rsidRPr="00414555">
        <w:rPr>
          <w:rFonts w:cs="Arial"/>
          <w:lang w:val="es-CL" w:eastAsia="es-CL"/>
        </w:rPr>
        <w:t xml:space="preserve">Este sector se encuentra cerrado a partir del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por lo tanto, la explotación previsible de los usos y derechos de aprovechamiento se mantiene en un caudal equivalente a una explotación neta de 53.295.840 m</w:t>
      </w:r>
      <w:r w:rsidRPr="00414555">
        <w:rPr>
          <w:rFonts w:cs="Arial"/>
          <w:vertAlign w:val="superscript"/>
          <w:lang w:val="es-CL" w:eastAsia="es-CL"/>
        </w:rPr>
        <w:t>3</w:t>
      </w:r>
      <w:r w:rsidRPr="00414555">
        <w:rPr>
          <w:rFonts w:cs="Arial"/>
          <w:lang w:val="es-CL" w:eastAsia="es-CL"/>
        </w:rPr>
        <w:t>/año (1,69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pStyle w:val="Ttulo4Ttulo4"/>
        <w:keepNext w:val="0"/>
        <w:widowControl w:val="0"/>
        <w:spacing w:before="0" w:after="0"/>
        <w:ind w:left="862" w:hanging="862"/>
      </w:pPr>
      <w:bookmarkStart w:id="141" w:name="_Toc336426482"/>
      <w:bookmarkStart w:id="142" w:name="_Toc344391787"/>
      <w:r w:rsidRPr="00414555">
        <w:t>Sector Pelequén – Malloa – San Vicente de Tagua Tagua</w:t>
      </w:r>
      <w:bookmarkEnd w:id="141"/>
      <w:bookmarkEnd w:id="142"/>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BC1064" w:rsidP="00B51B51">
      <w:pPr>
        <w:widowControl w:val="0"/>
        <w:autoSpaceDE w:val="0"/>
        <w:autoSpaceDN w:val="0"/>
        <w:adjustRightInd w:val="0"/>
        <w:spacing w:line="240" w:lineRule="atLeast"/>
        <w:rPr>
          <w:rFonts w:cs="Arial"/>
          <w:lang w:val="es-CL" w:eastAsia="es-CL"/>
        </w:rPr>
      </w:pPr>
      <w:r w:rsidRPr="00414555">
        <w:rPr>
          <w:rFonts w:cs="Arial"/>
          <w:lang w:val="es-CL" w:eastAsia="es-CL"/>
        </w:rPr>
        <w:t xml:space="preserve">Este sector se encuentra cerrado a partir del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por lo tanto, la explotación previsible de los usos y derechos de aprovechamiento se mantiene en un caudal equivalente a una explotación neta de 32.166.720 m</w:t>
      </w:r>
      <w:r w:rsidRPr="00414555">
        <w:rPr>
          <w:rFonts w:cs="Arial"/>
          <w:vertAlign w:val="superscript"/>
          <w:lang w:val="es-CL" w:eastAsia="es-CL"/>
        </w:rPr>
        <w:t>3</w:t>
      </w:r>
      <w:r w:rsidRPr="00414555">
        <w:rPr>
          <w:rFonts w:cs="Arial"/>
          <w:lang w:val="es-CL" w:eastAsia="es-CL"/>
        </w:rPr>
        <w:t>/año (1,02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pStyle w:val="Ttulo4Ttulo4"/>
        <w:keepNext w:val="0"/>
        <w:widowControl w:val="0"/>
        <w:spacing w:before="0" w:after="0"/>
        <w:ind w:left="862" w:hanging="862"/>
      </w:pPr>
      <w:bookmarkStart w:id="143" w:name="_Toc336426483"/>
      <w:bookmarkStart w:id="144" w:name="_Toc344391788"/>
      <w:r w:rsidRPr="00414555">
        <w:t>Sector Peumo – Pichidegua – Las Cabras</w:t>
      </w:r>
      <w:bookmarkEnd w:id="143"/>
      <w:bookmarkEnd w:id="144"/>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BC1064" w:rsidP="00B51B51">
      <w:pPr>
        <w:widowControl w:val="0"/>
        <w:autoSpaceDE w:val="0"/>
        <w:autoSpaceDN w:val="0"/>
        <w:adjustRightInd w:val="0"/>
        <w:spacing w:line="240" w:lineRule="atLeast"/>
        <w:rPr>
          <w:rFonts w:cs="Arial"/>
          <w:lang w:val="es-CL" w:eastAsia="es-CL"/>
        </w:rPr>
      </w:pPr>
      <w:r w:rsidRPr="00414555">
        <w:rPr>
          <w:rFonts w:cs="Arial"/>
          <w:lang w:val="es-CL" w:eastAsia="es-CL"/>
        </w:rPr>
        <w:t xml:space="preserve">Este sector se mantenía abierto según 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con un caudal equivalente a una explotación neta de 0,67 (m</w:t>
      </w:r>
      <w:r w:rsidRPr="00414555">
        <w:rPr>
          <w:rFonts w:cs="Arial"/>
          <w:vertAlign w:val="superscript"/>
          <w:lang w:val="es-CL" w:eastAsia="es-CL"/>
        </w:rPr>
        <w:t>3</w:t>
      </w:r>
      <w:r w:rsidRPr="00414555">
        <w:rPr>
          <w:rFonts w:cs="Arial"/>
          <w:lang w:val="es-CL" w:eastAsia="es-CL"/>
        </w:rPr>
        <w:t>/s). Se determinó que para este sector, debido al incumplimiento de uno de los criterios para sectores abiertos (criterio 5) y a la influencia que tiene su operación en otros sectores cerrados (lo que llevaba al incumplimiento de los criterios para estos sectores), la explotación previsible de los usos y derechos de aprovechamiento se puede llevar a un caudal equivalente a una explotación neta máxima de 44.402.688 m</w:t>
      </w:r>
      <w:r w:rsidRPr="00414555">
        <w:rPr>
          <w:rFonts w:cs="Arial"/>
          <w:vertAlign w:val="superscript"/>
          <w:lang w:val="es-CL" w:eastAsia="es-CL"/>
        </w:rPr>
        <w:t>3</w:t>
      </w:r>
      <w:r w:rsidRPr="00414555">
        <w:rPr>
          <w:rFonts w:cs="Arial"/>
          <w:lang w:val="es-CL" w:eastAsia="es-CL"/>
        </w:rPr>
        <w:t>/año (1,408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pStyle w:val="Ttulo4Ttulo4"/>
        <w:keepNext w:val="0"/>
        <w:widowControl w:val="0"/>
        <w:spacing w:before="0" w:after="0"/>
        <w:ind w:left="862" w:hanging="862"/>
      </w:pPr>
      <w:bookmarkStart w:id="145" w:name="_Toc336426484"/>
      <w:bookmarkStart w:id="146" w:name="_Toc344391789"/>
      <w:r w:rsidRPr="00414555">
        <w:t>Sector Laguna San Vicente de Tagua Tagua</w:t>
      </w:r>
      <w:bookmarkEnd w:id="145"/>
      <w:bookmarkEnd w:id="146"/>
    </w:p>
    <w:p w:rsidR="00BC1064" w:rsidRPr="00414555" w:rsidRDefault="00BC1064" w:rsidP="00B51B51">
      <w:pPr>
        <w:widowControl w:val="0"/>
        <w:autoSpaceDE w:val="0"/>
        <w:autoSpaceDN w:val="0"/>
        <w:adjustRightInd w:val="0"/>
        <w:spacing w:line="240" w:lineRule="atLeast"/>
        <w:rPr>
          <w:rFonts w:cs="Arial"/>
          <w:lang w:val="es-CL" w:eastAsia="es-CL"/>
        </w:rPr>
      </w:pPr>
    </w:p>
    <w:p w:rsidR="00BC1064" w:rsidRPr="00414555" w:rsidRDefault="00BC1064" w:rsidP="00B51B51">
      <w:pPr>
        <w:widowControl w:val="0"/>
        <w:autoSpaceDE w:val="0"/>
        <w:autoSpaceDN w:val="0"/>
        <w:adjustRightInd w:val="0"/>
        <w:spacing w:line="240" w:lineRule="atLeast"/>
        <w:rPr>
          <w:rFonts w:cs="Arial"/>
          <w:b/>
          <w:bCs/>
          <w:lang w:val="es-CL" w:eastAsia="es-CL"/>
        </w:rPr>
      </w:pPr>
      <w:r w:rsidRPr="00414555">
        <w:rPr>
          <w:rFonts w:cs="Arial"/>
          <w:lang w:val="es-CL" w:eastAsia="es-CL"/>
        </w:rPr>
        <w:t>Este sector no está incluido dentro del modelo, por lo que sigue siendo válido</w:t>
      </w:r>
      <w:r w:rsidR="004B0A9B">
        <w:rPr>
          <w:rFonts w:cs="Arial"/>
          <w:lang w:val="es-CL" w:eastAsia="es-CL"/>
        </w:rPr>
        <w:t xml:space="preserve"> el</w:t>
      </w:r>
      <w:r w:rsidRPr="00414555">
        <w:rPr>
          <w:rFonts w:cs="Arial"/>
          <w:lang w:val="es-CL" w:eastAsia="es-CL"/>
        </w:rPr>
        <w:t xml:space="preserve">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Por lo tanto, la explotación previsible de los usos y derechos de aprovechamiento se mantiene en un caudal equivalente a una explotación neta de 16.398.720 m</w:t>
      </w:r>
      <w:r w:rsidRPr="00414555">
        <w:rPr>
          <w:rFonts w:cs="Arial"/>
          <w:vertAlign w:val="superscript"/>
          <w:lang w:val="es-CL" w:eastAsia="es-CL"/>
        </w:rPr>
        <w:t>3</w:t>
      </w:r>
      <w:r w:rsidRPr="00414555">
        <w:rPr>
          <w:rFonts w:cs="Arial"/>
          <w:lang w:val="es-CL" w:eastAsia="es-CL"/>
        </w:rPr>
        <w:t>/año (0,52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autoSpaceDE w:val="0"/>
        <w:autoSpaceDN w:val="0"/>
        <w:adjustRightInd w:val="0"/>
        <w:spacing w:line="240" w:lineRule="atLeast"/>
        <w:rPr>
          <w:rFonts w:cs="Arial"/>
          <w:b/>
          <w:bCs/>
          <w:lang w:val="es-CL" w:eastAsia="es-CL"/>
        </w:rPr>
      </w:pPr>
    </w:p>
    <w:p w:rsidR="0032171E" w:rsidRPr="00414555" w:rsidRDefault="0032171E" w:rsidP="00B51B51">
      <w:pPr>
        <w:pStyle w:val="Epgrafe"/>
        <w:widowControl w:val="0"/>
      </w:pPr>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p>
    <w:p w:rsidR="00BC1064" w:rsidRPr="00414555" w:rsidRDefault="00254CE2" w:rsidP="00B51B51">
      <w:pPr>
        <w:widowControl w:val="0"/>
        <w:autoSpaceDE w:val="0"/>
        <w:autoSpaceDN w:val="0"/>
        <w:adjustRightInd w:val="0"/>
        <w:spacing w:line="240" w:lineRule="atLeast"/>
        <w:rPr>
          <w:rFonts w:cs="Arial"/>
          <w:b/>
          <w:bCs/>
          <w:lang w:val="es-CL" w:eastAsia="es-CL"/>
        </w:rPr>
      </w:pPr>
      <w:r>
        <w:rPr>
          <w:rFonts w:cs="Arial"/>
          <w:b/>
          <w:noProof/>
          <w:lang w:val="es-CL" w:eastAsia="es-CL"/>
        </w:rPr>
        <w:drawing>
          <wp:inline distT="0" distB="0" distL="0" distR="0">
            <wp:extent cx="5805170" cy="2019935"/>
            <wp:effectExtent l="0" t="0" r="5080"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5170" cy="2019935"/>
                    </a:xfrm>
                    <a:prstGeom prst="rect">
                      <a:avLst/>
                    </a:prstGeom>
                    <a:noFill/>
                    <a:ln>
                      <a:noFill/>
                    </a:ln>
                  </pic:spPr>
                </pic:pic>
              </a:graphicData>
            </a:graphic>
          </wp:inline>
        </w:drawing>
      </w:r>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8714A3" w:rsidP="00D91E96">
      <w:pPr>
        <w:pStyle w:val="Ttulo3"/>
      </w:pPr>
      <w:bookmarkStart w:id="147" w:name="_Toc336426485"/>
      <w:r>
        <w:br w:type="page"/>
      </w:r>
      <w:bookmarkStart w:id="148" w:name="_Toc344391790"/>
      <w:r w:rsidR="00BC1064" w:rsidRPr="00414555">
        <w:lastRenderedPageBreak/>
        <w:t>Acuífero Estero Alhué</w:t>
      </w:r>
      <w:bookmarkEnd w:id="147"/>
      <w:bookmarkEnd w:id="148"/>
    </w:p>
    <w:p w:rsidR="00D33106" w:rsidRPr="00414555" w:rsidRDefault="00D33106" w:rsidP="00B51B51">
      <w:pPr>
        <w:widowControl w:val="0"/>
      </w:pPr>
    </w:p>
    <w:p w:rsidR="00BC1064" w:rsidRPr="00414555" w:rsidRDefault="00BC1064" w:rsidP="00B51B51">
      <w:pPr>
        <w:pStyle w:val="Ttulo4Ttulo4"/>
        <w:keepNext w:val="0"/>
        <w:widowControl w:val="0"/>
        <w:spacing w:before="0" w:after="0"/>
        <w:ind w:left="862" w:hanging="862"/>
      </w:pPr>
      <w:bookmarkStart w:id="149" w:name="_Toc336426486"/>
      <w:bookmarkStart w:id="150" w:name="_Toc344391791"/>
      <w:r w:rsidRPr="00414555">
        <w:t>Sector Embalse Rapel</w:t>
      </w:r>
      <w:bookmarkEnd w:id="149"/>
      <w:bookmarkEnd w:id="150"/>
    </w:p>
    <w:p w:rsidR="00BC1064" w:rsidRPr="00414555" w:rsidRDefault="00BC1064" w:rsidP="00B51B51">
      <w:pPr>
        <w:widowControl w:val="0"/>
        <w:autoSpaceDE w:val="0"/>
        <w:autoSpaceDN w:val="0"/>
        <w:adjustRightInd w:val="0"/>
        <w:spacing w:line="240" w:lineRule="atLeast"/>
        <w:rPr>
          <w:rFonts w:cs="Arial"/>
          <w:b/>
          <w:bCs/>
          <w:lang w:val="es-CL" w:eastAsia="es-CL"/>
        </w:rPr>
      </w:pPr>
    </w:p>
    <w:p w:rsidR="00BC1064" w:rsidRPr="00414555" w:rsidRDefault="00BC1064" w:rsidP="00B51B51">
      <w:pPr>
        <w:widowControl w:val="0"/>
        <w:autoSpaceDE w:val="0"/>
        <w:autoSpaceDN w:val="0"/>
        <w:adjustRightInd w:val="0"/>
        <w:spacing w:line="240" w:lineRule="atLeast"/>
        <w:rPr>
          <w:rFonts w:cs="Arial"/>
        </w:rPr>
      </w:pPr>
      <w:r w:rsidRPr="00414555">
        <w:rPr>
          <w:rFonts w:cs="Arial"/>
          <w:lang w:val="es-CL" w:eastAsia="es-CL"/>
        </w:rPr>
        <w:t xml:space="preserve">Este sector se mantenía abierto según el análisis realizado por </w:t>
      </w:r>
      <w:smartTag w:uri="urn:schemas-microsoft-com:office:smarttags" w:element="PersonName">
        <w:smartTagPr>
          <w:attr w:name="ProductID" w:val="la DGA"/>
        </w:smartTagPr>
        <w:r w:rsidRPr="00414555">
          <w:rPr>
            <w:rFonts w:cs="Arial"/>
            <w:lang w:val="es-CL" w:eastAsia="es-CL"/>
          </w:rPr>
          <w:t>la DGA</w:t>
        </w:r>
      </w:smartTag>
      <w:r w:rsidRPr="00414555">
        <w:rPr>
          <w:rFonts w:cs="Arial"/>
          <w:lang w:val="es-CL" w:eastAsia="es-CL"/>
        </w:rPr>
        <w:t xml:space="preserve"> en el Informe Técnico SDT 209 con un caudal equivalente a una explotación neta de 0,014 (m</w:t>
      </w:r>
      <w:r w:rsidRPr="00414555">
        <w:rPr>
          <w:rFonts w:cs="Arial"/>
          <w:vertAlign w:val="superscript"/>
          <w:lang w:val="es-CL" w:eastAsia="es-CL"/>
        </w:rPr>
        <w:t>3</w:t>
      </w:r>
      <w:r w:rsidRPr="00414555">
        <w:rPr>
          <w:rFonts w:cs="Arial"/>
          <w:lang w:val="es-CL" w:eastAsia="es-CL"/>
        </w:rPr>
        <w:t>/s). En el S.D.T. Nº 229 se determinó que para este sector, debido al incumplimiento de algunos de los criterios para sectores abiertos (criterios 4 y 5), la explotación previsible de los usos y derechos de aprovechamiento se puede llevar a un caudal equivalente a una explotación neta máxima de 5.361.120 m</w:t>
      </w:r>
      <w:r w:rsidRPr="00414555">
        <w:rPr>
          <w:rFonts w:cs="Arial"/>
          <w:vertAlign w:val="superscript"/>
          <w:lang w:val="es-CL" w:eastAsia="es-CL"/>
        </w:rPr>
        <w:t>3</w:t>
      </w:r>
      <w:r w:rsidRPr="00414555">
        <w:rPr>
          <w:rFonts w:cs="Arial"/>
          <w:lang w:val="es-CL" w:eastAsia="es-CL"/>
        </w:rPr>
        <w:t>/año (0,17 m</w:t>
      </w:r>
      <w:r w:rsidRPr="00414555">
        <w:rPr>
          <w:rFonts w:cs="Arial"/>
          <w:vertAlign w:val="superscript"/>
          <w:lang w:val="es-CL" w:eastAsia="es-CL"/>
        </w:rPr>
        <w:t>3</w:t>
      </w:r>
      <w:r w:rsidRPr="00414555">
        <w:rPr>
          <w:rFonts w:cs="Arial"/>
          <w:lang w:val="es-CL" w:eastAsia="es-CL"/>
        </w:rPr>
        <w:t>/s).</w:t>
      </w:r>
    </w:p>
    <w:p w:rsidR="00BC1064" w:rsidRPr="00414555" w:rsidRDefault="00BC1064" w:rsidP="00B51B51">
      <w:pPr>
        <w:widowControl w:val="0"/>
        <w:spacing w:line="240" w:lineRule="atLeast"/>
        <w:rPr>
          <w:rFonts w:cs="Arial"/>
        </w:rPr>
      </w:pPr>
    </w:p>
    <w:p w:rsidR="00BC1064" w:rsidRPr="00414555" w:rsidRDefault="00BC1064" w:rsidP="00B51B51">
      <w:pPr>
        <w:pStyle w:val="Ttulo4Ttulo4"/>
        <w:keepNext w:val="0"/>
        <w:widowControl w:val="0"/>
        <w:spacing w:before="0" w:after="0"/>
        <w:ind w:left="862" w:hanging="862"/>
      </w:pPr>
      <w:bookmarkStart w:id="151" w:name="_Toc336426487"/>
      <w:bookmarkStart w:id="152" w:name="_Toc344391792"/>
      <w:r w:rsidRPr="00414555">
        <w:t>Sector Las Palmas</w:t>
      </w:r>
      <w:bookmarkEnd w:id="151"/>
      <w:bookmarkEnd w:id="152"/>
    </w:p>
    <w:p w:rsidR="00BC1064" w:rsidRPr="00414555" w:rsidRDefault="00BC1064" w:rsidP="00B51B51">
      <w:pPr>
        <w:widowControl w:val="0"/>
        <w:spacing w:line="240" w:lineRule="atLeast"/>
        <w:rPr>
          <w:rFonts w:cs="Arial"/>
          <w:b/>
          <w:lang w:val="es-CL"/>
        </w:rPr>
      </w:pPr>
    </w:p>
    <w:p w:rsidR="00BC1064" w:rsidRPr="00414555" w:rsidRDefault="00BC1064" w:rsidP="00B51B51">
      <w:pPr>
        <w:widowControl w:val="0"/>
        <w:spacing w:line="240" w:lineRule="atLeast"/>
        <w:rPr>
          <w:rFonts w:cs="Arial"/>
          <w:lang w:val="es-CL"/>
        </w:rPr>
      </w:pPr>
      <w:r w:rsidRPr="00414555">
        <w:rPr>
          <w:rFonts w:cs="Arial"/>
          <w:lang w:val="es-CL"/>
        </w:rPr>
        <w:t xml:space="preserve">Este sector se mantenía abierto según el análisis realizado por </w:t>
      </w:r>
      <w:smartTag w:uri="urn:schemas-microsoft-com:office:smarttags" w:element="PersonName">
        <w:smartTagPr>
          <w:attr w:name="ProductID" w:val="la DGA"/>
        </w:smartTagPr>
        <w:r w:rsidRPr="00414555">
          <w:rPr>
            <w:rFonts w:cs="Arial"/>
            <w:lang w:val="es-CL"/>
          </w:rPr>
          <w:t>la DGA</w:t>
        </w:r>
      </w:smartTag>
      <w:r w:rsidRPr="00414555">
        <w:rPr>
          <w:rFonts w:cs="Arial"/>
          <w:lang w:val="es-CL"/>
        </w:rPr>
        <w:t xml:space="preserve"> en el Informe Técnico SDT 209 con un caudal equivalente a una explotación neta de 0,036 (m</w:t>
      </w:r>
      <w:r w:rsidRPr="00414555">
        <w:rPr>
          <w:rFonts w:cs="Arial"/>
          <w:vertAlign w:val="superscript"/>
          <w:lang w:val="es-CL"/>
        </w:rPr>
        <w:t>3</w:t>
      </w:r>
      <w:r w:rsidRPr="00414555">
        <w:rPr>
          <w:rFonts w:cs="Arial"/>
          <w:lang w:val="es-CL"/>
        </w:rPr>
        <w:t>/s). En S.D.T. Nº 229 se determinó que para este sector, debido al incumplimiento de algunos de los criterios para sectores abiertos (criterios 4 y 5), la explotación previsible de los usos y derechos de aprovechamiento se puede llevar a un caudal equivalente a una explotación neta máxima de 18.763.920 m</w:t>
      </w:r>
      <w:r w:rsidRPr="00414555">
        <w:rPr>
          <w:rFonts w:cs="Arial"/>
          <w:vertAlign w:val="superscript"/>
          <w:lang w:val="es-CL"/>
        </w:rPr>
        <w:t>3</w:t>
      </w:r>
      <w:r w:rsidRPr="00414555">
        <w:rPr>
          <w:rFonts w:cs="Arial"/>
          <w:lang w:val="es-CL"/>
        </w:rPr>
        <w:t>/año (0,595 m</w:t>
      </w:r>
      <w:r w:rsidRPr="00414555">
        <w:rPr>
          <w:rFonts w:cs="Arial"/>
          <w:vertAlign w:val="superscript"/>
          <w:lang w:val="es-CL"/>
        </w:rPr>
        <w:t>3</w:t>
      </w:r>
      <w:r w:rsidRPr="00414555">
        <w:rPr>
          <w:rFonts w:cs="Arial"/>
          <w:lang w:val="es-CL"/>
        </w:rPr>
        <w:t>/s).</w:t>
      </w:r>
    </w:p>
    <w:p w:rsidR="00BC1064" w:rsidRPr="00414555" w:rsidRDefault="00BC1064" w:rsidP="00B51B51">
      <w:pPr>
        <w:widowControl w:val="0"/>
        <w:spacing w:line="240" w:lineRule="atLeast"/>
        <w:rPr>
          <w:rFonts w:cs="Arial"/>
          <w:lang w:val="es-CL"/>
        </w:rPr>
      </w:pPr>
    </w:p>
    <w:p w:rsidR="00BC1064" w:rsidRPr="00414555" w:rsidRDefault="00BC1064" w:rsidP="00B51B51">
      <w:pPr>
        <w:pStyle w:val="Ttulo4Ttulo4"/>
        <w:keepNext w:val="0"/>
        <w:widowControl w:val="0"/>
        <w:spacing w:before="0" w:after="0"/>
        <w:ind w:left="862" w:hanging="862"/>
      </w:pPr>
      <w:bookmarkStart w:id="153" w:name="_Toc336426488"/>
      <w:bookmarkStart w:id="154" w:name="_Toc344391793"/>
      <w:r w:rsidRPr="00414555">
        <w:t>Sector Alhué</w:t>
      </w:r>
      <w:bookmarkEnd w:id="153"/>
      <w:bookmarkEnd w:id="154"/>
    </w:p>
    <w:p w:rsidR="00BC1064" w:rsidRPr="00414555" w:rsidRDefault="00BC1064" w:rsidP="00B51B51">
      <w:pPr>
        <w:widowControl w:val="0"/>
        <w:spacing w:line="240" w:lineRule="atLeast"/>
        <w:rPr>
          <w:rFonts w:cs="Arial"/>
          <w:b/>
          <w:lang w:val="es-CL"/>
        </w:rPr>
      </w:pPr>
    </w:p>
    <w:p w:rsidR="00BC1064" w:rsidRPr="00414555" w:rsidRDefault="00BC1064" w:rsidP="00B51B51">
      <w:pPr>
        <w:widowControl w:val="0"/>
        <w:spacing w:line="240" w:lineRule="atLeast"/>
        <w:rPr>
          <w:rFonts w:cs="Arial"/>
          <w:lang w:val="es-CL"/>
        </w:rPr>
      </w:pPr>
      <w:r w:rsidRPr="00414555">
        <w:rPr>
          <w:rFonts w:cs="Arial"/>
          <w:lang w:val="es-CL"/>
        </w:rPr>
        <w:t xml:space="preserve">Este sector se encuentra cerrado a partir del análisis realizado por </w:t>
      </w:r>
      <w:smartTag w:uri="urn:schemas-microsoft-com:office:smarttags" w:element="PersonName">
        <w:smartTagPr>
          <w:attr w:name="ProductID" w:val="la DGA"/>
        </w:smartTagPr>
        <w:r w:rsidRPr="00414555">
          <w:rPr>
            <w:rFonts w:cs="Arial"/>
            <w:lang w:val="es-CL"/>
          </w:rPr>
          <w:t>la DGA</w:t>
        </w:r>
      </w:smartTag>
      <w:r w:rsidRPr="00414555">
        <w:rPr>
          <w:rFonts w:cs="Arial"/>
          <w:lang w:val="es-CL"/>
        </w:rPr>
        <w:t xml:space="preserve"> en el Informe Técnico SDT 209, por lo tanto, la explotación previsible de los usos y derechos de aprovechamiento se mantiene en un caudal equivalente a una explotación neta de 27.751.680 m</w:t>
      </w:r>
      <w:r w:rsidRPr="008714A3">
        <w:rPr>
          <w:rFonts w:cs="Arial"/>
          <w:vertAlign w:val="superscript"/>
          <w:lang w:val="es-CL"/>
        </w:rPr>
        <w:t>3</w:t>
      </w:r>
      <w:r w:rsidRPr="00414555">
        <w:rPr>
          <w:rFonts w:cs="Arial"/>
          <w:lang w:val="es-CL"/>
        </w:rPr>
        <w:t>/año (0,88 m</w:t>
      </w:r>
      <w:r w:rsidRPr="00414555">
        <w:rPr>
          <w:rFonts w:cs="Arial"/>
          <w:vertAlign w:val="superscript"/>
          <w:lang w:val="es-CL"/>
        </w:rPr>
        <w:t>3</w:t>
      </w:r>
      <w:r w:rsidRPr="00414555">
        <w:rPr>
          <w:rFonts w:cs="Arial"/>
          <w:lang w:val="es-CL"/>
        </w:rPr>
        <w:t>/s).</w:t>
      </w:r>
    </w:p>
    <w:p w:rsidR="00BC1064" w:rsidRPr="00414555" w:rsidRDefault="00BC1064" w:rsidP="00B51B51">
      <w:pPr>
        <w:widowControl w:val="0"/>
        <w:spacing w:line="240" w:lineRule="atLeast"/>
        <w:rPr>
          <w:rFonts w:cs="Arial"/>
          <w:lang w:val="es-CL"/>
        </w:rPr>
      </w:pPr>
    </w:p>
    <w:p w:rsidR="00D33106" w:rsidRPr="00414555" w:rsidRDefault="00D33106" w:rsidP="00B51B51">
      <w:pPr>
        <w:pStyle w:val="Epgrafe"/>
        <w:widowControl w:val="0"/>
      </w:pPr>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p>
    <w:p w:rsidR="00BC1064" w:rsidRPr="00414555" w:rsidRDefault="00254CE2" w:rsidP="00B51B51">
      <w:pPr>
        <w:widowControl w:val="0"/>
        <w:spacing w:line="240" w:lineRule="atLeast"/>
        <w:rPr>
          <w:rFonts w:cs="Arial"/>
        </w:rPr>
      </w:pPr>
      <w:r>
        <w:rPr>
          <w:rFonts w:cs="Arial"/>
          <w:noProof/>
          <w:lang w:val="es-CL" w:eastAsia="es-CL"/>
        </w:rPr>
        <w:drawing>
          <wp:inline distT="0" distB="0" distL="0" distR="0">
            <wp:extent cx="5795010" cy="1360805"/>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5010" cy="1360805"/>
                    </a:xfrm>
                    <a:prstGeom prst="rect">
                      <a:avLst/>
                    </a:prstGeom>
                    <a:noFill/>
                    <a:ln>
                      <a:noFill/>
                    </a:ln>
                  </pic:spPr>
                </pic:pic>
              </a:graphicData>
            </a:graphic>
          </wp:inline>
        </w:drawing>
      </w:r>
    </w:p>
    <w:p w:rsidR="00D91E96" w:rsidRDefault="00D91E96" w:rsidP="00D91E96">
      <w:bookmarkStart w:id="155" w:name="_Toc336426489"/>
    </w:p>
    <w:p w:rsidR="00BC1064" w:rsidRPr="00414555" w:rsidRDefault="00BC1064" w:rsidP="00D91E96">
      <w:pPr>
        <w:pStyle w:val="Ttulo3"/>
      </w:pPr>
      <w:bookmarkStart w:id="156" w:name="_Toc344391794"/>
      <w:r w:rsidRPr="00414555">
        <w:t>Acuífero Río Tinguiririca</w:t>
      </w:r>
      <w:bookmarkEnd w:id="155"/>
      <w:bookmarkEnd w:id="156"/>
    </w:p>
    <w:p w:rsidR="00BC1064" w:rsidRPr="00414555" w:rsidRDefault="00BC1064" w:rsidP="00B51B51">
      <w:pPr>
        <w:widowControl w:val="0"/>
        <w:spacing w:line="240" w:lineRule="atLeast"/>
        <w:rPr>
          <w:rFonts w:cs="Arial"/>
        </w:rPr>
      </w:pPr>
    </w:p>
    <w:p w:rsidR="001E336A" w:rsidRPr="008714A3" w:rsidRDefault="001E336A" w:rsidP="001E336A">
      <w:pPr>
        <w:pStyle w:val="Ttulo4Ttulo4"/>
        <w:keepNext w:val="0"/>
        <w:widowControl w:val="0"/>
        <w:spacing w:before="0" w:after="0"/>
        <w:ind w:left="709" w:hanging="709"/>
      </w:pPr>
      <w:bookmarkStart w:id="157" w:name="_Toc344391795"/>
      <w:r w:rsidRPr="008714A3">
        <w:t>Sectores Tinguiririca Inferior, Tinguiririca Superior, San Fernando y Chimbarongo</w:t>
      </w:r>
      <w:bookmarkEnd w:id="157"/>
    </w:p>
    <w:p w:rsidR="001E336A" w:rsidRPr="008714A3" w:rsidRDefault="001E336A" w:rsidP="001E336A">
      <w:pPr>
        <w:spacing w:line="240" w:lineRule="atLeast"/>
        <w:rPr>
          <w:rFonts w:cs="Arial"/>
          <w:lang w:val="es-CL"/>
        </w:rPr>
      </w:pPr>
    </w:p>
    <w:p w:rsidR="001E336A" w:rsidRPr="008714A3" w:rsidRDefault="001E336A" w:rsidP="001E336A">
      <w:pPr>
        <w:spacing w:line="240" w:lineRule="atLeast"/>
        <w:rPr>
          <w:rFonts w:cs="Arial"/>
          <w:lang w:val="es-CL"/>
        </w:rPr>
      </w:pPr>
      <w:r w:rsidRPr="008714A3">
        <w:rPr>
          <w:rFonts w:cs="Arial"/>
          <w:lang w:val="es-CL"/>
        </w:rPr>
        <w:t xml:space="preserve">En los sectores acuíferos, Tinguiririca Inferior, Tinguiririca Superior, San Fernando y Chimbarongo, la demanda de aguas subterráneas comprometidas al 30 de junio de 2010 supera el volumen sustentable, estimándose que existe riesgo de grave disminución del acuífero con el consiguiente perjuicio de derechos de terceros ya establecidos en ellos, procediendo de acuerdo a los artículos 65 del Código de Aguas y 31 letra b) de </w:t>
      </w:r>
      <w:smartTag w:uri="urn:schemas-microsoft-com:office:smarttags" w:element="PersonName">
        <w:smartTagPr>
          <w:attr w:name="ProductID" w:val="la Resolución DGA"/>
        </w:smartTagPr>
        <w:r w:rsidRPr="008714A3">
          <w:rPr>
            <w:rFonts w:cs="Arial"/>
            <w:lang w:val="es-CL"/>
          </w:rPr>
          <w:t>la Resolución DGA</w:t>
        </w:r>
      </w:smartTag>
      <w:r w:rsidRPr="008714A3">
        <w:rPr>
          <w:rFonts w:cs="Arial"/>
          <w:lang w:val="es-CL"/>
        </w:rPr>
        <w:t xml:space="preserve"> N°245 de 2007, permanecer como áreas de restricción para nuevas extracciones de aguas subterráneas los sectores Tinguiririca Inferior y Tinguiririca Superior, y ser declarados </w:t>
      </w:r>
      <w:r w:rsidRPr="008714A3">
        <w:rPr>
          <w:rFonts w:cs="Arial"/>
          <w:lang w:val="es-CL"/>
        </w:rPr>
        <w:lastRenderedPageBreak/>
        <w:t>áreas de restricción los sectores San Fernando y Chimbarongo. (Fuente: Ref. 20, Informe Técnico DARH N°332).</w:t>
      </w:r>
    </w:p>
    <w:p w:rsidR="001E336A" w:rsidRPr="008714A3" w:rsidRDefault="001E336A" w:rsidP="001E336A">
      <w:pPr>
        <w:spacing w:line="240" w:lineRule="atLeast"/>
        <w:rPr>
          <w:rFonts w:cs="Arial"/>
          <w:lang w:val="es-CL"/>
        </w:rPr>
      </w:pPr>
    </w:p>
    <w:p w:rsidR="001E336A" w:rsidRPr="008714A3" w:rsidRDefault="001E336A" w:rsidP="001E336A">
      <w:pPr>
        <w:spacing w:line="240" w:lineRule="atLeast"/>
        <w:rPr>
          <w:rFonts w:cs="Arial"/>
          <w:lang w:val="es-CL"/>
        </w:rPr>
      </w:pPr>
      <w:r w:rsidRPr="008714A3">
        <w:rPr>
          <w:rFonts w:cs="Arial"/>
          <w:lang w:val="es-CL"/>
        </w:rPr>
        <w:t>Considerando la demanda comprometida en los sectores acuíferos Tinguiririca Inferior, Tinguiririca Superior, San Fernando y Chimbarongo, es posible otorgar derechos de aprovechamiento de aguas subterráneas en carácter de provisionales hasta los volúmenes totales anuales señalados en la tabla 2.5, que resume la situación final de los acuíferos.</w:t>
      </w:r>
    </w:p>
    <w:p w:rsidR="001E336A" w:rsidRPr="008714A3" w:rsidRDefault="001E336A" w:rsidP="001E336A">
      <w:pPr>
        <w:spacing w:line="240" w:lineRule="atLeast"/>
        <w:rPr>
          <w:rFonts w:cs="Arial"/>
        </w:rPr>
      </w:pPr>
    </w:p>
    <w:p w:rsidR="001E336A" w:rsidRPr="008714A3" w:rsidRDefault="001E336A" w:rsidP="001E336A">
      <w:pPr>
        <w:pStyle w:val="Ttulo4Ttulo4"/>
        <w:keepNext w:val="0"/>
        <w:widowControl w:val="0"/>
        <w:spacing w:before="0" w:after="0"/>
        <w:ind w:left="862" w:hanging="862"/>
      </w:pPr>
      <w:bookmarkStart w:id="158" w:name="_Toc344391796"/>
      <w:r w:rsidRPr="008714A3">
        <w:t>Sectores El Monte, Las Cadenas - Yerbas Buenas y Las Cadenas - Marchigüe</w:t>
      </w:r>
      <w:bookmarkEnd w:id="158"/>
    </w:p>
    <w:p w:rsidR="001E336A" w:rsidRPr="008714A3" w:rsidRDefault="001E336A" w:rsidP="001E336A">
      <w:pPr>
        <w:spacing w:line="240" w:lineRule="atLeast"/>
        <w:rPr>
          <w:rFonts w:cs="Arial"/>
        </w:rPr>
      </w:pPr>
    </w:p>
    <w:p w:rsidR="001E336A" w:rsidRPr="008714A3" w:rsidRDefault="001E336A" w:rsidP="001E336A">
      <w:pPr>
        <w:spacing w:line="240" w:lineRule="atLeast"/>
        <w:rPr>
          <w:rFonts w:cs="Arial"/>
          <w:lang w:val="es-CL"/>
        </w:rPr>
      </w:pPr>
      <w:r w:rsidRPr="008714A3">
        <w:rPr>
          <w:rFonts w:cs="Arial"/>
          <w:lang w:val="es-CL"/>
        </w:rPr>
        <w:t xml:space="preserve">En los sectores acuíferos, El Monte, Las Cadenas - Yerbas Buenas y Las Cadenas - Marchigüe, la demanda de aguas subterráneas comprometidas al 30 de junio de 2010 supera el volumen sustentable, estimándose que existe riesgo de grave disminución del acuífero con el consiguiente perjuicio de derechos de terceros ya establecidos en ellos, procediendo de acuerdo a los artículos 65 del Código de Aguas y 31 letra b) de </w:t>
      </w:r>
      <w:smartTag w:uri="urn:schemas-microsoft-com:office:smarttags" w:element="PersonName">
        <w:smartTagPr>
          <w:attr w:name="ProductID" w:val="la Resolución DGA"/>
        </w:smartTagPr>
        <w:r w:rsidRPr="008714A3">
          <w:rPr>
            <w:rFonts w:cs="Arial"/>
            <w:lang w:val="es-CL"/>
          </w:rPr>
          <w:t>la Resolución DGA</w:t>
        </w:r>
      </w:smartTag>
      <w:r w:rsidRPr="008714A3">
        <w:rPr>
          <w:rFonts w:cs="Arial"/>
          <w:lang w:val="es-CL"/>
        </w:rPr>
        <w:t xml:space="preserve"> N°245 de 2007, permanecer como áreas de restricción para nuevas extracciones de aguas subterráneas. (Fuente: Ref. 21, Informe Técnico DARH N°333).</w:t>
      </w:r>
    </w:p>
    <w:p w:rsidR="001E336A" w:rsidRPr="008714A3" w:rsidRDefault="001E336A" w:rsidP="001E336A">
      <w:pPr>
        <w:spacing w:line="240" w:lineRule="atLeast"/>
        <w:rPr>
          <w:rFonts w:cs="Arial"/>
          <w:lang w:val="es-CL"/>
        </w:rPr>
      </w:pPr>
    </w:p>
    <w:p w:rsidR="001E336A" w:rsidRPr="008714A3" w:rsidRDefault="001E336A" w:rsidP="001E336A">
      <w:pPr>
        <w:spacing w:line="240" w:lineRule="atLeast"/>
        <w:rPr>
          <w:rFonts w:cs="Arial"/>
          <w:lang w:val="es-CL"/>
        </w:rPr>
      </w:pPr>
      <w:r w:rsidRPr="008714A3">
        <w:rPr>
          <w:rFonts w:cs="Arial"/>
          <w:lang w:val="es-CL"/>
        </w:rPr>
        <w:t xml:space="preserve">Considerando la demanda comprometida en los sectores acuíferos El Monte, Las Cadenas-Yerbas Buenas y Las Cadenas-Marchigüe, es posible otorgar derechos de aprovechamiento de aguas subterráneas en carácter de provisionales hasta los volúmenes totales anuales señalados en </w:t>
      </w:r>
      <w:smartTag w:uri="urn:schemas-microsoft-com:office:smarttags" w:element="PersonName">
        <w:smartTagPr>
          <w:attr w:name="ProductID" w:val="la ￼￼￼￼￼￼￼￼￼￼￼￼￼￼￼￼￼￼￼￼￼￼￼￼￼￼￼￼￼￼￼￼￼￼￼￼￼￼￼￼￼Tabla"/>
        </w:smartTagPr>
        <w:r w:rsidRPr="008714A3">
          <w:rPr>
            <w:rFonts w:cs="Arial"/>
            <w:lang w:val="es-CL"/>
          </w:rPr>
          <w:t xml:space="preserve">la </w:t>
        </w:r>
        <w:r w:rsidRPr="008714A3">
          <w:rPr>
            <w:rFonts w:cs="Arial"/>
            <w:lang w:val="es-CL"/>
          </w:rPr>
          <w:fldChar w:fldCharType="begin"/>
        </w:r>
        <w:r w:rsidRPr="008714A3">
          <w:rPr>
            <w:rFonts w:cs="Arial"/>
            <w:lang w:val="es-CL"/>
          </w:rPr>
          <w:instrText xml:space="preserve"> REF _Ref341782003 \h </w:instrText>
        </w:r>
        <w:r w:rsidR="004D6591" w:rsidRPr="008714A3">
          <w:rPr>
            <w:rFonts w:cs="Arial"/>
            <w:lang w:val="es-CL"/>
          </w:rPr>
        </w:r>
        <w:r w:rsidR="008714A3">
          <w:rPr>
            <w:rFonts w:cs="Arial"/>
            <w:lang w:val="es-CL"/>
          </w:rPr>
          <w:instrText xml:space="preserve"> \* MERGEFORMAT </w:instrText>
        </w:r>
        <w:r w:rsidRPr="008714A3">
          <w:rPr>
            <w:rFonts w:cs="Arial"/>
            <w:lang w:val="es-CL"/>
          </w:rPr>
          <w:fldChar w:fldCharType="separate"/>
        </w:r>
        <w:r w:rsidR="00264070" w:rsidRPr="00264070">
          <w:t>Tabla</w:t>
        </w:r>
      </w:smartTag>
      <w:r w:rsidR="00264070" w:rsidRPr="00264070">
        <w:t xml:space="preserve"> </w:t>
      </w:r>
      <w:r w:rsidR="00264070" w:rsidRPr="00264070">
        <w:rPr>
          <w:noProof/>
        </w:rPr>
        <w:t>3.5</w:t>
      </w:r>
      <w:r w:rsidRPr="008714A3">
        <w:rPr>
          <w:rFonts w:cs="Arial"/>
          <w:lang w:val="es-CL"/>
        </w:rPr>
        <w:fldChar w:fldCharType="end"/>
      </w:r>
      <w:r w:rsidRPr="008714A3">
        <w:rPr>
          <w:rFonts w:cs="Arial"/>
          <w:lang w:val="es-CL"/>
        </w:rPr>
        <w:t>, que resume la situación final de los acuíferos.</w:t>
      </w:r>
    </w:p>
    <w:p w:rsidR="001E336A" w:rsidRPr="00D84361" w:rsidRDefault="001E336A" w:rsidP="001E336A">
      <w:pPr>
        <w:spacing w:line="240" w:lineRule="atLeast"/>
        <w:jc w:val="center"/>
        <w:rPr>
          <w:rFonts w:cs="Arial"/>
          <w:lang w:val="es-CL"/>
        </w:rPr>
      </w:pPr>
    </w:p>
    <w:p w:rsidR="001E336A" w:rsidRPr="00D84361" w:rsidRDefault="001E336A" w:rsidP="001E336A">
      <w:pPr>
        <w:pStyle w:val="Epgrafe"/>
        <w:keepNext/>
        <w:rPr>
          <w:rFonts w:cs="Arial"/>
        </w:rPr>
      </w:pPr>
      <w:bookmarkStart w:id="159" w:name="_Ref341782003"/>
      <w:r w:rsidRPr="00D84361">
        <w:rPr>
          <w:rFonts w:cs="Arial"/>
        </w:rPr>
        <w:t xml:space="preserve">Tabla </w:t>
      </w:r>
      <w:r w:rsidR="007F3102">
        <w:rPr>
          <w:rFonts w:cs="Arial"/>
        </w:rPr>
        <w:fldChar w:fldCharType="begin"/>
      </w:r>
      <w:r w:rsidR="007F3102">
        <w:rPr>
          <w:rFonts w:cs="Arial"/>
        </w:rPr>
        <w:instrText xml:space="preserve"> STYLEREF 1 \s </w:instrText>
      </w:r>
      <w:r w:rsidR="007F3102">
        <w:rPr>
          <w:rFonts w:cs="Arial"/>
        </w:rPr>
        <w:fldChar w:fldCharType="separate"/>
      </w:r>
      <w:r w:rsidR="00264070">
        <w:rPr>
          <w:rFonts w:cs="Arial"/>
          <w:noProof/>
        </w:rPr>
        <w:t>3</w:t>
      </w:r>
      <w:r w:rsidR="007F3102">
        <w:rPr>
          <w:rFonts w:cs="Arial"/>
        </w:rPr>
        <w:fldChar w:fldCharType="end"/>
      </w:r>
      <w:r w:rsidR="007F3102">
        <w:rPr>
          <w:rFonts w:cs="Arial"/>
        </w:rPr>
        <w:t>.</w:t>
      </w:r>
      <w:r w:rsidR="007F3102">
        <w:rPr>
          <w:rFonts w:cs="Arial"/>
        </w:rPr>
        <w:fldChar w:fldCharType="begin"/>
      </w:r>
      <w:r w:rsidR="007F3102">
        <w:rPr>
          <w:rFonts w:cs="Arial"/>
        </w:rPr>
        <w:instrText xml:space="preserve"> SEQ Tabla \* ARABIC \s 1 </w:instrText>
      </w:r>
      <w:r w:rsidR="007F3102">
        <w:rPr>
          <w:rFonts w:cs="Arial"/>
        </w:rPr>
        <w:fldChar w:fldCharType="separate"/>
      </w:r>
      <w:r w:rsidR="00264070">
        <w:rPr>
          <w:rFonts w:cs="Arial"/>
          <w:noProof/>
        </w:rPr>
        <w:t>5</w:t>
      </w:r>
      <w:r w:rsidR="007F3102">
        <w:rPr>
          <w:rFonts w:cs="Arial"/>
        </w:rPr>
        <w:fldChar w:fldCharType="end"/>
      </w:r>
      <w:bookmarkEnd w:id="159"/>
      <w:r w:rsidRPr="00D84361">
        <w:rPr>
          <w:rFonts w:cs="Arial"/>
        </w:rPr>
        <w:t xml:space="preserve"> Situación Valle del Río Tinguiririca</w:t>
      </w:r>
    </w:p>
    <w:tbl>
      <w:tblPr>
        <w:tblW w:w="7780" w:type="dxa"/>
        <w:jc w:val="center"/>
        <w:tblInd w:w="55" w:type="dxa"/>
        <w:tblCellMar>
          <w:left w:w="70" w:type="dxa"/>
          <w:right w:w="70" w:type="dxa"/>
        </w:tblCellMar>
        <w:tblLook w:val="04A0" w:firstRow="1" w:lastRow="0" w:firstColumn="1" w:lastColumn="0" w:noHBand="0" w:noVBand="1"/>
      </w:tblPr>
      <w:tblGrid>
        <w:gridCol w:w="2740"/>
        <w:gridCol w:w="2740"/>
        <w:gridCol w:w="2300"/>
      </w:tblGrid>
      <w:tr w:rsidR="001E336A" w:rsidRPr="00D84361">
        <w:trPr>
          <w:trHeight w:val="300"/>
          <w:jc w:val="center"/>
        </w:trPr>
        <w:tc>
          <w:tcPr>
            <w:tcW w:w="27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Sector Acuífero</w:t>
            </w:r>
          </w:p>
        </w:tc>
        <w:tc>
          <w:tcPr>
            <w:tcW w:w="2740" w:type="dxa"/>
            <w:vMerge w:val="restart"/>
            <w:tcBorders>
              <w:top w:val="single" w:sz="4" w:space="0" w:color="auto"/>
              <w:left w:val="single" w:sz="4" w:space="0" w:color="auto"/>
              <w:bottom w:val="single" w:sz="4" w:space="0" w:color="000000"/>
              <w:right w:val="nil"/>
            </w:tcBorders>
            <w:shd w:val="clear" w:color="auto" w:fill="auto"/>
            <w:noWrap/>
            <w:vAlign w:val="center"/>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Situación</w:t>
            </w:r>
          </w:p>
        </w:tc>
        <w:tc>
          <w:tcPr>
            <w:tcW w:w="2300" w:type="dxa"/>
            <w:tcBorders>
              <w:top w:val="single" w:sz="4" w:space="0" w:color="auto"/>
              <w:left w:val="single" w:sz="4" w:space="0" w:color="auto"/>
              <w:bottom w:val="nil"/>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Derechos Provisionales</w:t>
            </w:r>
          </w:p>
        </w:tc>
      </w:tr>
      <w:tr w:rsidR="001E336A" w:rsidRPr="00D84361">
        <w:trPr>
          <w:trHeight w:val="300"/>
          <w:jc w:val="center"/>
        </w:trPr>
        <w:tc>
          <w:tcPr>
            <w:tcW w:w="2740" w:type="dxa"/>
            <w:vMerge/>
            <w:tcBorders>
              <w:top w:val="single" w:sz="4" w:space="0" w:color="auto"/>
              <w:left w:val="single" w:sz="4" w:space="0" w:color="auto"/>
              <w:bottom w:val="single" w:sz="4" w:space="0" w:color="000000"/>
              <w:right w:val="single" w:sz="4" w:space="0" w:color="auto"/>
            </w:tcBorders>
            <w:vAlign w:val="center"/>
          </w:tcPr>
          <w:p w:rsidR="001E336A" w:rsidRPr="00D84361" w:rsidRDefault="001E336A" w:rsidP="008714A3">
            <w:pPr>
              <w:jc w:val="center"/>
              <w:rPr>
                <w:rFonts w:cs="Arial"/>
                <w:color w:val="000000"/>
                <w:sz w:val="20"/>
                <w:szCs w:val="20"/>
                <w:lang w:val="es-CL" w:eastAsia="es-CL"/>
              </w:rPr>
            </w:pPr>
          </w:p>
        </w:tc>
        <w:tc>
          <w:tcPr>
            <w:tcW w:w="2740" w:type="dxa"/>
            <w:vMerge/>
            <w:tcBorders>
              <w:top w:val="single" w:sz="4" w:space="0" w:color="auto"/>
              <w:left w:val="single" w:sz="4" w:space="0" w:color="auto"/>
              <w:bottom w:val="single" w:sz="4" w:space="0" w:color="000000"/>
              <w:right w:val="nil"/>
            </w:tcBorders>
            <w:vAlign w:val="center"/>
          </w:tcPr>
          <w:p w:rsidR="001E336A" w:rsidRPr="00D84361" w:rsidRDefault="001E336A" w:rsidP="008714A3">
            <w:pPr>
              <w:jc w:val="center"/>
              <w:rPr>
                <w:rFonts w:cs="Arial"/>
                <w:color w:val="000000"/>
                <w:sz w:val="20"/>
                <w:szCs w:val="20"/>
                <w:lang w:val="es-CL" w:eastAsia="es-CL"/>
              </w:rPr>
            </w:pPr>
          </w:p>
        </w:tc>
        <w:tc>
          <w:tcPr>
            <w:tcW w:w="2300" w:type="dxa"/>
            <w:tcBorders>
              <w:top w:val="nil"/>
              <w:left w:val="single" w:sz="4" w:space="0" w:color="auto"/>
              <w:bottom w:val="nil"/>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a Otorgar</w:t>
            </w:r>
          </w:p>
        </w:tc>
      </w:tr>
      <w:tr w:rsidR="001E336A" w:rsidRPr="00D84361">
        <w:trPr>
          <w:trHeight w:val="300"/>
          <w:jc w:val="center"/>
        </w:trPr>
        <w:tc>
          <w:tcPr>
            <w:tcW w:w="2740" w:type="dxa"/>
            <w:vMerge/>
            <w:tcBorders>
              <w:top w:val="single" w:sz="4" w:space="0" w:color="auto"/>
              <w:left w:val="single" w:sz="4" w:space="0" w:color="auto"/>
              <w:bottom w:val="single" w:sz="4" w:space="0" w:color="000000"/>
              <w:right w:val="single" w:sz="4" w:space="0" w:color="auto"/>
            </w:tcBorders>
            <w:vAlign w:val="center"/>
          </w:tcPr>
          <w:p w:rsidR="001E336A" w:rsidRPr="00D84361" w:rsidRDefault="001E336A" w:rsidP="008714A3">
            <w:pPr>
              <w:jc w:val="center"/>
              <w:rPr>
                <w:rFonts w:cs="Arial"/>
                <w:color w:val="000000"/>
                <w:sz w:val="20"/>
                <w:szCs w:val="20"/>
                <w:lang w:val="es-CL" w:eastAsia="es-CL"/>
              </w:rPr>
            </w:pPr>
          </w:p>
        </w:tc>
        <w:tc>
          <w:tcPr>
            <w:tcW w:w="2740" w:type="dxa"/>
            <w:vMerge/>
            <w:tcBorders>
              <w:top w:val="single" w:sz="4" w:space="0" w:color="auto"/>
              <w:left w:val="single" w:sz="4" w:space="0" w:color="auto"/>
              <w:bottom w:val="single" w:sz="4" w:space="0" w:color="000000"/>
              <w:right w:val="nil"/>
            </w:tcBorders>
            <w:vAlign w:val="center"/>
          </w:tcPr>
          <w:p w:rsidR="001E336A" w:rsidRPr="00D84361" w:rsidRDefault="001E336A" w:rsidP="008714A3">
            <w:pPr>
              <w:jc w:val="center"/>
              <w:rPr>
                <w:rFonts w:cs="Arial"/>
                <w:color w:val="000000"/>
                <w:sz w:val="20"/>
                <w:szCs w:val="20"/>
                <w:lang w:val="es-CL" w:eastAsia="es-CL"/>
              </w:rPr>
            </w:pPr>
          </w:p>
        </w:tc>
        <w:tc>
          <w:tcPr>
            <w:tcW w:w="230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(m</w:t>
            </w:r>
            <w:r w:rsidRPr="00D84361">
              <w:rPr>
                <w:rFonts w:cs="Arial"/>
                <w:color w:val="000000"/>
                <w:sz w:val="20"/>
                <w:szCs w:val="20"/>
                <w:vertAlign w:val="superscript"/>
                <w:lang w:val="es-CL" w:eastAsia="es-CL"/>
              </w:rPr>
              <w:t>3</w:t>
            </w:r>
            <w:r w:rsidRPr="00D84361">
              <w:rPr>
                <w:rFonts w:cs="Arial"/>
                <w:color w:val="000000"/>
                <w:sz w:val="20"/>
                <w:szCs w:val="20"/>
                <w:lang w:val="es-CL" w:eastAsia="es-CL"/>
              </w:rPr>
              <w:t>/año)</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Tinguiririca Inferior</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14.159.664</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Tinguiririca Superior</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92.216.248</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San Fernando</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87.984.884</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Chimbarongo</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30.111.230</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El Monte</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29.644.162</w:t>
            </w:r>
          </w:p>
        </w:tc>
      </w:tr>
      <w:tr w:rsidR="001E336A" w:rsidRPr="00D8436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Las Cadenas - Yerbas Buenas</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2.582.744</w:t>
            </w:r>
          </w:p>
        </w:tc>
      </w:tr>
      <w:tr w:rsidR="001E336A" w:rsidRPr="008714A3">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Las Cadenas - Marchigüe</w:t>
            </w:r>
          </w:p>
        </w:tc>
        <w:tc>
          <w:tcPr>
            <w:tcW w:w="2740" w:type="dxa"/>
            <w:tcBorders>
              <w:top w:val="nil"/>
              <w:left w:val="nil"/>
              <w:bottom w:val="single" w:sz="4" w:space="0" w:color="auto"/>
              <w:right w:val="single" w:sz="4" w:space="0" w:color="auto"/>
            </w:tcBorders>
            <w:shd w:val="clear" w:color="auto" w:fill="auto"/>
            <w:noWrap/>
            <w:vAlign w:val="bottom"/>
          </w:tcPr>
          <w:p w:rsidR="001E336A" w:rsidRPr="00D84361" w:rsidRDefault="001E336A" w:rsidP="008714A3">
            <w:pPr>
              <w:rPr>
                <w:rFonts w:cs="Arial"/>
                <w:color w:val="000000"/>
                <w:sz w:val="20"/>
                <w:szCs w:val="20"/>
                <w:lang w:val="es-CL" w:eastAsia="es-CL"/>
              </w:rPr>
            </w:pPr>
            <w:r w:rsidRPr="00D84361">
              <w:rPr>
                <w:rFonts w:cs="Arial"/>
                <w:color w:val="000000"/>
                <w:sz w:val="20"/>
                <w:szCs w:val="20"/>
                <w:lang w:val="es-CL" w:eastAsia="es-CL"/>
              </w:rPr>
              <w:t>Área de Restricción</w:t>
            </w:r>
          </w:p>
        </w:tc>
        <w:tc>
          <w:tcPr>
            <w:tcW w:w="2300" w:type="dxa"/>
            <w:tcBorders>
              <w:top w:val="nil"/>
              <w:left w:val="nil"/>
              <w:bottom w:val="single" w:sz="4" w:space="0" w:color="auto"/>
              <w:right w:val="single" w:sz="4" w:space="0" w:color="auto"/>
            </w:tcBorders>
            <w:shd w:val="clear" w:color="auto" w:fill="auto"/>
            <w:noWrap/>
            <w:vAlign w:val="bottom"/>
          </w:tcPr>
          <w:p w:rsidR="001E336A" w:rsidRPr="008714A3" w:rsidRDefault="001E336A" w:rsidP="008714A3">
            <w:pPr>
              <w:jc w:val="center"/>
              <w:rPr>
                <w:rFonts w:cs="Arial"/>
                <w:color w:val="000000"/>
                <w:sz w:val="20"/>
                <w:szCs w:val="20"/>
                <w:lang w:val="es-CL" w:eastAsia="es-CL"/>
              </w:rPr>
            </w:pPr>
            <w:r w:rsidRPr="00D84361">
              <w:rPr>
                <w:rFonts w:cs="Arial"/>
                <w:color w:val="000000"/>
                <w:sz w:val="20"/>
                <w:szCs w:val="20"/>
                <w:lang w:val="es-CL" w:eastAsia="es-CL"/>
              </w:rPr>
              <w:t>5.045.760</w:t>
            </w:r>
          </w:p>
        </w:tc>
      </w:tr>
    </w:tbl>
    <w:p w:rsidR="00465451" w:rsidRDefault="00465451" w:rsidP="00465451">
      <w:bookmarkStart w:id="160" w:name="_Toc336426497"/>
    </w:p>
    <w:p w:rsidR="00BC1064" w:rsidRPr="00414555" w:rsidRDefault="00BC1064" w:rsidP="00465451">
      <w:pPr>
        <w:pStyle w:val="Ttulo3"/>
      </w:pPr>
      <w:bookmarkStart w:id="161" w:name="_Toc344391797"/>
      <w:r w:rsidRPr="00414555">
        <w:t>Acuífero Río Nilahue</w:t>
      </w:r>
      <w:bookmarkEnd w:id="160"/>
      <w:bookmarkEnd w:id="161"/>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De acuerdo a los antecedentes la demanda para el sector acuífero de Nilahue, al 31 de diciembre de 2005, es de 3.371 l/s como derechos solicitados y otorgados, en tanto, sólo 1765 l/s son los que </w:t>
      </w:r>
      <w:smartTag w:uri="urn:schemas-microsoft-com:office:smarttags" w:element="PersonName">
        <w:smartTagPr>
          <w:attr w:name="ProductID" w:val="la Dirección General"/>
        </w:smartTagPr>
        <w:r w:rsidRPr="00414555">
          <w:rPr>
            <w:rFonts w:cs="Arial"/>
          </w:rPr>
          <w:t>la Dirección General</w:t>
        </w:r>
      </w:smartTag>
      <w:r w:rsidRPr="00414555">
        <w:rPr>
          <w:rFonts w:cs="Arial"/>
        </w:rPr>
        <w:t xml:space="preserve"> de Aguas ha co</w:t>
      </w:r>
      <w:r w:rsidR="004B0A9B">
        <w:rPr>
          <w:rFonts w:cs="Arial"/>
        </w:rPr>
        <w:t xml:space="preserve">mprometido. En </w:t>
      </w:r>
      <w:smartTag w:uri="urn:schemas-microsoft-com:office:smarttags" w:element="PersonName">
        <w:smartTagPr>
          <w:attr w:name="ProductID" w:val="la ￼￼￼￼￼￼￼￼￼￼￼￼￼￼￼￼￼￼￼￼￼￼￼￼￼￼￼￼￼￼￼￼￼￼￼￼￼￼￼￼￼Tabla"/>
        </w:smartTagPr>
        <w:r w:rsidR="004B0A9B">
          <w:rPr>
            <w:rFonts w:cs="Arial"/>
          </w:rPr>
          <w:t xml:space="preserve">la </w:t>
        </w:r>
        <w:r w:rsidR="004B0A9B">
          <w:rPr>
            <w:rFonts w:cs="Arial"/>
          </w:rPr>
          <w:fldChar w:fldCharType="begin"/>
        </w:r>
        <w:r w:rsidR="004B0A9B">
          <w:rPr>
            <w:rFonts w:cs="Arial"/>
          </w:rPr>
          <w:instrText xml:space="preserve"> REF _Ref336613157 \h </w:instrText>
        </w:r>
        <w:r w:rsidR="004B0A9B">
          <w:rPr>
            <w:rFonts w:cs="Arial"/>
          </w:rPr>
        </w:r>
        <w:r w:rsidR="004B0A9B">
          <w:rPr>
            <w:rFonts w:cs="Arial"/>
          </w:rPr>
          <w:fldChar w:fldCharType="separate"/>
        </w:r>
        <w:r w:rsidR="00264070" w:rsidRPr="00414555">
          <w:t>Tabla</w:t>
        </w:r>
      </w:smartTag>
      <w:r w:rsidR="00264070" w:rsidRPr="00414555">
        <w:t xml:space="preserve"> </w:t>
      </w:r>
      <w:r w:rsidR="00264070">
        <w:rPr>
          <w:noProof/>
        </w:rPr>
        <w:t>3</w:t>
      </w:r>
      <w:r w:rsidR="00264070">
        <w:t>.</w:t>
      </w:r>
      <w:r w:rsidR="00264070">
        <w:rPr>
          <w:noProof/>
        </w:rPr>
        <w:t>6</w:t>
      </w:r>
      <w:r w:rsidR="004B0A9B">
        <w:rPr>
          <w:rFonts w:cs="Arial"/>
        </w:rPr>
        <w:fldChar w:fldCharType="end"/>
      </w:r>
      <w:r w:rsidRPr="00414555">
        <w:rPr>
          <w:rFonts w:cs="Arial"/>
        </w:rPr>
        <w:t xml:space="preserve"> se presenta la demanda total y comprometida por </w:t>
      </w:r>
      <w:smartTag w:uri="urn:schemas-microsoft-com:office:smarttags" w:element="PersonName">
        <w:smartTagPr>
          <w:attr w:name="ProductID" w:val="la DGA"/>
        </w:smartTagPr>
        <w:r w:rsidRPr="00414555">
          <w:rPr>
            <w:rFonts w:cs="Arial"/>
          </w:rPr>
          <w:t>la DGA</w:t>
        </w:r>
      </w:smartTag>
      <w:r w:rsidRPr="00414555">
        <w:rPr>
          <w:rFonts w:cs="Arial"/>
        </w:rPr>
        <w:t xml:space="preserve"> al 31 de diciembre de 2005 por cada subcuenca (sector hidrogeológico de interés).</w:t>
      </w:r>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En tanto, </w:t>
      </w:r>
      <w:smartTag w:uri="urn:schemas-microsoft-com:office:smarttags" w:element="PersonName">
        <w:smartTagPr>
          <w:attr w:name="ProductID" w:val="la ￼￼￼￼￼￼￼￼￼￼￼￼￼￼￼￼￼￼￼￼￼￼￼￼￼￼￼￼￼￼￼￼￼￼￼￼￼￼￼￼￼Tabla"/>
        </w:smartTagPr>
        <w:r w:rsidR="00D33106" w:rsidRPr="00414555">
          <w:rPr>
            <w:rFonts w:cs="Arial"/>
          </w:rPr>
          <w:t xml:space="preserve">la </w:t>
        </w:r>
        <w:r w:rsidR="004B0A9B">
          <w:rPr>
            <w:rFonts w:cs="Arial"/>
          </w:rPr>
          <w:fldChar w:fldCharType="begin"/>
        </w:r>
        <w:r w:rsidR="004B0A9B">
          <w:rPr>
            <w:rFonts w:cs="Arial"/>
          </w:rPr>
          <w:instrText xml:space="preserve"> REF _Ref337129045 \h </w:instrText>
        </w:r>
        <w:r w:rsidR="004B0A9B">
          <w:rPr>
            <w:rFonts w:cs="Arial"/>
          </w:rPr>
        </w:r>
        <w:r w:rsidR="004B0A9B">
          <w:rPr>
            <w:rFonts w:cs="Arial"/>
          </w:rPr>
          <w:fldChar w:fldCharType="separate"/>
        </w:r>
        <w:r w:rsidR="00264070" w:rsidRPr="00414555">
          <w:t>Tabla</w:t>
        </w:r>
      </w:smartTag>
      <w:r w:rsidR="00264070" w:rsidRPr="00414555">
        <w:t xml:space="preserve"> </w:t>
      </w:r>
      <w:r w:rsidR="00264070">
        <w:rPr>
          <w:noProof/>
        </w:rPr>
        <w:t>3</w:t>
      </w:r>
      <w:r w:rsidR="00264070">
        <w:t>.</w:t>
      </w:r>
      <w:r w:rsidR="00264070">
        <w:rPr>
          <w:noProof/>
        </w:rPr>
        <w:t>7</w:t>
      </w:r>
      <w:r w:rsidR="004B0A9B">
        <w:rPr>
          <w:rFonts w:cs="Arial"/>
        </w:rPr>
        <w:fldChar w:fldCharType="end"/>
      </w:r>
      <w:r w:rsidR="004B0A9B">
        <w:rPr>
          <w:rFonts w:cs="Arial"/>
        </w:rPr>
        <w:t xml:space="preserve"> </w:t>
      </w:r>
      <w:r w:rsidRPr="00414555">
        <w:rPr>
          <w:rFonts w:cs="Arial"/>
        </w:rPr>
        <w:t>muestra la distribución de la demanda total según el tipo de uso del agua, indicando que un 84% equivalen a usos de riego y el resto corresponde a agua potable.</w:t>
      </w:r>
    </w:p>
    <w:p w:rsidR="00BC1064" w:rsidRPr="00414555" w:rsidRDefault="00BC1064" w:rsidP="00B51B51">
      <w:pPr>
        <w:widowControl w:val="0"/>
        <w:spacing w:line="240" w:lineRule="atLeast"/>
        <w:rPr>
          <w:rFonts w:cs="Arial"/>
        </w:rPr>
      </w:pPr>
    </w:p>
    <w:p w:rsidR="00D33106" w:rsidRPr="00414555" w:rsidRDefault="0032171E" w:rsidP="00B51B51">
      <w:pPr>
        <w:pStyle w:val="Epgrafe"/>
        <w:widowControl w:val="0"/>
      </w:pPr>
      <w:bookmarkStart w:id="162" w:name="_Ref336613157"/>
      <w:r w:rsidRPr="00414555">
        <w:lastRenderedPageBreak/>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bookmarkEnd w:id="162"/>
      <w:r w:rsidR="00D33106" w:rsidRPr="00414555">
        <w:t xml:space="preserve"> Demanda Comprometida Sector Nilahue</w:t>
      </w:r>
    </w:p>
    <w:p w:rsidR="00D33106" w:rsidRPr="00414555" w:rsidRDefault="00D33106" w:rsidP="00B51B51">
      <w:pPr>
        <w:pStyle w:val="Epgrafe"/>
        <w:widowControl w:val="0"/>
      </w:pPr>
      <w:r w:rsidRPr="00414555">
        <w:t>al 31 de Diciembre de 2005</w:t>
      </w:r>
    </w:p>
    <w:p w:rsidR="00BC1064" w:rsidRPr="00414555" w:rsidRDefault="00254CE2" w:rsidP="00465451">
      <w:pPr>
        <w:widowControl w:val="0"/>
        <w:spacing w:line="240" w:lineRule="atLeast"/>
        <w:jc w:val="center"/>
        <w:rPr>
          <w:rFonts w:cs="Arial"/>
          <w:lang w:val="es-CL" w:eastAsia="es-CL"/>
        </w:rPr>
      </w:pPr>
      <w:r>
        <w:rPr>
          <w:rFonts w:cs="Arial"/>
          <w:noProof/>
          <w:lang w:val="es-CL" w:eastAsia="es-CL"/>
        </w:rPr>
        <w:drawing>
          <wp:inline distT="0" distB="0" distL="0" distR="0">
            <wp:extent cx="5018405" cy="1647825"/>
            <wp:effectExtent l="0" t="0" r="0" b="9525"/>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8">
                      <a:extLst>
                        <a:ext uri="{28A0092B-C50C-407E-A947-70E740481C1C}">
                          <a14:useLocalDpi xmlns:a14="http://schemas.microsoft.com/office/drawing/2010/main" val="0"/>
                        </a:ext>
                      </a:extLst>
                    </a:blip>
                    <a:srcRect t="8163" b="47987"/>
                    <a:stretch>
                      <a:fillRect/>
                    </a:stretch>
                  </pic:blipFill>
                  <pic:spPr bwMode="auto">
                    <a:xfrm>
                      <a:off x="0" y="0"/>
                      <a:ext cx="5018405" cy="1647825"/>
                    </a:xfrm>
                    <a:prstGeom prst="rect">
                      <a:avLst/>
                    </a:prstGeom>
                    <a:noFill/>
                    <a:ln>
                      <a:noFill/>
                    </a:ln>
                  </pic:spPr>
                </pic:pic>
              </a:graphicData>
            </a:graphic>
          </wp:inline>
        </w:drawing>
      </w:r>
    </w:p>
    <w:p w:rsidR="00465451" w:rsidRPr="00414555" w:rsidRDefault="00465451" w:rsidP="00B51B51">
      <w:pPr>
        <w:widowControl w:val="0"/>
        <w:spacing w:line="240" w:lineRule="atLeast"/>
        <w:jc w:val="center"/>
        <w:rPr>
          <w:rFonts w:cs="Arial"/>
        </w:rPr>
      </w:pPr>
    </w:p>
    <w:p w:rsidR="0032171E" w:rsidRPr="00414555" w:rsidRDefault="0032171E" w:rsidP="00B51B51">
      <w:pPr>
        <w:pStyle w:val="Epgrafe"/>
        <w:widowControl w:val="0"/>
      </w:pPr>
      <w:bookmarkStart w:id="163" w:name="_Ref337129045"/>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bookmarkEnd w:id="163"/>
      <w:r w:rsidR="00D33106" w:rsidRPr="00414555">
        <w:t xml:space="preserve"> Distribución de Demanda según Tipo de Uso</w:t>
      </w:r>
    </w:p>
    <w:p w:rsidR="00BC1064" w:rsidRPr="00414555" w:rsidRDefault="00254CE2" w:rsidP="00B51B51">
      <w:pPr>
        <w:widowControl w:val="0"/>
        <w:spacing w:line="240" w:lineRule="atLeast"/>
        <w:jc w:val="center"/>
        <w:rPr>
          <w:rFonts w:cs="Arial"/>
          <w:lang w:val="es-CL" w:eastAsia="es-CL"/>
        </w:rPr>
      </w:pPr>
      <w:r>
        <w:rPr>
          <w:rFonts w:cs="Arial"/>
          <w:noProof/>
          <w:lang w:val="es-CL" w:eastAsia="es-CL"/>
        </w:rPr>
        <w:drawing>
          <wp:inline distT="0" distB="0" distL="0" distR="0">
            <wp:extent cx="4912360" cy="1414145"/>
            <wp:effectExtent l="0" t="0" r="254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8">
                      <a:extLst>
                        <a:ext uri="{28A0092B-C50C-407E-A947-70E740481C1C}">
                          <a14:useLocalDpi xmlns:a14="http://schemas.microsoft.com/office/drawing/2010/main" val="0"/>
                        </a:ext>
                      </a:extLst>
                    </a:blip>
                    <a:srcRect t="61732"/>
                    <a:stretch>
                      <a:fillRect/>
                    </a:stretch>
                  </pic:blipFill>
                  <pic:spPr bwMode="auto">
                    <a:xfrm>
                      <a:off x="0" y="0"/>
                      <a:ext cx="4912360" cy="1414145"/>
                    </a:xfrm>
                    <a:prstGeom prst="rect">
                      <a:avLst/>
                    </a:prstGeom>
                    <a:noFill/>
                    <a:ln>
                      <a:noFill/>
                    </a:ln>
                  </pic:spPr>
                </pic:pic>
              </a:graphicData>
            </a:graphic>
          </wp:inline>
        </w:drawing>
      </w:r>
    </w:p>
    <w:p w:rsidR="00BC1064" w:rsidRPr="00414555" w:rsidRDefault="00BC1064" w:rsidP="00B51B51">
      <w:pPr>
        <w:widowControl w:val="0"/>
        <w:spacing w:line="240" w:lineRule="atLeast"/>
        <w:rPr>
          <w:rFonts w:cs="Arial"/>
          <w:lang w:val="es-CL" w:eastAsia="es-CL"/>
        </w:rPr>
      </w:pPr>
    </w:p>
    <w:p w:rsidR="00BC1064" w:rsidRPr="00414555" w:rsidRDefault="00BC1064" w:rsidP="00B51B51">
      <w:pPr>
        <w:widowControl w:val="0"/>
        <w:spacing w:line="240" w:lineRule="atLeast"/>
        <w:rPr>
          <w:rFonts w:cs="Arial"/>
        </w:rPr>
      </w:pPr>
      <w:r w:rsidRPr="00414555">
        <w:rPr>
          <w:rFonts w:cs="Arial"/>
        </w:rPr>
        <w:t xml:space="preserve">Como conclusión de este trabajo se entrega por medio de resúmenes por zona, la oferta o volúmenes totales anuales posibles de otorgar como derechos de agua subterránea en el Acuífero de Nilahue. </w:t>
      </w:r>
    </w:p>
    <w:p w:rsidR="00BC1064" w:rsidRPr="00414555" w:rsidRDefault="00BC1064" w:rsidP="00B51B51">
      <w:pPr>
        <w:widowControl w:val="0"/>
        <w:spacing w:line="240" w:lineRule="atLeast"/>
        <w:rPr>
          <w:rFonts w:cs="Arial"/>
        </w:rPr>
      </w:pPr>
    </w:p>
    <w:p w:rsidR="0032171E" w:rsidRPr="00414555" w:rsidRDefault="0032171E" w:rsidP="00B51B51">
      <w:pPr>
        <w:pStyle w:val="Epgrafe"/>
        <w:widowControl w:val="0"/>
      </w:pPr>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p>
    <w:p w:rsidR="00BC1064" w:rsidRPr="00414555" w:rsidRDefault="00254CE2" w:rsidP="00B51B51">
      <w:pPr>
        <w:widowControl w:val="0"/>
        <w:spacing w:line="240" w:lineRule="atLeast"/>
        <w:jc w:val="center"/>
        <w:rPr>
          <w:rFonts w:cs="Arial"/>
        </w:rPr>
      </w:pPr>
      <w:r>
        <w:rPr>
          <w:rFonts w:cs="Arial"/>
          <w:noProof/>
          <w:lang w:val="es-CL" w:eastAsia="es-CL"/>
        </w:rPr>
        <w:drawing>
          <wp:inline distT="0" distB="0" distL="0" distR="0">
            <wp:extent cx="3466465" cy="1680210"/>
            <wp:effectExtent l="0" t="0" r="635" b="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9">
                      <a:extLst>
                        <a:ext uri="{28A0092B-C50C-407E-A947-70E740481C1C}">
                          <a14:useLocalDpi xmlns:a14="http://schemas.microsoft.com/office/drawing/2010/main" val="0"/>
                        </a:ext>
                      </a:extLst>
                    </a:blip>
                    <a:srcRect t="12805"/>
                    <a:stretch>
                      <a:fillRect/>
                    </a:stretch>
                  </pic:blipFill>
                  <pic:spPr bwMode="auto">
                    <a:xfrm>
                      <a:off x="0" y="0"/>
                      <a:ext cx="3466465" cy="1680210"/>
                    </a:xfrm>
                    <a:prstGeom prst="rect">
                      <a:avLst/>
                    </a:prstGeom>
                    <a:noFill/>
                    <a:ln>
                      <a:noFill/>
                    </a:ln>
                  </pic:spPr>
                </pic:pic>
              </a:graphicData>
            </a:graphic>
          </wp:inline>
        </w:drawing>
      </w:r>
    </w:p>
    <w:p w:rsidR="00465451" w:rsidRDefault="00465451" w:rsidP="00465451">
      <w:bookmarkStart w:id="164" w:name="_Toc336426498"/>
    </w:p>
    <w:p w:rsidR="00BC1064" w:rsidRPr="00414555" w:rsidRDefault="00BC1064" w:rsidP="00465451">
      <w:pPr>
        <w:pStyle w:val="Ttulo3"/>
      </w:pPr>
      <w:bookmarkStart w:id="165" w:name="_Toc344391798"/>
      <w:r w:rsidRPr="00414555">
        <w:t>Acuíferos Cuencas Costeras</w:t>
      </w:r>
      <w:bookmarkEnd w:id="164"/>
      <w:bookmarkEnd w:id="165"/>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De acuerdo al Informe Técnico SDT N°160, “Evaluación de los Recursos Hídricos Subterráneos de </w:t>
      </w:r>
      <w:smartTag w:uri="urn:schemas-microsoft-com:office:smarttags" w:element="PersonName">
        <w:smartTagPr>
          <w:attr w:name="ProductID" w:val="la VI Región"/>
        </w:smartTagPr>
        <w:r w:rsidRPr="00414555">
          <w:rPr>
            <w:rFonts w:cs="Arial"/>
          </w:rPr>
          <w:t>la VI Región</w:t>
        </w:r>
      </w:smartTag>
      <w:r w:rsidRPr="00414555">
        <w:rPr>
          <w:rFonts w:cs="Arial"/>
        </w:rPr>
        <w:t>”, de noviembre de 2003, se cuantificó la recarga media anual para diversos sectores de la región del Libertador Bernardo O´Higgins. En este Informe se agregan los sectores acuíferos denominados Orilla Embalse Rapel Norte y Orilla Embalse Rapel Sur, en el cual se ha calculado la recarga media anual con el mismo método utilizado en el citado SDT Nº 160, considerando que sus áreas son de 64 y 13 km</w:t>
      </w:r>
      <w:r w:rsidRPr="00414555">
        <w:rPr>
          <w:rFonts w:cs="Arial"/>
          <w:vertAlign w:val="superscript"/>
        </w:rPr>
        <w:t>2</w:t>
      </w:r>
      <w:r w:rsidRPr="00414555">
        <w:rPr>
          <w:rFonts w:cs="Arial"/>
        </w:rPr>
        <w:t xml:space="preserve"> respectivamente, y su precipitación media anual de, </w:t>
      </w:r>
      <w:smartTag w:uri="urn:schemas-microsoft-com:office:smarttags" w:element="metricconverter">
        <w:smartTagPr>
          <w:attr w:name="ProductID" w:val="670 mm"/>
        </w:smartTagPr>
        <w:r w:rsidRPr="00414555">
          <w:rPr>
            <w:rFonts w:cs="Arial"/>
          </w:rPr>
          <w:t>670 mm</w:t>
        </w:r>
      </w:smartTag>
      <w:r w:rsidRPr="00414555">
        <w:rPr>
          <w:rFonts w:cs="Arial"/>
        </w:rPr>
        <w:t xml:space="preserve"> y </w:t>
      </w:r>
      <w:smartTag w:uri="urn:schemas-microsoft-com:office:smarttags" w:element="metricconverter">
        <w:smartTagPr>
          <w:attr w:name="ProductID" w:val="640 mm"/>
        </w:smartTagPr>
        <w:r w:rsidRPr="00414555">
          <w:rPr>
            <w:rFonts w:cs="Arial"/>
          </w:rPr>
          <w:t>640 mm</w:t>
        </w:r>
      </w:smartTag>
      <w:r w:rsidRPr="00414555">
        <w:rPr>
          <w:rFonts w:cs="Arial"/>
        </w:rPr>
        <w:t xml:space="preserve"> respectivamente. </w:t>
      </w:r>
    </w:p>
    <w:p w:rsidR="00BC1064" w:rsidRPr="00414555" w:rsidRDefault="00BC1064" w:rsidP="00B51B51">
      <w:pPr>
        <w:widowControl w:val="0"/>
        <w:spacing w:line="240" w:lineRule="atLeast"/>
        <w:rPr>
          <w:rFonts w:cs="Arial"/>
        </w:rPr>
      </w:pPr>
      <w:r w:rsidRPr="00414555">
        <w:rPr>
          <w:rFonts w:cs="Arial"/>
        </w:rPr>
        <w:lastRenderedPageBreak/>
        <w:t xml:space="preserve">En </w:t>
      </w:r>
      <w:smartTag w:uri="urn:schemas-microsoft-com:office:smarttags" w:element="PersonName">
        <w:smartTagPr>
          <w:attr w:name="ProductID" w:val="la ￼￼￼￼￼￼￼￼￼￼￼￼￼￼￼￼￼￼￼￼￼￼￼￼￼￼￼￼￼￼￼￼￼￼￼￼￼￼￼￼￼Tabla"/>
        </w:smartTagPr>
        <w:r w:rsidR="00D33106" w:rsidRPr="00414555">
          <w:rPr>
            <w:rFonts w:cs="Arial"/>
          </w:rPr>
          <w:t xml:space="preserve">la </w:t>
        </w:r>
        <w:r w:rsidR="00D33106" w:rsidRPr="00414555">
          <w:rPr>
            <w:rFonts w:cs="Arial"/>
          </w:rPr>
          <w:fldChar w:fldCharType="begin"/>
        </w:r>
        <w:r w:rsidR="00D33106" w:rsidRPr="00414555">
          <w:rPr>
            <w:rFonts w:cs="Arial"/>
          </w:rPr>
          <w:instrText xml:space="preserve"> REF _Ref336613273 \h </w:instrText>
        </w:r>
        <w:r w:rsidR="00D33106" w:rsidRPr="00414555">
          <w:rPr>
            <w:rFonts w:cs="Arial"/>
          </w:rPr>
        </w:r>
        <w:r w:rsidR="00D33106" w:rsidRPr="00414555">
          <w:rPr>
            <w:rFonts w:cs="Arial"/>
          </w:rPr>
          <w:instrText xml:space="preserve"> \* MERGEFORMAT </w:instrText>
        </w:r>
        <w:r w:rsidR="00D33106" w:rsidRPr="00414555">
          <w:rPr>
            <w:rFonts w:cs="Arial"/>
          </w:rPr>
          <w:fldChar w:fldCharType="separate"/>
        </w:r>
        <w:r w:rsidR="00264070" w:rsidRPr="00414555">
          <w:t>Tabla</w:t>
        </w:r>
      </w:smartTag>
      <w:r w:rsidR="00264070" w:rsidRPr="00414555">
        <w:t xml:space="preserve"> </w:t>
      </w:r>
      <w:r w:rsidR="00264070">
        <w:rPr>
          <w:noProof/>
        </w:rPr>
        <w:t>3.9</w:t>
      </w:r>
      <w:r w:rsidR="00D33106" w:rsidRPr="00414555">
        <w:rPr>
          <w:rFonts w:cs="Arial"/>
        </w:rPr>
        <w:fldChar w:fldCharType="end"/>
      </w:r>
      <w:r w:rsidR="00D33106" w:rsidRPr="00414555">
        <w:rPr>
          <w:rFonts w:cs="Arial"/>
        </w:rPr>
        <w:t xml:space="preserve"> </w:t>
      </w:r>
      <w:r w:rsidRPr="00414555">
        <w:rPr>
          <w:rFonts w:cs="Arial"/>
        </w:rPr>
        <w:t>se presenta el Volumen Sustentable de cada uno de los sectores que se analizan en el presente informe.</w:t>
      </w:r>
    </w:p>
    <w:p w:rsidR="00BC1064" w:rsidRPr="00414555" w:rsidRDefault="00BC1064" w:rsidP="00B51B51">
      <w:pPr>
        <w:widowControl w:val="0"/>
        <w:spacing w:line="240" w:lineRule="atLeast"/>
        <w:jc w:val="center"/>
        <w:rPr>
          <w:rFonts w:cs="Arial"/>
          <w:b/>
        </w:rPr>
      </w:pPr>
    </w:p>
    <w:p w:rsidR="00D33106" w:rsidRPr="00414555" w:rsidRDefault="00D33106" w:rsidP="00B51B51">
      <w:pPr>
        <w:pStyle w:val="Epgrafe"/>
        <w:widowControl w:val="0"/>
      </w:pPr>
      <w:bookmarkStart w:id="166" w:name="_Ref336613273"/>
      <w:r w:rsidRPr="00414555">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bookmarkEnd w:id="166"/>
      <w:r w:rsidRPr="00414555">
        <w:t xml:space="preserve"> Volumen Sustentable</w:t>
      </w:r>
    </w:p>
    <w:p w:rsidR="00BC1064" w:rsidRPr="00414555" w:rsidRDefault="00254CE2" w:rsidP="00B51B51">
      <w:pPr>
        <w:widowControl w:val="0"/>
        <w:spacing w:line="240" w:lineRule="atLeast"/>
        <w:jc w:val="center"/>
        <w:rPr>
          <w:rFonts w:cs="Arial"/>
        </w:rPr>
      </w:pPr>
      <w:r>
        <w:rPr>
          <w:rFonts w:cs="Arial"/>
          <w:noProof/>
          <w:lang w:val="es-CL" w:eastAsia="es-CL"/>
        </w:rPr>
        <w:drawing>
          <wp:inline distT="0" distB="0" distL="0" distR="0">
            <wp:extent cx="3763645" cy="586930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63645" cy="5869305"/>
                    </a:xfrm>
                    <a:prstGeom prst="rect">
                      <a:avLst/>
                    </a:prstGeom>
                    <a:noFill/>
                    <a:ln>
                      <a:noFill/>
                    </a:ln>
                  </pic:spPr>
                </pic:pic>
              </a:graphicData>
            </a:graphic>
          </wp:inline>
        </w:drawing>
      </w:r>
    </w:p>
    <w:p w:rsidR="00D33106" w:rsidRPr="00414555" w:rsidRDefault="00D33106"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En </w:t>
      </w:r>
      <w:smartTag w:uri="urn:schemas-microsoft-com:office:smarttags" w:element="PersonName">
        <w:smartTagPr>
          <w:attr w:name="ProductID" w:val="la ￼￼￼￼￼￼￼￼￼￼￼￼￼￼￼￼￼￼￼￼￼￼￼￼￼￼￼￼￼￼￼￼￼￼￼￼￼￼￼￼￼Tabla"/>
        </w:smartTagPr>
        <w:r w:rsidR="00D33106" w:rsidRPr="00414555">
          <w:rPr>
            <w:rFonts w:cs="Arial"/>
          </w:rPr>
          <w:t xml:space="preserve">la </w:t>
        </w:r>
        <w:r w:rsidR="00D33106" w:rsidRPr="00414555">
          <w:rPr>
            <w:rFonts w:cs="Arial"/>
          </w:rPr>
          <w:fldChar w:fldCharType="begin"/>
        </w:r>
        <w:r w:rsidR="00D33106" w:rsidRPr="00414555">
          <w:rPr>
            <w:rFonts w:cs="Arial"/>
          </w:rPr>
          <w:instrText xml:space="preserve"> REF _Ref336613310 \h </w:instrText>
        </w:r>
        <w:r w:rsidR="00D33106" w:rsidRPr="00414555">
          <w:rPr>
            <w:rFonts w:cs="Arial"/>
          </w:rPr>
        </w:r>
        <w:r w:rsidR="00D33106" w:rsidRPr="00414555">
          <w:rPr>
            <w:rFonts w:cs="Arial"/>
          </w:rPr>
          <w:instrText xml:space="preserve"> \* MERGEFORMAT </w:instrText>
        </w:r>
        <w:r w:rsidR="00D33106" w:rsidRPr="00414555">
          <w:rPr>
            <w:rFonts w:cs="Arial"/>
          </w:rPr>
          <w:fldChar w:fldCharType="separate"/>
        </w:r>
        <w:r w:rsidR="00264070" w:rsidRPr="00414555">
          <w:t>Tabla</w:t>
        </w:r>
      </w:smartTag>
      <w:r w:rsidR="00264070" w:rsidRPr="00414555">
        <w:t xml:space="preserve"> </w:t>
      </w:r>
      <w:r w:rsidR="00264070">
        <w:rPr>
          <w:noProof/>
        </w:rPr>
        <w:t>3.10</w:t>
      </w:r>
      <w:r w:rsidR="00D33106" w:rsidRPr="00414555">
        <w:rPr>
          <w:rFonts w:cs="Arial"/>
        </w:rPr>
        <w:fldChar w:fldCharType="end"/>
      </w:r>
      <w:r w:rsidRPr="00414555">
        <w:rPr>
          <w:rFonts w:cs="Arial"/>
        </w:rPr>
        <w:t xml:space="preserve"> se presenta, para cada sector acuífero, la información de la demanda comprometida en derechos definitivos al 30 de junio de 2010.</w:t>
      </w:r>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lang w:val="es-CL" w:eastAsia="es-CL"/>
        </w:rPr>
      </w:pPr>
    </w:p>
    <w:p w:rsidR="00D33106" w:rsidRPr="00414555" w:rsidRDefault="00D33106" w:rsidP="00B51B51">
      <w:pPr>
        <w:widowControl w:val="0"/>
        <w:spacing w:line="240" w:lineRule="atLeast"/>
        <w:rPr>
          <w:rFonts w:cs="Arial"/>
          <w:lang w:val="es-CL" w:eastAsia="es-CL"/>
        </w:rPr>
      </w:pPr>
    </w:p>
    <w:p w:rsidR="00D33106" w:rsidRPr="00414555" w:rsidRDefault="00D33106" w:rsidP="00B51B51">
      <w:pPr>
        <w:widowControl w:val="0"/>
        <w:spacing w:line="240" w:lineRule="atLeast"/>
        <w:rPr>
          <w:rFonts w:cs="Arial"/>
          <w:lang w:val="es-CL" w:eastAsia="es-CL"/>
        </w:rPr>
      </w:pPr>
    </w:p>
    <w:p w:rsidR="00D33106" w:rsidRPr="00414555" w:rsidRDefault="00D33106" w:rsidP="00B51B51">
      <w:pPr>
        <w:widowControl w:val="0"/>
        <w:spacing w:line="240" w:lineRule="atLeast"/>
        <w:rPr>
          <w:rFonts w:cs="Arial"/>
          <w:lang w:val="es-CL" w:eastAsia="es-CL"/>
        </w:rPr>
      </w:pPr>
    </w:p>
    <w:p w:rsidR="00D33106" w:rsidRPr="00414555" w:rsidRDefault="00D33106" w:rsidP="00B51B51">
      <w:pPr>
        <w:widowControl w:val="0"/>
        <w:spacing w:line="240" w:lineRule="atLeast"/>
        <w:rPr>
          <w:rFonts w:cs="Arial"/>
          <w:lang w:val="es-CL" w:eastAsia="es-CL"/>
        </w:rPr>
      </w:pPr>
    </w:p>
    <w:p w:rsidR="00D33106" w:rsidRPr="00414555" w:rsidRDefault="00D33106" w:rsidP="00B51B51">
      <w:pPr>
        <w:pStyle w:val="Epgrafe"/>
        <w:widowControl w:val="0"/>
      </w:pPr>
      <w:bookmarkStart w:id="167" w:name="_Ref336613310"/>
      <w:r w:rsidRPr="00414555">
        <w:lastRenderedPageBreak/>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bookmarkEnd w:id="167"/>
      <w:r w:rsidRPr="00414555">
        <w:t xml:space="preserve"> Demanda Comprometida al 30 de Junio de 2010</w:t>
      </w:r>
    </w:p>
    <w:p w:rsidR="00BC1064" w:rsidRPr="00414555" w:rsidRDefault="00254CE2" w:rsidP="00B51B51">
      <w:pPr>
        <w:widowControl w:val="0"/>
        <w:spacing w:line="240" w:lineRule="atLeast"/>
        <w:jc w:val="center"/>
        <w:rPr>
          <w:rFonts w:cs="Arial"/>
        </w:rPr>
      </w:pPr>
      <w:r>
        <w:rPr>
          <w:rFonts w:cs="Arial"/>
          <w:noProof/>
          <w:lang w:val="es-CL" w:eastAsia="es-CL"/>
        </w:rPr>
        <w:drawing>
          <wp:inline distT="0" distB="0" distL="0" distR="0">
            <wp:extent cx="4168140" cy="6783705"/>
            <wp:effectExtent l="0" t="0" r="3810" b="0"/>
            <wp:docPr id="1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68140" cy="6783705"/>
                    </a:xfrm>
                    <a:prstGeom prst="rect">
                      <a:avLst/>
                    </a:prstGeom>
                    <a:noFill/>
                    <a:ln>
                      <a:noFill/>
                    </a:ln>
                  </pic:spPr>
                </pic:pic>
              </a:graphicData>
            </a:graphic>
          </wp:inline>
        </w:drawing>
      </w:r>
    </w:p>
    <w:p w:rsidR="00BC1064" w:rsidRPr="00414555" w:rsidRDefault="00BC1064" w:rsidP="00B51B51">
      <w:pPr>
        <w:widowControl w:val="0"/>
        <w:spacing w:line="240" w:lineRule="atLeast"/>
        <w:rPr>
          <w:rFonts w:cs="Arial"/>
        </w:rPr>
      </w:pPr>
    </w:p>
    <w:p w:rsidR="00D33106" w:rsidRPr="00414555" w:rsidRDefault="00D33106" w:rsidP="00B51B51">
      <w:pPr>
        <w:widowControl w:val="0"/>
        <w:spacing w:line="240" w:lineRule="atLeast"/>
        <w:rPr>
          <w:rFonts w:cs="Arial"/>
        </w:rPr>
      </w:pPr>
    </w:p>
    <w:p w:rsidR="00414555" w:rsidRPr="00414555" w:rsidRDefault="00414555" w:rsidP="00B51B51">
      <w:pPr>
        <w:widowControl w:val="0"/>
        <w:spacing w:line="240" w:lineRule="atLeast"/>
        <w:rPr>
          <w:rFonts w:cs="Arial"/>
        </w:rPr>
      </w:pPr>
    </w:p>
    <w:p w:rsidR="00414555" w:rsidRPr="00414555" w:rsidRDefault="00414555" w:rsidP="00B51B51">
      <w:pPr>
        <w:widowControl w:val="0"/>
        <w:spacing w:line="240" w:lineRule="atLeast"/>
        <w:rPr>
          <w:rFonts w:cs="Arial"/>
        </w:rPr>
      </w:pPr>
    </w:p>
    <w:p w:rsidR="00414555" w:rsidRDefault="00414555" w:rsidP="00B51B51">
      <w:pPr>
        <w:widowControl w:val="0"/>
        <w:spacing w:line="240" w:lineRule="atLeast"/>
        <w:rPr>
          <w:rFonts w:cs="Arial"/>
        </w:rPr>
      </w:pPr>
    </w:p>
    <w:p w:rsidR="00465451" w:rsidRPr="00414555" w:rsidRDefault="00465451" w:rsidP="00B51B51">
      <w:pPr>
        <w:widowControl w:val="0"/>
        <w:spacing w:line="240" w:lineRule="atLeast"/>
        <w:rPr>
          <w:rFonts w:cs="Arial"/>
        </w:rPr>
      </w:pPr>
    </w:p>
    <w:p w:rsidR="00414555" w:rsidRPr="00414555" w:rsidRDefault="00414555"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lastRenderedPageBreak/>
        <w:t>Del análisis de la información detallada en los 2 cuadros anteriores, se puede concluir que, los sectores acuíferos: Altos de Rapel, Orilla Embalse Rapel Norte, Orilla Embalse Rapel Sur, Estero Navidad, Caleta Matanzas, Estero Pupuya, Polcura, Punta Tumán, Estero Topocalma, Estero Hidango, Caleta Topocalma, Las Quebradas, Estero San Miguel, Pichilemu, Quebrada Honda, Laguna Cahuil, Nilahue Bajo, Estero Quillay, Laguna Bucalemu, Estero Paredones, Laguna Boyeruca y Estero San Pedro, presentan recarga suficiente para satisfacer la demanda de aguas subterráneas comprometida al 30 de junio de 2010, debiendo permanecer abiertos a nuevas solicitudes de derechos de aprovechamiento, hasta copar</w:t>
      </w:r>
      <w:r w:rsidR="00C31A9D">
        <w:rPr>
          <w:rFonts w:cs="Arial"/>
        </w:rPr>
        <w:t xml:space="preserve"> los</w:t>
      </w:r>
      <w:r w:rsidRPr="00414555">
        <w:rPr>
          <w:rFonts w:cs="Arial"/>
        </w:rPr>
        <w:t xml:space="preserve"> volúmenes totales anuales correspondientes a su respectiva recarga media anual.</w:t>
      </w:r>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En los sectores acuíferos: Río Rapel Bajo Junta Estero El Rosario, Estero El Rosario, Río Rapel Antes Junta Estero El Rosario y Estero San Antonio, la demanda de aguas subterráneas comprometida al 30 de junio de 2010 supera el volumen sustentable, estimándose que existe riesgo de grave disminución del acuífero con el consiguiente perjuicio de derechos de terceros ya establecidos en ellos, procediendo de acuerdo a los artículos 65 del Código de Aguas y 31 letra b) de </w:t>
      </w:r>
      <w:smartTag w:uri="urn:schemas-microsoft-com:office:smarttags" w:element="PersonName">
        <w:smartTagPr>
          <w:attr w:name="ProductID" w:val="la Resolución DGA"/>
        </w:smartTagPr>
        <w:r w:rsidRPr="00414555">
          <w:rPr>
            <w:rFonts w:cs="Arial"/>
          </w:rPr>
          <w:t>la Resolución DGA</w:t>
        </w:r>
      </w:smartTag>
      <w:r w:rsidRPr="00414555">
        <w:rPr>
          <w:rFonts w:cs="Arial"/>
        </w:rPr>
        <w:t xml:space="preserve"> N°425 de 2007, ser declarados área de restricción los sectores Río Rapel Bajo Junta Estero El Rosario, Estero El Rosario, Río Rapel Antes Junta Estero El Rosario y Estero San Antonio.</w:t>
      </w:r>
    </w:p>
    <w:p w:rsidR="00BC1064" w:rsidRPr="00414555" w:rsidRDefault="00BC1064" w:rsidP="00B51B51">
      <w:pPr>
        <w:widowControl w:val="0"/>
        <w:spacing w:line="240" w:lineRule="atLeast"/>
        <w:rPr>
          <w:rFonts w:cs="Arial"/>
        </w:rPr>
      </w:pPr>
    </w:p>
    <w:p w:rsidR="00BC1064" w:rsidRPr="00414555" w:rsidRDefault="00BC1064" w:rsidP="00B51B51">
      <w:pPr>
        <w:widowControl w:val="0"/>
        <w:spacing w:line="240" w:lineRule="atLeast"/>
        <w:rPr>
          <w:rFonts w:cs="Arial"/>
        </w:rPr>
      </w:pPr>
      <w:r w:rsidRPr="00414555">
        <w:rPr>
          <w:rFonts w:cs="Arial"/>
        </w:rPr>
        <w:t xml:space="preserve">Luego, en los sectores acuíferos Río Rapel Bajo Junta Estero El Rosario, Estero El Rosario, Río Rapel Antes Junta Estero El Rosario y Estero San Antonio, no existe disponibilidad de recurso hídrico subterráneo para otorgar nuevos derechos de aprovechamiento en calidad de definitivos. Sin embargo, una vez declarada un área de restricción, </w:t>
      </w:r>
      <w:smartTag w:uri="urn:schemas-microsoft-com:office:smarttags" w:element="PersonName">
        <w:smartTagPr>
          <w:attr w:name="ProductID" w:val="la Dirección General"/>
        </w:smartTagPr>
        <w:r w:rsidRPr="00414555">
          <w:rPr>
            <w:rFonts w:cs="Arial"/>
          </w:rPr>
          <w:t>la Dirección General</w:t>
        </w:r>
      </w:smartTag>
      <w:r w:rsidRPr="00414555">
        <w:rPr>
          <w:rFonts w:cs="Arial"/>
        </w:rPr>
        <w:t xml:space="preserve"> de Aguas puede otorgar derechos de aprovechamiento de aguas subterráneas en carácter de provisionales.</w:t>
      </w:r>
    </w:p>
    <w:p w:rsidR="00BC1064" w:rsidRPr="00414555" w:rsidRDefault="00BC1064" w:rsidP="00B51B51">
      <w:pPr>
        <w:widowControl w:val="0"/>
        <w:spacing w:line="240" w:lineRule="atLeast"/>
        <w:rPr>
          <w:rFonts w:cs="Arial"/>
        </w:rPr>
      </w:pPr>
    </w:p>
    <w:p w:rsidR="001E336A" w:rsidRPr="008F5410" w:rsidRDefault="001E336A" w:rsidP="001E336A">
      <w:pPr>
        <w:spacing w:line="240" w:lineRule="atLeast"/>
        <w:rPr>
          <w:rFonts w:cs="Arial"/>
        </w:rPr>
      </w:pPr>
      <w:r w:rsidRPr="008F5410">
        <w:rPr>
          <w:rFonts w:cs="Arial"/>
        </w:rPr>
        <w:t xml:space="preserve">De acuerdo al procedimiento establecido en el Manual de Normas y Procedimientos para </w:t>
      </w:r>
      <w:smartTag w:uri="urn:schemas-microsoft-com:office:smarttags" w:element="PersonName">
        <w:smartTagPr>
          <w:attr w:name="ProductID" w:val="la Administración"/>
        </w:smartTagPr>
        <w:r w:rsidRPr="008F5410">
          <w:rPr>
            <w:rFonts w:cs="Arial"/>
          </w:rPr>
          <w:t>la Administración</w:t>
        </w:r>
      </w:smartTag>
      <w:r w:rsidRPr="008F5410">
        <w:rPr>
          <w:rFonts w:cs="Arial"/>
        </w:rPr>
        <w:t xml:space="preserve"> de Recursos Hídricos de </w:t>
      </w:r>
      <w:smartTag w:uri="urn:schemas-microsoft-com:office:smarttags" w:element="PersonName">
        <w:smartTagPr>
          <w:attr w:name="ProductID" w:val="la Dirección General"/>
        </w:smartTagPr>
        <w:r w:rsidRPr="008F5410">
          <w:rPr>
            <w:rFonts w:cs="Arial"/>
          </w:rPr>
          <w:t>la Dirección General</w:t>
        </w:r>
      </w:smartTag>
      <w:r w:rsidRPr="008F5410">
        <w:rPr>
          <w:rFonts w:cs="Arial"/>
        </w:rPr>
        <w:t xml:space="preserve"> de Aguas, modificado por </w:t>
      </w:r>
      <w:smartTag w:uri="urn:schemas-microsoft-com:office:smarttags" w:element="PersonName">
        <w:smartTagPr>
          <w:attr w:name="ProductID" w:val="la Resolución DGA"/>
        </w:smartTagPr>
        <w:r w:rsidRPr="008F5410">
          <w:rPr>
            <w:rFonts w:cs="Arial"/>
          </w:rPr>
          <w:t>la Resolución DGA</w:t>
        </w:r>
      </w:smartTag>
      <w:r w:rsidRPr="008F5410">
        <w:rPr>
          <w:rFonts w:cs="Arial"/>
        </w:rPr>
        <w:t xml:space="preserve"> (Exenta) N°2455 de 10 de agosto de 2011, se han agrupado los sectores, Río Rapel Bajo Junta Estero El Rosario, Estero El Rosario, Río Rapel Antes Junta Estero El Rosario y Estero San Antonio, considerando las características hidrogeológicas, régimen hídrico, características morfológicas, ubicación geográfica e interrelación con fuentes superficiales. A fin de evaluar el otorgamiento de derechos de aprovechamiento de aguas subterráneas en calidad de provisionales en los sectores Río Rapel Bajo Junta Estero El Rosario, Estero El Rosario, Río Rapel Antes Junta Estero El Rosario y Estero San Antonio, se analizó la relación existente entre el volumen sustentable y su demanda comprometida. En estos sectores acuíferos se observa que, aún cuando la demanda comprometida es superior al volumen sustentable, no existen antecedentes que indiquen afección a derechos de terceros, o que la sustentabilidad del acuífero esté comprometida. Por lo tanto, es posible otorgar derechos de aprovechamiento de aguas subterráneas en calidad de provisionales, sobre la base que se implementará un monitoreo efectivo del acuífero, y que pueden ser dejados sin efecto en caso de detectarse afección a derechos de terceros.</w:t>
      </w:r>
    </w:p>
    <w:p w:rsidR="001E336A" w:rsidRPr="008F5410" w:rsidRDefault="001E336A" w:rsidP="001E336A">
      <w:pPr>
        <w:spacing w:line="240" w:lineRule="atLeast"/>
        <w:rPr>
          <w:rFonts w:cs="Arial"/>
        </w:rPr>
      </w:pPr>
    </w:p>
    <w:p w:rsidR="001E336A" w:rsidRPr="008F5410" w:rsidRDefault="001E336A" w:rsidP="001E336A">
      <w:pPr>
        <w:spacing w:line="240" w:lineRule="atLeast"/>
        <w:rPr>
          <w:rFonts w:cs="Arial"/>
        </w:rPr>
      </w:pPr>
      <w:r w:rsidRPr="008F5410">
        <w:rPr>
          <w:rFonts w:cs="Arial"/>
        </w:rPr>
        <w:t>Así, para los sectores acuíferos Río Rapel Bajo Junta Estero El Rosario y Estero San Antonio, se utilizará como patrón al sector Estero El Rosario, que presenta un factor Demanda Comprometida / Volumen Sustentable = 1,6.</w:t>
      </w:r>
    </w:p>
    <w:p w:rsidR="001E336A" w:rsidRDefault="001E336A" w:rsidP="001E336A">
      <w:pPr>
        <w:spacing w:line="240" w:lineRule="atLeast"/>
        <w:rPr>
          <w:rFonts w:cs="Arial"/>
          <w:highlight w:val="red"/>
        </w:rPr>
      </w:pPr>
    </w:p>
    <w:p w:rsidR="001E336A" w:rsidRPr="002D2AC4" w:rsidRDefault="001E336A" w:rsidP="001E336A">
      <w:pPr>
        <w:spacing w:line="240" w:lineRule="atLeast"/>
        <w:rPr>
          <w:rFonts w:cs="Arial"/>
          <w:highlight w:val="red"/>
        </w:rPr>
      </w:pPr>
    </w:p>
    <w:p w:rsidR="001E336A" w:rsidRPr="008F5410" w:rsidRDefault="001E336A" w:rsidP="001E336A">
      <w:pPr>
        <w:spacing w:line="240" w:lineRule="atLeast"/>
        <w:rPr>
          <w:rFonts w:cs="Arial"/>
        </w:rPr>
      </w:pPr>
      <w:r w:rsidRPr="008F5410">
        <w:rPr>
          <w:rFonts w:cs="Arial"/>
        </w:rPr>
        <w:lastRenderedPageBreak/>
        <w:t xml:space="preserve">Para el sector denominado Río Rapel Antes Junta Estero El Rosario, se consideró que éste presenta características particulares, dada la presencia del Embalse Rapel, por cual se otorgarán derechos provisionales en magnitud equivalente al volumen sustentable de dicho sector. Luego, en </w:t>
      </w:r>
      <w:smartTag w:uri="urn:schemas-microsoft-com:office:smarttags" w:element="PersonName">
        <w:smartTagPr>
          <w:attr w:name="ProductID" w:val="la ￼￼￼￼￼￼￼￼￼￼￼￼￼￼￼￼￼￼￼￼￼￼￼￼￼￼￼￼￼￼￼￼￼￼￼￼￼￼￼￼￼Tabla"/>
        </w:smartTagPr>
        <w:r w:rsidRPr="008F5410">
          <w:rPr>
            <w:rFonts w:cs="Arial"/>
          </w:rPr>
          <w:t xml:space="preserve">la </w:t>
        </w:r>
        <w:r w:rsidR="00C2581B" w:rsidRPr="008F5410">
          <w:rPr>
            <w:rFonts w:cs="Arial"/>
          </w:rPr>
          <w:fldChar w:fldCharType="begin"/>
        </w:r>
        <w:r w:rsidR="00C2581B" w:rsidRPr="008F5410">
          <w:rPr>
            <w:rFonts w:cs="Arial"/>
          </w:rPr>
          <w:instrText xml:space="preserve"> REF _Ref341782249 \h </w:instrText>
        </w:r>
        <w:r w:rsidR="004D6591" w:rsidRPr="008F5410">
          <w:rPr>
            <w:rFonts w:cs="Arial"/>
          </w:rPr>
        </w:r>
        <w:r w:rsidR="008F5410">
          <w:rPr>
            <w:rFonts w:cs="Arial"/>
          </w:rPr>
          <w:instrText xml:space="preserve"> \* MERGEFORMAT </w:instrText>
        </w:r>
        <w:r w:rsidR="00C2581B" w:rsidRPr="008F5410">
          <w:rPr>
            <w:rFonts w:cs="Arial"/>
          </w:rPr>
          <w:fldChar w:fldCharType="separate"/>
        </w:r>
        <w:r w:rsidR="00264070" w:rsidRPr="008F5410">
          <w:t>Tabla</w:t>
        </w:r>
      </w:smartTag>
      <w:r w:rsidR="00264070" w:rsidRPr="008F5410">
        <w:t xml:space="preserve"> </w:t>
      </w:r>
      <w:r w:rsidR="00264070">
        <w:rPr>
          <w:noProof/>
        </w:rPr>
        <w:t>3.11</w:t>
      </w:r>
      <w:r w:rsidR="00C2581B" w:rsidRPr="008F5410">
        <w:rPr>
          <w:rFonts w:cs="Arial"/>
        </w:rPr>
        <w:fldChar w:fldCharType="end"/>
      </w:r>
      <w:r w:rsidR="00C2581B" w:rsidRPr="008F5410">
        <w:rPr>
          <w:rFonts w:cs="Arial"/>
        </w:rPr>
        <w:t xml:space="preserve"> </w:t>
      </w:r>
      <w:r w:rsidRPr="008F5410">
        <w:rPr>
          <w:rFonts w:cs="Arial"/>
        </w:rPr>
        <w:t>se presenta los volúmenes totales factibles de otorgar como derechos de aprovechamiento de agua subterránea para cada uno de estos sectores.</w:t>
      </w:r>
    </w:p>
    <w:p w:rsidR="001E336A" w:rsidRDefault="001E336A" w:rsidP="001E336A">
      <w:pPr>
        <w:spacing w:line="240" w:lineRule="atLeast"/>
        <w:rPr>
          <w:rFonts w:cs="Arial"/>
          <w:highlight w:val="red"/>
        </w:rPr>
      </w:pPr>
    </w:p>
    <w:p w:rsidR="001E336A" w:rsidRPr="008F5410" w:rsidRDefault="001E336A" w:rsidP="001E336A">
      <w:pPr>
        <w:pStyle w:val="Epgrafe"/>
        <w:keepNext/>
      </w:pPr>
      <w:bookmarkStart w:id="168" w:name="_Ref341782249"/>
      <w:r w:rsidRPr="008F5410">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w:t>
      </w:r>
      <w:r w:rsidR="007F3102">
        <w:fldChar w:fldCharType="end"/>
      </w:r>
      <w:bookmarkEnd w:id="168"/>
      <w:r w:rsidRPr="008F5410">
        <w:t xml:space="preserve"> </w:t>
      </w:r>
      <w:r w:rsidRPr="008F5410">
        <w:rPr>
          <w:rFonts w:cs="Arial"/>
          <w:szCs w:val="24"/>
        </w:rPr>
        <w:t xml:space="preserve">Volumen </w:t>
      </w:r>
      <w:r w:rsidR="00C2581B" w:rsidRPr="008F5410">
        <w:rPr>
          <w:rFonts w:cs="Arial"/>
          <w:szCs w:val="24"/>
        </w:rPr>
        <w:t>T</w:t>
      </w:r>
      <w:r w:rsidRPr="008F5410">
        <w:rPr>
          <w:rFonts w:cs="Arial"/>
          <w:szCs w:val="24"/>
        </w:rPr>
        <w:t xml:space="preserve">otal </w:t>
      </w:r>
      <w:r w:rsidR="00C2581B" w:rsidRPr="008F5410">
        <w:rPr>
          <w:rFonts w:cs="Arial"/>
          <w:szCs w:val="24"/>
        </w:rPr>
        <w:t>F</w:t>
      </w:r>
      <w:r w:rsidRPr="008F5410">
        <w:rPr>
          <w:rFonts w:cs="Arial"/>
          <w:szCs w:val="24"/>
        </w:rPr>
        <w:t xml:space="preserve">actible de </w:t>
      </w:r>
      <w:r w:rsidR="00C2581B" w:rsidRPr="008F5410">
        <w:rPr>
          <w:rFonts w:cs="Arial"/>
          <w:szCs w:val="24"/>
        </w:rPr>
        <w:t>O</w:t>
      </w:r>
      <w:r w:rsidRPr="008F5410">
        <w:rPr>
          <w:rFonts w:cs="Arial"/>
          <w:szCs w:val="24"/>
        </w:rPr>
        <w:t>torgar como</w:t>
      </w:r>
      <w:r w:rsidR="00C2581B" w:rsidRPr="008F5410">
        <w:rPr>
          <w:rFonts w:cs="Arial"/>
          <w:szCs w:val="24"/>
        </w:rPr>
        <w:t xml:space="preserve"> D</w:t>
      </w:r>
      <w:r w:rsidRPr="008F5410">
        <w:rPr>
          <w:rFonts w:cs="Arial"/>
          <w:szCs w:val="24"/>
        </w:rPr>
        <w:t>erec</w:t>
      </w:r>
      <w:r w:rsidR="00C2581B" w:rsidRPr="008F5410">
        <w:rPr>
          <w:rFonts w:cs="Arial"/>
          <w:szCs w:val="24"/>
        </w:rPr>
        <w:t>hos</w:t>
      </w:r>
      <w:r w:rsidR="00BE1019">
        <w:rPr>
          <w:rFonts w:cs="Arial"/>
          <w:szCs w:val="24"/>
        </w:rPr>
        <w:t xml:space="preserve"> </w:t>
      </w:r>
      <w:r w:rsidR="00C2581B" w:rsidRPr="008F5410">
        <w:rPr>
          <w:rFonts w:cs="Arial"/>
          <w:szCs w:val="24"/>
        </w:rPr>
        <w:t>Definitivos y Provisionales</w:t>
      </w:r>
    </w:p>
    <w:p w:rsidR="001E336A" w:rsidRPr="008F5410" w:rsidRDefault="00254CE2" w:rsidP="001E336A">
      <w:pPr>
        <w:spacing w:line="240" w:lineRule="atLeast"/>
        <w:jc w:val="center"/>
        <w:rPr>
          <w:rFonts w:cs="Arial"/>
        </w:rPr>
      </w:pPr>
      <w:r>
        <w:rPr>
          <w:rFonts w:cs="Arial"/>
          <w:noProof/>
          <w:lang w:val="es-CL" w:eastAsia="es-CL"/>
        </w:rPr>
        <w:drawing>
          <wp:inline distT="0" distB="0" distL="0" distR="0">
            <wp:extent cx="5029200" cy="1424940"/>
            <wp:effectExtent l="0" t="0" r="0" b="381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1424940"/>
                    </a:xfrm>
                    <a:prstGeom prst="rect">
                      <a:avLst/>
                    </a:prstGeom>
                    <a:noFill/>
                    <a:ln>
                      <a:noFill/>
                    </a:ln>
                  </pic:spPr>
                </pic:pic>
              </a:graphicData>
            </a:graphic>
          </wp:inline>
        </w:drawing>
      </w:r>
    </w:p>
    <w:p w:rsidR="001E336A" w:rsidRPr="008F5410" w:rsidRDefault="001E336A" w:rsidP="008F5410">
      <w:pPr>
        <w:spacing w:line="240" w:lineRule="atLeast"/>
        <w:jc w:val="center"/>
        <w:rPr>
          <w:rFonts w:cs="Arial"/>
          <w:sz w:val="18"/>
          <w:szCs w:val="18"/>
        </w:rPr>
      </w:pPr>
      <w:r w:rsidRPr="008F5410">
        <w:rPr>
          <w:rFonts w:cs="Arial"/>
          <w:sz w:val="18"/>
          <w:szCs w:val="18"/>
        </w:rPr>
        <w:t>Factor = Dcp / Vsp = Demanda Comprometida Sector patrón / Volumen Sustentable Sector patrón</w:t>
      </w:r>
    </w:p>
    <w:p w:rsidR="001E336A" w:rsidRPr="008F5410" w:rsidRDefault="001E336A" w:rsidP="008F5410">
      <w:pPr>
        <w:spacing w:line="240" w:lineRule="atLeast"/>
        <w:jc w:val="center"/>
        <w:rPr>
          <w:rFonts w:cs="Arial"/>
          <w:sz w:val="18"/>
          <w:szCs w:val="18"/>
        </w:rPr>
      </w:pPr>
      <w:r w:rsidRPr="008F5410">
        <w:rPr>
          <w:rFonts w:cs="Arial"/>
          <w:sz w:val="18"/>
          <w:szCs w:val="18"/>
        </w:rPr>
        <w:t>*Sector analizado en particular</w:t>
      </w:r>
    </w:p>
    <w:p w:rsidR="001E336A" w:rsidRPr="008F5410" w:rsidRDefault="001E336A" w:rsidP="001E336A">
      <w:pPr>
        <w:spacing w:line="240" w:lineRule="atLeast"/>
        <w:rPr>
          <w:rFonts w:cs="Arial"/>
        </w:rPr>
      </w:pPr>
    </w:p>
    <w:p w:rsidR="001E336A" w:rsidRPr="008F5410" w:rsidRDefault="001E336A" w:rsidP="001E336A">
      <w:pPr>
        <w:spacing w:line="240" w:lineRule="atLeast"/>
        <w:rPr>
          <w:rFonts w:cs="Arial"/>
        </w:rPr>
      </w:pPr>
      <w:r w:rsidRPr="008F5410">
        <w:rPr>
          <w:rFonts w:cs="Arial"/>
        </w:rPr>
        <w:t xml:space="preserve">En </w:t>
      </w:r>
      <w:smartTag w:uri="urn:schemas-microsoft-com:office:smarttags" w:element="PersonName">
        <w:smartTagPr>
          <w:attr w:name="ProductID" w:val="la ￼￼￼￼￼￼￼￼￼￼￼￼￼￼￼￼￼￼￼￼￼￼￼￼￼￼￼￼￼￼￼￼￼￼￼￼￼￼￼￼￼Tabla"/>
        </w:smartTagPr>
        <w:r w:rsidRPr="008F5410">
          <w:rPr>
            <w:rFonts w:cs="Arial"/>
          </w:rPr>
          <w:t xml:space="preserve">la </w:t>
        </w:r>
        <w:r w:rsidR="00C2581B" w:rsidRPr="008F5410">
          <w:rPr>
            <w:rFonts w:cs="Arial"/>
          </w:rPr>
          <w:fldChar w:fldCharType="begin"/>
        </w:r>
        <w:r w:rsidR="00C2581B" w:rsidRPr="008F5410">
          <w:rPr>
            <w:rFonts w:cs="Arial"/>
          </w:rPr>
          <w:instrText xml:space="preserve"> REF _Ref341782223 \h </w:instrText>
        </w:r>
        <w:r w:rsidR="004D6591" w:rsidRPr="008F5410">
          <w:rPr>
            <w:rFonts w:cs="Arial"/>
          </w:rPr>
        </w:r>
        <w:r w:rsidR="008F5410">
          <w:rPr>
            <w:rFonts w:cs="Arial"/>
          </w:rPr>
          <w:instrText xml:space="preserve"> \* MERGEFORMAT </w:instrText>
        </w:r>
        <w:r w:rsidR="00C2581B" w:rsidRPr="008F5410">
          <w:rPr>
            <w:rFonts w:cs="Arial"/>
          </w:rPr>
          <w:fldChar w:fldCharType="separate"/>
        </w:r>
        <w:r w:rsidR="00264070" w:rsidRPr="008F5410">
          <w:t>Tabla</w:t>
        </w:r>
      </w:smartTag>
      <w:r w:rsidR="00264070" w:rsidRPr="008F5410">
        <w:t xml:space="preserve"> </w:t>
      </w:r>
      <w:r w:rsidR="00264070">
        <w:rPr>
          <w:noProof/>
        </w:rPr>
        <w:t>3.12</w:t>
      </w:r>
      <w:r w:rsidR="00C2581B" w:rsidRPr="008F5410">
        <w:rPr>
          <w:rFonts w:cs="Arial"/>
        </w:rPr>
        <w:fldChar w:fldCharType="end"/>
      </w:r>
      <w:r w:rsidR="00C2581B" w:rsidRPr="008F5410">
        <w:rPr>
          <w:rFonts w:cs="Arial"/>
        </w:rPr>
        <w:t xml:space="preserve"> </w:t>
      </w:r>
      <w:r w:rsidRPr="008F5410">
        <w:rPr>
          <w:rFonts w:cs="Arial"/>
        </w:rPr>
        <w:t>se presenta, para cada sector acuífero, la información de la demanda comprometida total al 30 de junio de 2010, y en el Anexo se presenta el listado de ésta.</w:t>
      </w:r>
    </w:p>
    <w:p w:rsidR="001E336A" w:rsidRPr="008F5410" w:rsidRDefault="001E336A" w:rsidP="001E336A">
      <w:pPr>
        <w:spacing w:line="240" w:lineRule="atLeast"/>
        <w:rPr>
          <w:rFonts w:cs="Arial"/>
        </w:rPr>
      </w:pPr>
    </w:p>
    <w:p w:rsidR="001E336A" w:rsidRPr="008F5410" w:rsidRDefault="001E336A" w:rsidP="001E336A">
      <w:pPr>
        <w:pStyle w:val="Epgrafe"/>
        <w:keepNext/>
      </w:pPr>
      <w:bookmarkStart w:id="169" w:name="_Ref341782223"/>
      <w:r w:rsidRPr="008F5410">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12</w:t>
      </w:r>
      <w:r w:rsidR="007F3102">
        <w:fldChar w:fldCharType="end"/>
      </w:r>
      <w:bookmarkEnd w:id="169"/>
      <w:r w:rsidRPr="008F5410">
        <w:t xml:space="preserve"> </w:t>
      </w:r>
      <w:r w:rsidRPr="008F5410">
        <w:rPr>
          <w:rFonts w:cs="Arial"/>
          <w:szCs w:val="24"/>
        </w:rPr>
        <w:t xml:space="preserve">Demanda </w:t>
      </w:r>
      <w:r w:rsidR="00C2581B" w:rsidRPr="008F5410">
        <w:rPr>
          <w:rFonts w:cs="Arial"/>
          <w:szCs w:val="24"/>
        </w:rPr>
        <w:t>Comprometida Total</w:t>
      </w:r>
    </w:p>
    <w:p w:rsidR="001E336A" w:rsidRPr="008F5410" w:rsidRDefault="00254CE2" w:rsidP="001E336A">
      <w:pPr>
        <w:spacing w:line="240" w:lineRule="atLeast"/>
        <w:jc w:val="center"/>
        <w:rPr>
          <w:rFonts w:cs="Arial"/>
        </w:rPr>
      </w:pPr>
      <w:r>
        <w:rPr>
          <w:rFonts w:cs="Arial"/>
          <w:noProof/>
          <w:lang w:val="es-CL" w:eastAsia="es-CL"/>
        </w:rPr>
        <w:drawing>
          <wp:inline distT="0" distB="0" distL="0" distR="0">
            <wp:extent cx="5060950" cy="1477645"/>
            <wp:effectExtent l="0" t="0" r="6350" b="8255"/>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60950" cy="1477645"/>
                    </a:xfrm>
                    <a:prstGeom prst="rect">
                      <a:avLst/>
                    </a:prstGeom>
                    <a:noFill/>
                    <a:ln>
                      <a:noFill/>
                    </a:ln>
                  </pic:spPr>
                </pic:pic>
              </a:graphicData>
            </a:graphic>
          </wp:inline>
        </w:drawing>
      </w:r>
    </w:p>
    <w:p w:rsidR="001E336A" w:rsidRPr="008F5410" w:rsidRDefault="001E336A" w:rsidP="001E336A">
      <w:pPr>
        <w:spacing w:line="240" w:lineRule="atLeast"/>
        <w:rPr>
          <w:rFonts w:cs="Arial"/>
        </w:rPr>
      </w:pPr>
    </w:p>
    <w:p w:rsidR="001E336A" w:rsidRPr="008F5410" w:rsidRDefault="001E336A" w:rsidP="001E336A">
      <w:pPr>
        <w:spacing w:line="240" w:lineRule="atLeast"/>
        <w:rPr>
          <w:rFonts w:cs="Arial"/>
        </w:rPr>
      </w:pPr>
      <w:r w:rsidRPr="008F5410">
        <w:rPr>
          <w:rFonts w:cs="Arial"/>
        </w:rPr>
        <w:t>El volumen a otorgar como derechos provisionales, corresponde al volumen determinado en la relación “demanda comprometida partido por volumen sustentable del patrón, multiplicado por el volumen sustentable del sector acuífero en estudio, menos la demanda comprometida a la fecha en el sector”.</w:t>
      </w:r>
    </w:p>
    <w:p w:rsidR="001E336A" w:rsidRPr="008F5410" w:rsidRDefault="001E336A" w:rsidP="001E336A">
      <w:pPr>
        <w:spacing w:line="240" w:lineRule="atLeast"/>
        <w:rPr>
          <w:rFonts w:cs="Arial"/>
        </w:rPr>
      </w:pPr>
    </w:p>
    <w:p w:rsidR="001E336A" w:rsidRDefault="001E336A" w:rsidP="001E336A">
      <w:pPr>
        <w:spacing w:line="240" w:lineRule="atLeast"/>
        <w:rPr>
          <w:rFonts w:cs="Arial"/>
        </w:rPr>
      </w:pPr>
      <w:r w:rsidRPr="008F5410">
        <w:rPr>
          <w:rFonts w:cs="Arial"/>
        </w:rPr>
        <w:t xml:space="preserve">Por otra parte, en el sector Estero El Rosario, se otorgarán derechos provisionales por un volumen total anual de </w:t>
      </w:r>
      <w:smartTag w:uri="urn:schemas-microsoft-com:office:smarttags" w:element="metricconverter">
        <w:smartTagPr>
          <w:attr w:name="ProductID" w:val="637.027 m3"/>
        </w:smartTagPr>
        <w:r w:rsidRPr="008F5410">
          <w:rPr>
            <w:rFonts w:cs="Arial"/>
          </w:rPr>
          <w:t>637.027 m</w:t>
        </w:r>
        <w:r w:rsidRPr="008F5410">
          <w:rPr>
            <w:rFonts w:cs="Arial"/>
            <w:szCs w:val="22"/>
            <w:vertAlign w:val="superscript"/>
          </w:rPr>
          <w:t>3</w:t>
        </w:r>
      </w:smartTag>
      <w:r w:rsidRPr="008F5410">
        <w:rPr>
          <w:rFonts w:cs="Arial"/>
        </w:rPr>
        <w:t>, correspondientes al 20% de su volumen sustentable. En el sector Río Rapel Antes Junta Estero El Rosario se otorgarán derechos provisionales en magnitud equivalente a su volumen sustentable. Considerando la oferta de derechos definitivos y provisionales (</w:t>
      </w:r>
      <w:r w:rsidR="00C2581B" w:rsidRPr="008F5410">
        <w:rPr>
          <w:rFonts w:cs="Arial"/>
        </w:rPr>
        <w:fldChar w:fldCharType="begin"/>
      </w:r>
      <w:r w:rsidR="00C2581B" w:rsidRPr="008F5410">
        <w:rPr>
          <w:rFonts w:cs="Arial"/>
        </w:rPr>
        <w:instrText xml:space="preserve"> REF _Ref341782249 \h </w:instrText>
      </w:r>
      <w:r w:rsidR="004D6591" w:rsidRPr="008F5410">
        <w:rPr>
          <w:rFonts w:cs="Arial"/>
        </w:rPr>
      </w:r>
      <w:r w:rsidR="008F5410">
        <w:rPr>
          <w:rFonts w:cs="Arial"/>
        </w:rPr>
        <w:instrText xml:space="preserve"> \* MERGEFORMAT </w:instrText>
      </w:r>
      <w:r w:rsidR="00C2581B" w:rsidRPr="008F5410">
        <w:rPr>
          <w:rFonts w:cs="Arial"/>
        </w:rPr>
        <w:fldChar w:fldCharType="separate"/>
      </w:r>
      <w:r w:rsidR="00264070" w:rsidRPr="008F5410">
        <w:t xml:space="preserve">Tabla </w:t>
      </w:r>
      <w:r w:rsidR="00264070">
        <w:rPr>
          <w:noProof/>
        </w:rPr>
        <w:t>3.11</w:t>
      </w:r>
      <w:r w:rsidR="00C2581B" w:rsidRPr="008F5410">
        <w:rPr>
          <w:rFonts w:cs="Arial"/>
        </w:rPr>
        <w:fldChar w:fldCharType="end"/>
      </w:r>
      <w:r w:rsidRPr="008F5410">
        <w:rPr>
          <w:rFonts w:cs="Arial"/>
        </w:rPr>
        <w:t>) y la demanda total comprometida en cada uno de los sectores acuíferos (</w:t>
      </w:r>
      <w:r w:rsidR="00C2581B" w:rsidRPr="008F5410">
        <w:rPr>
          <w:rFonts w:cs="Arial"/>
        </w:rPr>
        <w:fldChar w:fldCharType="begin"/>
      </w:r>
      <w:r w:rsidR="00C2581B" w:rsidRPr="008F5410">
        <w:rPr>
          <w:rFonts w:cs="Arial"/>
        </w:rPr>
        <w:instrText xml:space="preserve"> REF _Ref341782223 \h </w:instrText>
      </w:r>
      <w:r w:rsidR="004D6591" w:rsidRPr="008F5410">
        <w:rPr>
          <w:rFonts w:cs="Arial"/>
        </w:rPr>
      </w:r>
      <w:r w:rsidR="008F5410">
        <w:rPr>
          <w:rFonts w:cs="Arial"/>
        </w:rPr>
        <w:instrText xml:space="preserve"> \* MERGEFORMAT </w:instrText>
      </w:r>
      <w:r w:rsidR="00C2581B" w:rsidRPr="008F5410">
        <w:rPr>
          <w:rFonts w:cs="Arial"/>
        </w:rPr>
        <w:fldChar w:fldCharType="separate"/>
      </w:r>
      <w:r w:rsidR="00264070" w:rsidRPr="008F5410">
        <w:t xml:space="preserve">Tabla </w:t>
      </w:r>
      <w:r w:rsidR="00264070">
        <w:rPr>
          <w:noProof/>
        </w:rPr>
        <w:t>3.12</w:t>
      </w:r>
      <w:r w:rsidR="00C2581B" w:rsidRPr="008F5410">
        <w:rPr>
          <w:rFonts w:cs="Arial"/>
        </w:rPr>
        <w:fldChar w:fldCharType="end"/>
      </w:r>
      <w:r w:rsidRPr="008F5410">
        <w:rPr>
          <w:rFonts w:cs="Arial"/>
        </w:rPr>
        <w:t>), los volúmenes máximos a otorgar en calidad de derechos provisionales se establecen en la</w:t>
      </w:r>
      <w:r w:rsidR="008F5410">
        <w:rPr>
          <w:rFonts w:cs="Arial"/>
        </w:rPr>
        <w:t>s</w:t>
      </w:r>
      <w:r w:rsidRPr="008F5410">
        <w:rPr>
          <w:rFonts w:cs="Arial"/>
        </w:rPr>
        <w:t xml:space="preserve"> siguiente</w:t>
      </w:r>
      <w:r w:rsidR="008F5410">
        <w:rPr>
          <w:rFonts w:cs="Arial"/>
        </w:rPr>
        <w:t>s</w:t>
      </w:r>
      <w:r w:rsidRPr="008F5410">
        <w:rPr>
          <w:rFonts w:cs="Arial"/>
        </w:rPr>
        <w:t xml:space="preserve"> </w:t>
      </w:r>
      <w:r w:rsidR="008F5410">
        <w:rPr>
          <w:rFonts w:cs="Arial"/>
        </w:rPr>
        <w:t>Tablas.</w:t>
      </w:r>
    </w:p>
    <w:p w:rsidR="008F5410" w:rsidRDefault="008F5410" w:rsidP="001E336A">
      <w:pPr>
        <w:spacing w:line="240" w:lineRule="atLeast"/>
        <w:rPr>
          <w:rFonts w:cs="Arial"/>
        </w:rPr>
      </w:pPr>
    </w:p>
    <w:p w:rsidR="008F5410" w:rsidRPr="008F5410" w:rsidRDefault="008F5410" w:rsidP="001E336A">
      <w:pPr>
        <w:spacing w:line="240" w:lineRule="atLeast"/>
        <w:rPr>
          <w:rFonts w:cs="Arial"/>
        </w:rPr>
      </w:pPr>
    </w:p>
    <w:p w:rsidR="001E336A" w:rsidRPr="008F5410" w:rsidRDefault="001E336A" w:rsidP="001E336A">
      <w:pPr>
        <w:pStyle w:val="Epgrafe"/>
        <w:keepNext/>
      </w:pPr>
      <w:r w:rsidRPr="008F5410">
        <w:lastRenderedPageBreak/>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r w:rsidRPr="008F5410">
        <w:t xml:space="preserve"> </w:t>
      </w:r>
      <w:r w:rsidRPr="008F5410">
        <w:rPr>
          <w:rFonts w:cs="Arial"/>
          <w:szCs w:val="24"/>
        </w:rPr>
        <w:t xml:space="preserve">Volúmenes </w:t>
      </w:r>
      <w:r w:rsidR="00C2581B" w:rsidRPr="008F5410">
        <w:rPr>
          <w:rFonts w:cs="Arial"/>
          <w:szCs w:val="24"/>
        </w:rPr>
        <w:t>M</w:t>
      </w:r>
      <w:r w:rsidRPr="008F5410">
        <w:rPr>
          <w:rFonts w:cs="Arial"/>
          <w:szCs w:val="24"/>
        </w:rPr>
        <w:t xml:space="preserve">áximos a </w:t>
      </w:r>
      <w:r w:rsidR="00C2581B" w:rsidRPr="008F5410">
        <w:rPr>
          <w:rFonts w:cs="Arial"/>
          <w:szCs w:val="24"/>
        </w:rPr>
        <w:t>O</w:t>
      </w:r>
      <w:r w:rsidRPr="008F5410">
        <w:rPr>
          <w:rFonts w:cs="Arial"/>
          <w:szCs w:val="24"/>
        </w:rPr>
        <w:t xml:space="preserve">torgar en </w:t>
      </w:r>
      <w:r w:rsidR="00C2581B" w:rsidRPr="008F5410">
        <w:rPr>
          <w:rFonts w:cs="Arial"/>
          <w:szCs w:val="24"/>
        </w:rPr>
        <w:t>C</w:t>
      </w:r>
      <w:r w:rsidRPr="008F5410">
        <w:rPr>
          <w:rFonts w:cs="Arial"/>
          <w:szCs w:val="24"/>
        </w:rPr>
        <w:t>a</w:t>
      </w:r>
      <w:r w:rsidR="00C2581B" w:rsidRPr="008F5410">
        <w:rPr>
          <w:rFonts w:cs="Arial"/>
          <w:szCs w:val="24"/>
        </w:rPr>
        <w:t>lidad de Derechos Provisionales</w:t>
      </w:r>
    </w:p>
    <w:p w:rsidR="001E336A" w:rsidRPr="008F5410" w:rsidRDefault="00254CE2" w:rsidP="001E336A">
      <w:pPr>
        <w:spacing w:line="240" w:lineRule="atLeast"/>
        <w:jc w:val="center"/>
        <w:rPr>
          <w:rFonts w:cs="Arial"/>
        </w:rPr>
      </w:pPr>
      <w:r>
        <w:rPr>
          <w:rFonts w:cs="Arial"/>
          <w:noProof/>
          <w:lang w:val="es-CL" w:eastAsia="es-CL"/>
        </w:rPr>
        <w:drawing>
          <wp:inline distT="0" distB="0" distL="0" distR="0">
            <wp:extent cx="4540250" cy="1680210"/>
            <wp:effectExtent l="0" t="0" r="0"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40250" cy="1680210"/>
                    </a:xfrm>
                    <a:prstGeom prst="rect">
                      <a:avLst/>
                    </a:prstGeom>
                    <a:noFill/>
                    <a:ln>
                      <a:noFill/>
                    </a:ln>
                  </pic:spPr>
                </pic:pic>
              </a:graphicData>
            </a:graphic>
          </wp:inline>
        </w:drawing>
      </w:r>
    </w:p>
    <w:p w:rsidR="00BC1064" w:rsidRPr="008F5410" w:rsidRDefault="00BC1064" w:rsidP="00B51B51">
      <w:pPr>
        <w:widowControl w:val="0"/>
        <w:spacing w:line="240" w:lineRule="atLeast"/>
        <w:rPr>
          <w:rFonts w:cs="Arial"/>
        </w:rPr>
      </w:pPr>
    </w:p>
    <w:p w:rsidR="0032171E" w:rsidRPr="008F5410" w:rsidRDefault="0032171E" w:rsidP="00B51B51">
      <w:pPr>
        <w:pStyle w:val="Epgrafe"/>
        <w:widowControl w:val="0"/>
      </w:pPr>
      <w:bookmarkStart w:id="170" w:name="_Ref336612109"/>
      <w:r w:rsidRPr="008F5410">
        <w:t xml:space="preserve">Tabla </w:t>
      </w:r>
      <w:r w:rsidR="007F3102">
        <w:fldChar w:fldCharType="begin"/>
      </w:r>
      <w:r w:rsidR="007F3102">
        <w:instrText xml:space="preserve"> STYLEREF 1 \s </w:instrText>
      </w:r>
      <w:r w:rsidR="007F3102">
        <w:fldChar w:fldCharType="separate"/>
      </w:r>
      <w:r w:rsidR="00264070">
        <w:rPr>
          <w:noProof/>
        </w:rPr>
        <w:t>3</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bookmarkEnd w:id="170"/>
      <w:r w:rsidRPr="008F5410">
        <w:t xml:space="preserve"> Derechos Provisionales</w:t>
      </w:r>
    </w:p>
    <w:p w:rsidR="00BC1064" w:rsidRPr="00414555" w:rsidRDefault="00254CE2" w:rsidP="00B51B51">
      <w:pPr>
        <w:widowControl w:val="0"/>
        <w:spacing w:line="240" w:lineRule="atLeast"/>
        <w:jc w:val="center"/>
        <w:rPr>
          <w:rFonts w:cs="Arial"/>
        </w:rPr>
      </w:pPr>
      <w:r>
        <w:rPr>
          <w:rFonts w:cs="Arial"/>
          <w:noProof/>
          <w:lang w:val="es-CL" w:eastAsia="es-CL"/>
        </w:rPr>
        <w:drawing>
          <wp:inline distT="0" distB="0" distL="0" distR="0">
            <wp:extent cx="4646295" cy="5773420"/>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46295" cy="5773420"/>
                    </a:xfrm>
                    <a:prstGeom prst="rect">
                      <a:avLst/>
                    </a:prstGeom>
                    <a:noFill/>
                    <a:ln>
                      <a:noFill/>
                    </a:ln>
                  </pic:spPr>
                </pic:pic>
              </a:graphicData>
            </a:graphic>
          </wp:inline>
        </w:drawing>
      </w:r>
    </w:p>
    <w:p w:rsidR="00BC1064" w:rsidRPr="00414555" w:rsidRDefault="00BC1064" w:rsidP="00B51B51">
      <w:pPr>
        <w:pStyle w:val="Ttulo2"/>
        <w:keepNext w:val="0"/>
      </w:pPr>
      <w:bookmarkStart w:id="171" w:name="_Toc336426499"/>
      <w:bookmarkStart w:id="172" w:name="_Toc344391799"/>
      <w:r w:rsidRPr="00414555">
        <w:lastRenderedPageBreak/>
        <w:t xml:space="preserve">Estudios Referenciales en </w:t>
      </w:r>
      <w:smartTag w:uri="urn:schemas-microsoft-com:office:smarttags" w:element="PersonName">
        <w:smartTagPr>
          <w:attr w:name="ProductID" w:val="la Caracterización Hidrogeológica"/>
        </w:smartTagPr>
        <w:r w:rsidRPr="00414555">
          <w:t>la Caracterización Hidrogeológica</w:t>
        </w:r>
      </w:smartTag>
      <w:bookmarkEnd w:id="171"/>
      <w:bookmarkEnd w:id="172"/>
    </w:p>
    <w:p w:rsidR="00BC1064" w:rsidRPr="00414555" w:rsidRDefault="00BC1064" w:rsidP="00B51B51">
      <w:pPr>
        <w:widowControl w:val="0"/>
        <w:spacing w:line="240" w:lineRule="atLeast"/>
        <w:rPr>
          <w:rFonts w:cs="Arial"/>
          <w:szCs w:val="22"/>
        </w:rPr>
      </w:pPr>
    </w:p>
    <w:p w:rsidR="00BC1064" w:rsidRPr="00414555" w:rsidRDefault="00BC1064" w:rsidP="00B51B51">
      <w:pPr>
        <w:widowControl w:val="0"/>
        <w:spacing w:line="240" w:lineRule="atLeast"/>
        <w:rPr>
          <w:rFonts w:cs="Arial"/>
          <w:szCs w:val="22"/>
        </w:rPr>
      </w:pPr>
      <w:r w:rsidRPr="00414555">
        <w:rPr>
          <w:rFonts w:cs="Arial"/>
          <w:szCs w:val="22"/>
        </w:rPr>
        <w:t xml:space="preserve">Los estudios usados en la caracterización hidrogeológica de </w:t>
      </w:r>
      <w:smartTag w:uri="urn:schemas-microsoft-com:office:smarttags" w:element="PersonName">
        <w:smartTagPr>
          <w:attr w:name="ProductID" w:val="la VI Región"/>
        </w:smartTagPr>
        <w:r w:rsidRPr="00414555">
          <w:rPr>
            <w:rFonts w:cs="Arial"/>
            <w:szCs w:val="22"/>
          </w:rPr>
          <w:t>la V</w:t>
        </w:r>
        <w:r w:rsidR="00C31A9D">
          <w:rPr>
            <w:rFonts w:cs="Arial"/>
            <w:szCs w:val="22"/>
          </w:rPr>
          <w:t>I</w:t>
        </w:r>
        <w:r w:rsidRPr="00414555">
          <w:rPr>
            <w:rFonts w:cs="Arial"/>
            <w:szCs w:val="22"/>
          </w:rPr>
          <w:t xml:space="preserve"> Región</w:t>
        </w:r>
      </w:smartTag>
      <w:r w:rsidRPr="00414555">
        <w:rPr>
          <w:rFonts w:cs="Arial"/>
          <w:szCs w:val="22"/>
        </w:rPr>
        <w:t xml:space="preserve"> se incluyen a continuación. Estos estudios son los mismos incluidos y resumidos en </w:t>
      </w:r>
      <w:smartTag w:uri="urn:schemas-microsoft-com:office:smarttags" w:element="PersonName">
        <w:smartTagPr>
          <w:attr w:name="ProductID" w:val="la Anexo"/>
        </w:smartTagPr>
        <w:r w:rsidRPr="00414555">
          <w:rPr>
            <w:rFonts w:cs="Arial"/>
            <w:szCs w:val="22"/>
          </w:rPr>
          <w:t xml:space="preserve">la </w:t>
        </w:r>
        <w:r w:rsidR="00C2581B">
          <w:rPr>
            <w:rFonts w:cs="Arial"/>
            <w:szCs w:val="22"/>
          </w:rPr>
          <w:t>Anexo</w:t>
        </w:r>
      </w:smartTag>
      <w:r w:rsidR="00C2581B">
        <w:rPr>
          <w:rFonts w:cs="Arial"/>
          <w:szCs w:val="22"/>
        </w:rPr>
        <w:t xml:space="preserve"> 1</w:t>
      </w:r>
      <w:r w:rsidRPr="00414555">
        <w:rPr>
          <w:rFonts w:cs="Arial"/>
          <w:szCs w:val="22"/>
        </w:rPr>
        <w:t xml:space="preserve"> del estudio, pero ahora se han incorporado además los informes técnicos relacionados con declaraciones de área de restricción para nuevas extracciones de aguas subterráneas.</w:t>
      </w:r>
    </w:p>
    <w:p w:rsidR="00BC1064" w:rsidRPr="00414555" w:rsidRDefault="00BC1064" w:rsidP="00B51B51">
      <w:pPr>
        <w:widowControl w:val="0"/>
        <w:spacing w:line="240" w:lineRule="atLeast"/>
        <w:rPr>
          <w:rFonts w:cs="Arial"/>
          <w:szCs w:val="22"/>
        </w:rPr>
      </w:pP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w:t>
      </w:r>
      <w:r w:rsidRPr="00414555">
        <w:rPr>
          <w:rFonts w:cs="Arial"/>
          <w:szCs w:val="22"/>
        </w:rPr>
        <w:tab/>
        <w:t>Diagnóstico de Recursos Hídricos en Secano Interior y Costero VI a VIII Región. CNR- AC Ingenieros Consultores Ltda.-2003.</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Ref.2:</w:t>
      </w:r>
      <w:r w:rsidRPr="00414555">
        <w:rPr>
          <w:rFonts w:cs="Arial"/>
          <w:szCs w:val="22"/>
        </w:rPr>
        <w:tab/>
        <w:t xml:space="preserve">Evaluación de los Recursos Hídricos Subterráneos de </w:t>
      </w:r>
      <w:smartTag w:uri="urn:schemas-microsoft-com:office:smarttags" w:element="PersonName">
        <w:smartTagPr>
          <w:attr w:name="ProductID" w:val="la VI"/>
        </w:smartTagPr>
        <w:r w:rsidRPr="00414555">
          <w:rPr>
            <w:rFonts w:cs="Arial"/>
            <w:szCs w:val="22"/>
          </w:rPr>
          <w:t>la VI</w:t>
        </w:r>
      </w:smartTag>
      <w:r w:rsidRPr="00414555">
        <w:rPr>
          <w:rFonts w:cs="Arial"/>
          <w:szCs w:val="22"/>
        </w:rPr>
        <w:t xml:space="preserve"> región. DARH S.D.T. Nº 160-Noviembre de 2003.</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Ref.3:</w:t>
      </w:r>
      <w:r w:rsidRPr="00414555">
        <w:rPr>
          <w:rFonts w:cs="Arial"/>
          <w:szCs w:val="22"/>
        </w:rPr>
        <w:tab/>
        <w:t xml:space="preserve">Evaluación de los Recursos Hídricos Subterráneos de </w:t>
      </w:r>
      <w:smartTag w:uri="urn:schemas-microsoft-com:office:smarttags" w:element="PersonName">
        <w:smartTagPr>
          <w:attr w:name="ProductID" w:val="la VI"/>
        </w:smartTagPr>
        <w:r w:rsidRPr="00414555">
          <w:rPr>
            <w:rFonts w:cs="Arial"/>
            <w:szCs w:val="22"/>
          </w:rPr>
          <w:t>la VI</w:t>
        </w:r>
      </w:smartTag>
      <w:r w:rsidRPr="00414555">
        <w:rPr>
          <w:rFonts w:cs="Arial"/>
          <w:szCs w:val="22"/>
        </w:rPr>
        <w:t xml:space="preserve"> región "Modelación Hidrogeológica de los Valles de Alhué, Cachapoal y Tinguiririca" Informe Técnico DARH S.D.T. Nº 209 Octubre de 2005.</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Ref.4:</w:t>
      </w:r>
      <w:r w:rsidRPr="00414555">
        <w:rPr>
          <w:rFonts w:cs="Arial"/>
          <w:szCs w:val="22"/>
        </w:rPr>
        <w:tab/>
        <w:t>Informe Técnico Nº 351 de noviembre de 2005. Declara área de restricción sector hidrogeológico de aprovechamiento común denominado Estero Las  Cadenas –Marchihue VI Región.</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Ref.5:</w:t>
      </w:r>
      <w:r w:rsidRPr="00414555">
        <w:rPr>
          <w:rFonts w:cs="Arial"/>
          <w:szCs w:val="22"/>
        </w:rPr>
        <w:tab/>
        <w:t xml:space="preserve">Evaluación de </w:t>
      </w:r>
      <w:smartTag w:uri="urn:schemas-microsoft-com:office:smarttags" w:element="PersonName">
        <w:smartTagPr>
          <w:attr w:name="ProductID" w:val="La Explotación Máxima"/>
        </w:smartTagPr>
        <w:r w:rsidRPr="00414555">
          <w:rPr>
            <w:rFonts w:cs="Arial"/>
            <w:szCs w:val="22"/>
          </w:rPr>
          <w:t>La Explotación Máxima</w:t>
        </w:r>
      </w:smartTag>
      <w:r w:rsidRPr="00414555">
        <w:rPr>
          <w:rFonts w:cs="Arial"/>
          <w:szCs w:val="22"/>
        </w:rPr>
        <w:t xml:space="preserve"> Sustentable de Los Acuíferos de </w:t>
      </w:r>
      <w:smartTag w:uri="urn:schemas-microsoft-com:office:smarttags" w:element="PersonName">
        <w:smartTagPr>
          <w:attr w:name="ProductID" w:val="la VI Región"/>
        </w:smartTagPr>
        <w:r w:rsidRPr="00414555">
          <w:rPr>
            <w:rFonts w:cs="Arial"/>
            <w:szCs w:val="22"/>
          </w:rPr>
          <w:t>la VI Región</w:t>
        </w:r>
      </w:smartTag>
      <w:r w:rsidRPr="00414555">
        <w:rPr>
          <w:rFonts w:cs="Arial"/>
          <w:szCs w:val="22"/>
        </w:rPr>
        <w:t xml:space="preserve"> “Modelación Hidrogeológica de los Valles de Alhué, Cachapoal y Tinguiririca” Informe Técnico DARH - S.D.T. Nº 229, Julio de 2006.</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Ref.6:</w:t>
      </w:r>
      <w:r w:rsidRPr="00414555">
        <w:rPr>
          <w:rFonts w:cs="Arial"/>
          <w:szCs w:val="22"/>
        </w:rPr>
        <w:tab/>
        <w:t>Catastro de Obras en Cauces Naturales y Áreas de Restricción. S.I.T. Nº 141. Vol 1: Catastros de Obras de Captación de Agua Subterránea en Áreas de Restricción. Len y Asociados, Dictuc S.A. Noviembre de 2008.</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Ref.7:</w:t>
      </w:r>
      <w:r w:rsidRPr="00414555">
        <w:rPr>
          <w:rFonts w:cs="Arial"/>
          <w:szCs w:val="22"/>
        </w:rPr>
        <w:tab/>
        <w:t>Informe Técnico Nº 46 Febrero 2007 Declaración Área de Restricción Sectores Hidrogeológicos de Aprovechamiento Común del Cachapoal, VI Región.</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Ref.8:</w:t>
      </w:r>
      <w:r w:rsidRPr="00414555">
        <w:rPr>
          <w:rFonts w:cs="Arial"/>
          <w:szCs w:val="22"/>
        </w:rPr>
        <w:tab/>
        <w:t>Informe Técnico Nº 314 Octubre 2007 Declaración Área de Restricción Sector Hidrogeológico de Aprovechamiento Común de Codegua, VI Región.</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Ref.9:</w:t>
      </w:r>
      <w:r w:rsidRPr="00414555">
        <w:rPr>
          <w:rFonts w:cs="Arial"/>
          <w:szCs w:val="22"/>
        </w:rPr>
        <w:tab/>
        <w:t>Evaluación de los Recursos Hídricos subterráneos del Acuífero de Nilahue DARH- S.D.T. Nº 246, Agosto 2007.</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Ref.10:</w:t>
      </w:r>
      <w:r w:rsidRPr="00414555">
        <w:rPr>
          <w:rFonts w:cs="Arial"/>
          <w:szCs w:val="22"/>
        </w:rPr>
        <w:tab/>
        <w:t xml:space="preserve">Actualización de </w:t>
      </w:r>
      <w:smartTag w:uri="urn:schemas-microsoft-com:office:smarttags" w:element="PersonName">
        <w:smartTagPr>
          <w:attr w:name="ProductID" w:val="la Oferta"/>
        </w:smartTagPr>
        <w:r w:rsidRPr="00414555">
          <w:rPr>
            <w:rFonts w:cs="Arial"/>
            <w:szCs w:val="22"/>
          </w:rPr>
          <w:t>la Oferta</w:t>
        </w:r>
      </w:smartTag>
      <w:r w:rsidRPr="00414555">
        <w:rPr>
          <w:rFonts w:cs="Arial"/>
          <w:szCs w:val="22"/>
        </w:rPr>
        <w:t xml:space="preserve"> del recurso Hídrico Subterráneo en el Sector Acuífero Codegua. DARH-S.D.T. Nº 245, Agosto 2007.</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Ref.11:</w:t>
      </w:r>
      <w:r w:rsidRPr="00414555">
        <w:rPr>
          <w:rFonts w:cs="Arial"/>
          <w:szCs w:val="22"/>
        </w:rPr>
        <w:tab/>
        <w:t>Informe Técnico Nº 22 Enero 2008 Declaración Área de Restricción Sector Hidrogeológico de Aprovechamiento Común del Estero Alhué, VI Región.</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Ref.12:</w:t>
      </w:r>
      <w:r w:rsidRPr="00414555">
        <w:rPr>
          <w:rFonts w:cs="Arial"/>
          <w:szCs w:val="22"/>
        </w:rPr>
        <w:tab/>
        <w:t>Diagnóstico y Clasificación De Sectores Acuíferos V y VI Región. Geohidrología Consultores Ltda. S.I.T. Nº 183. Julio 2009.</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Ref.13:</w:t>
      </w:r>
      <w:r w:rsidRPr="00414555">
        <w:rPr>
          <w:rFonts w:cs="Arial"/>
          <w:szCs w:val="22"/>
        </w:rPr>
        <w:tab/>
        <w:t xml:space="preserve">Diagnóstico de </w:t>
      </w:r>
      <w:smartTag w:uri="urn:schemas-microsoft-com:office:smarttags" w:element="PersonName">
        <w:smartTagPr>
          <w:attr w:name="ProductID" w:val="la Red"/>
        </w:smartTagPr>
        <w:r w:rsidRPr="00414555">
          <w:rPr>
            <w:rFonts w:cs="Arial"/>
            <w:szCs w:val="22"/>
          </w:rPr>
          <w:t>la Red</w:t>
        </w:r>
      </w:smartTag>
      <w:r w:rsidRPr="00414555">
        <w:rPr>
          <w:rFonts w:cs="Arial"/>
          <w:szCs w:val="22"/>
        </w:rPr>
        <w:t xml:space="preserve"> de Aguas Subterráneas  Región del Libertador Bernardo O’Higgins INGEOREC Ltda.-S.I.T. Nº 227, Enero 2011.</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Ref.15:</w:t>
      </w:r>
      <w:r w:rsidRPr="00414555">
        <w:rPr>
          <w:rFonts w:cs="Arial"/>
          <w:szCs w:val="22"/>
        </w:rPr>
        <w:tab/>
        <w:t xml:space="preserve">Revaluación de la disponibilidad de recursos hídricos subterráneos en los sectores acuíferos de las Cuencas Costeras de </w:t>
      </w:r>
      <w:smartTag w:uri="urn:schemas-microsoft-com:office:smarttags" w:element="PersonName">
        <w:smartTagPr>
          <w:attr w:name="ProductID" w:val="la Región"/>
        </w:smartTagPr>
        <w:r w:rsidRPr="00414555">
          <w:rPr>
            <w:rFonts w:cs="Arial"/>
            <w:szCs w:val="22"/>
          </w:rPr>
          <w:t>la Región</w:t>
        </w:r>
      </w:smartTag>
      <w:r w:rsidRPr="00414555">
        <w:rPr>
          <w:rFonts w:cs="Arial"/>
          <w:szCs w:val="22"/>
        </w:rPr>
        <w:t xml:space="preserve"> del Libertador Bernardo O'Higgins</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Ref.16:</w:t>
      </w:r>
      <w:r w:rsidRPr="00414555">
        <w:rPr>
          <w:rFonts w:cs="Arial"/>
          <w:szCs w:val="22"/>
        </w:rPr>
        <w:tab/>
        <w:t>Revaluación de la disponibilidad de recursos hídricos subterráneos en los sectores acuíferos de las regiones Metropolitana y del Libertador Bernardo O'Higgins</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Ref.17:</w:t>
      </w:r>
      <w:r w:rsidRPr="00414555">
        <w:rPr>
          <w:rFonts w:cs="Arial"/>
          <w:szCs w:val="22"/>
        </w:rPr>
        <w:tab/>
        <w:t>Revaluación de la disponibilidad de recursos hídricos subterráneos en los sectores acuíferos del Valle del Cachapoal</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Ref.18:</w:t>
      </w:r>
      <w:r w:rsidRPr="00414555">
        <w:rPr>
          <w:rFonts w:cs="Arial"/>
          <w:szCs w:val="22"/>
        </w:rPr>
        <w:tab/>
        <w:t>Complementario IT N° 335</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Ref.17:</w:t>
      </w:r>
      <w:r w:rsidRPr="00414555">
        <w:rPr>
          <w:rFonts w:cs="Arial"/>
          <w:szCs w:val="22"/>
        </w:rPr>
        <w:tab/>
        <w:t>Revaluación de la disponibilidad de recursos hídricos subterráneos en los sectores acuíferos del Valle del Cachapoal</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Ref.19:</w:t>
      </w:r>
      <w:r w:rsidRPr="00414555">
        <w:rPr>
          <w:rFonts w:cs="Arial"/>
          <w:szCs w:val="22"/>
        </w:rPr>
        <w:tab/>
        <w:t>Declaración área de restricción Sectores Hidrogeológicos VI Región de Aprovechamiento Común de los Ríos Cachapoal, Tinguiririca y Alhué</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Ref.20:</w:t>
      </w:r>
      <w:r w:rsidRPr="00414555">
        <w:rPr>
          <w:rFonts w:cs="Arial"/>
          <w:szCs w:val="22"/>
        </w:rPr>
        <w:tab/>
        <w:t>Revaluación de la disponibilidad de recursos hídricos subterráneos en los sectores acuíferos del Valle del Tinguiririca</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lastRenderedPageBreak/>
        <w:t>Ref.21:</w:t>
      </w:r>
      <w:r w:rsidRPr="00414555">
        <w:rPr>
          <w:rFonts w:cs="Arial"/>
          <w:szCs w:val="22"/>
        </w:rPr>
        <w:tab/>
        <w:t>Revaluación de la disponibilidad de recursos hídricos subterráneos en los sectores acuíferos del Valle del Tinguiririca</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Ref.22:</w:t>
      </w:r>
      <w:r w:rsidRPr="00414555">
        <w:rPr>
          <w:rFonts w:cs="Arial"/>
          <w:szCs w:val="22"/>
        </w:rPr>
        <w:tab/>
        <w:t>Complementario IT N° 335</w:t>
      </w:r>
    </w:p>
    <w:p w:rsidR="00BC1064" w:rsidRPr="00414555" w:rsidRDefault="00BC1064" w:rsidP="00B51B51">
      <w:pPr>
        <w:widowControl w:val="0"/>
        <w:tabs>
          <w:tab w:val="left" w:pos="810"/>
        </w:tabs>
        <w:spacing w:line="240" w:lineRule="atLeast"/>
        <w:ind w:left="810" w:hanging="810"/>
        <w:rPr>
          <w:rFonts w:cs="Arial"/>
          <w:szCs w:val="22"/>
        </w:rPr>
      </w:pPr>
      <w:r w:rsidRPr="00414555">
        <w:rPr>
          <w:rFonts w:cs="Arial"/>
          <w:szCs w:val="22"/>
        </w:rPr>
        <w:t>Ref.23:</w:t>
      </w:r>
      <w:r w:rsidRPr="00414555">
        <w:rPr>
          <w:rFonts w:cs="Arial"/>
          <w:szCs w:val="22"/>
        </w:rPr>
        <w:tab/>
        <w:t>Complementario IT N° 332</w:t>
      </w:r>
    </w:p>
    <w:p w:rsidR="001A3BB9" w:rsidRPr="00E271DA" w:rsidRDefault="001A3BB9" w:rsidP="00B51B51">
      <w:pPr>
        <w:pStyle w:val="Ttulo2"/>
        <w:keepNext w:val="0"/>
        <w:numPr>
          <w:ilvl w:val="0"/>
          <w:numId w:val="0"/>
        </w:numPr>
        <w:rPr>
          <w:lang w:val="es-CL"/>
        </w:rPr>
      </w:pPr>
    </w:p>
    <w:p w:rsidR="00A87F61" w:rsidRPr="00101DD0" w:rsidRDefault="00A87F61" w:rsidP="00A87F61">
      <w:pPr>
        <w:rPr>
          <w:rFonts w:cs="Arial"/>
          <w:lang w:val="es-CL"/>
        </w:rPr>
      </w:pPr>
      <w:r>
        <w:rPr>
          <w:rFonts w:cs="Arial"/>
          <w:lang w:val="es-CL"/>
        </w:rPr>
        <w:t>Finalmente a modo de resumen se entrega en el Plano 4 una síntesis de la caracterización hidrogeológica a nivel de subcuencas.</w:t>
      </w:r>
    </w:p>
    <w:p w:rsidR="00BA1DFE" w:rsidRPr="000A582E" w:rsidRDefault="00BF4739" w:rsidP="00B51B51">
      <w:pPr>
        <w:pStyle w:val="Ttulo1"/>
        <w:keepNext w:val="0"/>
        <w:widowControl w:val="0"/>
      </w:pPr>
      <w:r>
        <w:rPr>
          <w:szCs w:val="22"/>
        </w:rPr>
        <w:br w:type="page"/>
      </w:r>
      <w:bookmarkStart w:id="173" w:name="_Toc336523138"/>
      <w:bookmarkStart w:id="174" w:name="_Toc344391800"/>
      <w:r w:rsidR="00BA1DFE">
        <w:lastRenderedPageBreak/>
        <w:t>CARACTERIZACIÓN HIDROLÓGICA SUPERFICIAL</w:t>
      </w:r>
      <w:bookmarkEnd w:id="173"/>
      <w:bookmarkEnd w:id="174"/>
    </w:p>
    <w:p w:rsidR="00BA1DFE" w:rsidRPr="000A582E" w:rsidRDefault="00BA1DFE" w:rsidP="00B51B51">
      <w:pPr>
        <w:pStyle w:val="Ttulo2"/>
        <w:keepNext w:val="0"/>
        <w:numPr>
          <w:ilvl w:val="0"/>
          <w:numId w:val="0"/>
        </w:numPr>
      </w:pPr>
    </w:p>
    <w:p w:rsidR="00BA1DFE" w:rsidRDefault="00BA1DFE" w:rsidP="00B51B51">
      <w:pPr>
        <w:pStyle w:val="Ttulo2"/>
        <w:keepNext w:val="0"/>
      </w:pPr>
      <w:bookmarkStart w:id="175" w:name="_Toc336523139"/>
      <w:bookmarkStart w:id="176" w:name="_Toc344391801"/>
      <w:r w:rsidRPr="000A582E">
        <w:t>Alcances</w:t>
      </w:r>
      <w:bookmarkEnd w:id="175"/>
      <w:bookmarkEnd w:id="176"/>
    </w:p>
    <w:p w:rsidR="00BA1DFE" w:rsidRDefault="00BA1DFE" w:rsidP="00B51B51">
      <w:pPr>
        <w:widowControl w:val="0"/>
      </w:pPr>
    </w:p>
    <w:p w:rsidR="00576A12" w:rsidRDefault="00BA1DFE" w:rsidP="00B51B51">
      <w:pPr>
        <w:widowControl w:val="0"/>
      </w:pPr>
      <w:r w:rsidRPr="002F262F">
        <w:t>En este capítulo se presenta la caracterización hidrológica superficial de la región del Libertador Bernardo O’ Higgins, análisis que se realiza a nivel de subcuencas. Se desarrollan los cálculos neces</w:t>
      </w:r>
      <w:r>
        <w:t>arios para</w:t>
      </w:r>
      <w:r w:rsidRPr="002F262F">
        <w:t xml:space="preserve"> generar una estadística base, en zonas que poseen información tanto pluviométrica como fluviométric</w:t>
      </w:r>
      <w:r>
        <w:t>a. Esto con el fin de estimar</w:t>
      </w:r>
      <w:r w:rsidRPr="002F262F">
        <w:t xml:space="preserve"> los caudales en cada uno de los puntos de salida de las subcuencas </w:t>
      </w:r>
      <w:r>
        <w:t>identificadas</w:t>
      </w:r>
      <w:r w:rsidRPr="002F262F">
        <w:t xml:space="preserve"> en la región.</w:t>
      </w:r>
      <w:r>
        <w:t xml:space="preserve"> </w:t>
      </w:r>
    </w:p>
    <w:p w:rsidR="00576A12" w:rsidRDefault="00576A12" w:rsidP="00B51B51">
      <w:pPr>
        <w:widowControl w:val="0"/>
      </w:pPr>
    </w:p>
    <w:p w:rsidR="00BA1DFE" w:rsidRDefault="00BA1DFE" w:rsidP="00B51B51">
      <w:pPr>
        <w:widowControl w:val="0"/>
      </w:pPr>
      <w:r>
        <w:t xml:space="preserve">Los datos utilizados en este estudio corresponden a registros de precipitaciones y caudales obtenidos de las distintas estaciones de medición controladas por </w:t>
      </w:r>
      <w:smartTag w:uri="urn:schemas-microsoft-com:office:smarttags" w:element="PersonName">
        <w:smartTagPr>
          <w:attr w:name="ProductID" w:val="la DGA. Las"/>
        </w:smartTagPr>
        <w:r>
          <w:t>la DGA</w:t>
        </w:r>
        <w:r w:rsidRPr="00895D69">
          <w:t>. Las</w:t>
        </w:r>
      </w:smartTag>
      <w:r w:rsidRPr="00895D69">
        <w:t xml:space="preserve"> estaciones y series de tiempo disponibles se presentan en el informe Etapa I</w:t>
      </w:r>
      <w:r>
        <w:t xml:space="preserve"> </w:t>
      </w:r>
      <w:r w:rsidRPr="00895D69">
        <w:t xml:space="preserve">”Estudio Hidrológico de Cuencas de </w:t>
      </w:r>
      <w:smartTag w:uri="urn:schemas-microsoft-com:office:smarttags" w:element="PersonName">
        <w:smartTagPr>
          <w:attr w:name="ProductID" w:val="la VI Región"/>
        </w:smartTagPr>
        <w:r w:rsidRPr="00895D69">
          <w:t>la VI Región</w:t>
        </w:r>
      </w:smartTag>
      <w:r w:rsidRPr="00895D69">
        <w:t>” Capítulo 2: Revisión y Análisis de Antecedentes</w:t>
      </w:r>
      <w:r>
        <w:t>.</w:t>
      </w:r>
      <w:r w:rsidRPr="00895D69">
        <w:t xml:space="preserve"> Adicional a esto</w:t>
      </w:r>
      <w:r>
        <w:t>,</w:t>
      </w:r>
      <w:r w:rsidRPr="00895D69">
        <w:t xml:space="preserve"> en las </w:t>
      </w:r>
      <w:r>
        <w:fldChar w:fldCharType="begin"/>
      </w:r>
      <w:r>
        <w:instrText xml:space="preserve"> REF _Ref336552125 \h  \* MERGEFORMAT </w:instrText>
      </w:r>
      <w:r>
        <w:fldChar w:fldCharType="separate"/>
      </w:r>
      <w:r w:rsidR="00264070">
        <w:t xml:space="preserve">Figura </w:t>
      </w:r>
      <w:r w:rsidR="00264070">
        <w:rPr>
          <w:noProof/>
        </w:rPr>
        <w:t>4.1</w:t>
      </w:r>
      <w:r>
        <w:fldChar w:fldCharType="end"/>
      </w:r>
      <w:r w:rsidRPr="00895D69">
        <w:t xml:space="preserve"> y </w:t>
      </w:r>
      <w:r>
        <w:fldChar w:fldCharType="begin"/>
      </w:r>
      <w:r>
        <w:instrText xml:space="preserve"> REF _Ref336552143 \h  \* MERGEFORMAT </w:instrText>
      </w:r>
      <w:r>
        <w:fldChar w:fldCharType="separate"/>
      </w:r>
      <w:r w:rsidR="00264070">
        <w:t xml:space="preserve">Figura </w:t>
      </w:r>
      <w:r w:rsidR="00264070">
        <w:rPr>
          <w:noProof/>
        </w:rPr>
        <w:t>4.2</w:t>
      </w:r>
      <w:r>
        <w:fldChar w:fldCharType="end"/>
      </w:r>
      <w:r>
        <w:t xml:space="preserve"> se presenta la ubicación de las estaciones pluviométricas y fluviométricas, respectivamente. </w:t>
      </w:r>
    </w:p>
    <w:p w:rsidR="00BA1DFE" w:rsidRDefault="00BA1DFE" w:rsidP="00B51B51">
      <w:pPr>
        <w:widowControl w:val="0"/>
      </w:pPr>
    </w:p>
    <w:p w:rsidR="00BA1DFE" w:rsidRDefault="00BA1DFE" w:rsidP="00B51B51">
      <w:pPr>
        <w:widowControl w:val="0"/>
      </w:pPr>
      <w:r>
        <w:t xml:space="preserve">Se considera un periodo de análisis de 50 años, comprendido entre los años hidrológicos 1961/62 y 2010/11. </w:t>
      </w:r>
      <w:r w:rsidR="00576A12">
        <w:t>Además se realiza un estudio de las series de caudales y precipitaciones, con el objetivo de visualizar posibles cambios en las tendencias de estas variables en el tiempo.</w:t>
      </w:r>
    </w:p>
    <w:p w:rsidR="00BD4364" w:rsidRDefault="00BD4364" w:rsidP="00B51B51">
      <w:pPr>
        <w:widowControl w:val="0"/>
      </w:pPr>
    </w:p>
    <w:p w:rsidR="00BA1DFE" w:rsidRDefault="00BA1DFE" w:rsidP="00B51B51">
      <w:pPr>
        <w:pStyle w:val="Ttulo2"/>
        <w:keepNext w:val="0"/>
      </w:pPr>
      <w:bookmarkStart w:id="177" w:name="_Toc336523140"/>
      <w:bookmarkStart w:id="178" w:name="_Toc344391802"/>
      <w:r>
        <w:t>Pluviometría</w:t>
      </w:r>
      <w:bookmarkEnd w:id="177"/>
      <w:bookmarkEnd w:id="178"/>
    </w:p>
    <w:p w:rsidR="00BA1DFE" w:rsidRDefault="00BA1DFE" w:rsidP="00B51B51">
      <w:pPr>
        <w:widowControl w:val="0"/>
      </w:pPr>
    </w:p>
    <w:p w:rsidR="00BA1DFE" w:rsidRDefault="00BA1DFE" w:rsidP="00B51B51">
      <w:pPr>
        <w:widowControl w:val="0"/>
        <w:rPr>
          <w:spacing w:val="-3"/>
        </w:rPr>
      </w:pPr>
      <w:r>
        <w:rPr>
          <w:spacing w:val="-3"/>
        </w:rPr>
        <w:t xml:space="preserve">En </w:t>
      </w:r>
      <w:r w:rsidRPr="00183EA4">
        <w:rPr>
          <w:spacing w:val="-3"/>
        </w:rPr>
        <w:t xml:space="preserve">esta sección se procedió a </w:t>
      </w:r>
      <w:r>
        <w:rPr>
          <w:spacing w:val="-3"/>
        </w:rPr>
        <w:t>construir</w:t>
      </w:r>
      <w:r w:rsidRPr="00183EA4">
        <w:rPr>
          <w:spacing w:val="-3"/>
        </w:rPr>
        <w:t xml:space="preserve"> </w:t>
      </w:r>
      <w:r>
        <w:rPr>
          <w:spacing w:val="-3"/>
        </w:rPr>
        <w:t>las series de precipitaciones anuales y/o</w:t>
      </w:r>
      <w:r w:rsidRPr="00183EA4">
        <w:rPr>
          <w:spacing w:val="-3"/>
        </w:rPr>
        <w:t xml:space="preserve"> mensual</w:t>
      </w:r>
      <w:r>
        <w:rPr>
          <w:spacing w:val="-3"/>
        </w:rPr>
        <w:t>es</w:t>
      </w:r>
      <w:r w:rsidRPr="00183EA4">
        <w:rPr>
          <w:spacing w:val="-3"/>
        </w:rPr>
        <w:t xml:space="preserve"> </w:t>
      </w:r>
      <w:r>
        <w:rPr>
          <w:spacing w:val="-3"/>
        </w:rPr>
        <w:t xml:space="preserve">para distintas estaciones existentes en </w:t>
      </w:r>
      <w:smartTag w:uri="urn:schemas-microsoft-com:office:smarttags" w:element="PersonName">
        <w:smartTagPr>
          <w:attr w:name="ProductID" w:val="la VI Región"/>
        </w:smartTagPr>
        <w:r>
          <w:rPr>
            <w:spacing w:val="-3"/>
          </w:rPr>
          <w:t>la VI Región</w:t>
        </w:r>
      </w:smartTag>
      <w:r>
        <w:rPr>
          <w:spacing w:val="-3"/>
        </w:rPr>
        <w:t>, para lo cual se llevó a cabo un proceso previo de relleno, extensión y homogenización de los datos. Esto se realizó con los siguientes 2 objetivos</w:t>
      </w:r>
      <w:r w:rsidRPr="00183EA4">
        <w:rPr>
          <w:spacing w:val="-3"/>
        </w:rPr>
        <w:t>: el primero fue confeccionar las series de precipitaciones mensuales y anuales requeridas como input en los modelos que serán utilizados para obtener los caudales aportantes</w:t>
      </w:r>
      <w:r>
        <w:rPr>
          <w:spacing w:val="-3"/>
        </w:rPr>
        <w:t xml:space="preserve">, de las diversas subcuencas </w:t>
      </w:r>
      <w:r w:rsidRPr="00183EA4">
        <w:rPr>
          <w:spacing w:val="-3"/>
        </w:rPr>
        <w:t>que no cuentan con estaciones de control fluviométrico en el punto de interés; mientras que el segundo fue construir un plano de isoyetas medias anuales para la región.</w:t>
      </w:r>
    </w:p>
    <w:p w:rsidR="007508CE" w:rsidRDefault="007508CE" w:rsidP="00B51B51">
      <w:pPr>
        <w:widowControl w:val="0"/>
        <w:rPr>
          <w:spacing w:val="-3"/>
        </w:rPr>
      </w:pPr>
    </w:p>
    <w:p w:rsidR="007508CE" w:rsidRDefault="007508CE" w:rsidP="00B51B51">
      <w:pPr>
        <w:widowControl w:val="0"/>
        <w:rPr>
          <w:spacing w:val="-3"/>
        </w:rPr>
      </w:pPr>
      <w:r>
        <w:rPr>
          <w:spacing w:val="-3"/>
        </w:rPr>
        <w:t xml:space="preserve">El proceso de relleno de las series se realizó mediante correlaciones lineales entre estaciones, mientras que la verificación de la homogeneidad de las mismas se efectuó usando el método de Curvas Dobles Acumuladas, tomando como estación patrón el promedio de aquellas con una mayor extensión de datos, correspondientes a las estaciones Rengo, Rapel y </w:t>
      </w:r>
      <w:smartTag w:uri="urn:schemas-microsoft-com:office:smarttags" w:element="PersonName">
        <w:smartTagPr>
          <w:attr w:name="ProductID" w:val="La Rufina."/>
        </w:smartTagPr>
        <w:r>
          <w:rPr>
            <w:spacing w:val="-3"/>
          </w:rPr>
          <w:t>La Rufina.</w:t>
        </w:r>
      </w:smartTag>
    </w:p>
    <w:p w:rsidR="007508CE" w:rsidRDefault="007508C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pPr>
    </w:p>
    <w:p w:rsidR="00465451" w:rsidRDefault="00465451" w:rsidP="00B51B51">
      <w:pPr>
        <w:widowControl w:val="0"/>
      </w:pPr>
    </w:p>
    <w:p w:rsidR="00BA1DFE" w:rsidRDefault="00BA1DFE" w:rsidP="00B51B51">
      <w:pPr>
        <w:pStyle w:val="Epgrafe"/>
        <w:widowControl w:val="0"/>
      </w:pPr>
      <w:bookmarkStart w:id="179" w:name="_Ref336552104"/>
      <w:bookmarkStart w:id="180" w:name="_Ref336552125"/>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w:t>
      </w:r>
      <w:r w:rsidR="00951FEC">
        <w:fldChar w:fldCharType="end"/>
      </w:r>
      <w:bookmarkEnd w:id="180"/>
      <w:r>
        <w:t xml:space="preserve"> Ubicación Estaciones Pluviométricas</w:t>
      </w:r>
      <w:bookmarkEnd w:id="179"/>
    </w:p>
    <w:p w:rsidR="00BA1DFE" w:rsidRDefault="00BA1DF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BA1DFE" w:rsidRDefault="00BA1DFE" w:rsidP="00B51B51">
      <w:pPr>
        <w:pStyle w:val="Epgrafe"/>
        <w:widowControl w:val="0"/>
        <w:rPr>
          <w:noProof/>
        </w:rPr>
      </w:pPr>
      <w:bookmarkStart w:id="181" w:name="_Ref336552143"/>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w:t>
      </w:r>
      <w:r w:rsidR="00951FEC">
        <w:fldChar w:fldCharType="end"/>
      </w:r>
      <w:bookmarkEnd w:id="181"/>
      <w:r>
        <w:t xml:space="preserve"> Ubicación Estaciones Fluviométricas</w:t>
      </w:r>
    </w:p>
    <w:p w:rsidR="00BA1DFE" w:rsidRDefault="00BA1DF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BA1DFE" w:rsidRDefault="00BA1DFE" w:rsidP="00465451">
      <w:pPr>
        <w:pStyle w:val="Ttulo3"/>
      </w:pPr>
      <w:bookmarkStart w:id="182" w:name="_Toc344391803"/>
      <w:r>
        <w:lastRenderedPageBreak/>
        <w:t xml:space="preserve">Obtención de </w:t>
      </w:r>
      <w:r w:rsidR="00260360">
        <w:t>S</w:t>
      </w:r>
      <w:r>
        <w:t xml:space="preserve">eries de </w:t>
      </w:r>
      <w:r w:rsidR="00260360">
        <w:t>P</w:t>
      </w:r>
      <w:r>
        <w:t>recipitaciones</w:t>
      </w:r>
      <w:bookmarkEnd w:id="182"/>
      <w:r>
        <w:t xml:space="preserve"> </w:t>
      </w:r>
    </w:p>
    <w:p w:rsidR="00BA1DFE" w:rsidRDefault="00BA1DFE" w:rsidP="00B51B51">
      <w:pPr>
        <w:widowControl w:val="0"/>
      </w:pPr>
    </w:p>
    <w:p w:rsidR="00BA1DFE" w:rsidRDefault="00BA1DFE" w:rsidP="00B51B51">
      <w:pPr>
        <w:widowControl w:val="0"/>
      </w:pPr>
      <w:r>
        <w:t>El relleno y extensión de información se realizó a nivel anual sobre la base de correlaciones entre estaciones. Posteriormente se efectuó un proceso de homogenización empleando para ello Curvas Dobles Acumuladas. Concluido este proceso, se obtuvieron series de precipitaciones anuales, rellenadas corregidas y extendidas para periodo 1961/62 – 2010/11.</w:t>
      </w:r>
    </w:p>
    <w:p w:rsidR="00BA1DFE" w:rsidRDefault="00BA1DFE" w:rsidP="00B51B51">
      <w:pPr>
        <w:widowControl w:val="0"/>
      </w:pPr>
    </w:p>
    <w:p w:rsidR="00BA1DFE" w:rsidRDefault="004D2761" w:rsidP="00B51B51">
      <w:pPr>
        <w:widowControl w:val="0"/>
      </w:pPr>
      <w:r>
        <w:t>L</w:t>
      </w:r>
      <w:r w:rsidR="00BA1DFE">
        <w:t>as series originales empleadas para el desarrollo del estudio</w:t>
      </w:r>
      <w:r w:rsidR="00B1465A">
        <w:t xml:space="preserve"> se presentan en el Anexo 2</w:t>
      </w:r>
      <w:r>
        <w:t>.1</w:t>
      </w:r>
      <w:r w:rsidR="00BA1DFE">
        <w:t>.</w:t>
      </w:r>
    </w:p>
    <w:p w:rsidR="004A4A41" w:rsidRDefault="004A4A41" w:rsidP="00B51B51">
      <w:pPr>
        <w:widowControl w:val="0"/>
      </w:pPr>
    </w:p>
    <w:p w:rsidR="00BA1DFE" w:rsidRDefault="00BA1DFE" w:rsidP="00B51B51">
      <w:pPr>
        <w:widowControl w:val="0"/>
      </w:pPr>
      <w:r>
        <w:t xml:space="preserve">En </w:t>
      </w:r>
      <w:smartTag w:uri="urn:schemas-microsoft-com:office:smarttags" w:element="PersonName">
        <w:smartTagPr>
          <w:attr w:name="ProductID" w:val="la ￼￼￼￼￼￼￼￼￼￼￼￼￼￼￼￼￼￼￼￼￼￼￼￼￼￼￼￼￼￼￼￼￼￼￼￼￼￼￼￼￼Tabla"/>
        </w:smartTagPr>
        <w:r>
          <w:t xml:space="preserve">la </w:t>
        </w:r>
        <w:r w:rsidR="007F722E">
          <w:fldChar w:fldCharType="begin"/>
        </w:r>
        <w:r w:rsidR="007F722E">
          <w:instrText xml:space="preserve"> REF _Ref336548087 \h </w:instrText>
        </w:r>
        <w:r w:rsidR="007F722E">
          <w:fldChar w:fldCharType="separate"/>
        </w:r>
        <w:r w:rsidR="00264070">
          <w:t>Tabla</w:t>
        </w:r>
      </w:smartTag>
      <w:r w:rsidR="00264070">
        <w:t xml:space="preserve"> </w:t>
      </w:r>
      <w:r w:rsidR="00264070">
        <w:rPr>
          <w:noProof/>
        </w:rPr>
        <w:t>4</w:t>
      </w:r>
      <w:r w:rsidR="00264070">
        <w:t>.</w:t>
      </w:r>
      <w:r w:rsidR="00264070">
        <w:rPr>
          <w:noProof/>
        </w:rPr>
        <w:t>1</w:t>
      </w:r>
      <w:r w:rsidR="007F722E">
        <w:fldChar w:fldCharType="end"/>
      </w:r>
      <w:r w:rsidR="007F722E">
        <w:t xml:space="preserve"> </w:t>
      </w:r>
      <w:r>
        <w:t>se presenta un resumen con las correlaciones realizadas para</w:t>
      </w:r>
      <w:r w:rsidR="004D2761">
        <w:t xml:space="preserve"> efectos de rellenar y extender información a nivel anual</w:t>
      </w:r>
      <w:r>
        <w:t>.</w:t>
      </w:r>
    </w:p>
    <w:p w:rsidR="00BA1DFE" w:rsidRDefault="00BA1DFE" w:rsidP="00B51B51">
      <w:pPr>
        <w:widowControl w:val="0"/>
      </w:pPr>
    </w:p>
    <w:p w:rsidR="00BA1DFE" w:rsidRPr="005E1A42" w:rsidRDefault="00BA1DFE" w:rsidP="00B51B51">
      <w:pPr>
        <w:pStyle w:val="Epgrafe"/>
        <w:widowControl w:val="0"/>
      </w:pPr>
      <w:bookmarkStart w:id="183" w:name="_Ref336548087"/>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bookmarkEnd w:id="183"/>
      <w:r>
        <w:t xml:space="preserve"> Correlación de Estaciones Pluviométricas a Nivel Anual</w:t>
      </w:r>
    </w:p>
    <w:tbl>
      <w:tblPr>
        <w:tblW w:w="8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80"/>
        <w:gridCol w:w="2784"/>
        <w:gridCol w:w="991"/>
        <w:gridCol w:w="851"/>
        <w:gridCol w:w="917"/>
      </w:tblGrid>
      <w:tr w:rsidR="00BA1DFE" w:rsidRPr="004A4A41">
        <w:trPr>
          <w:trHeight w:val="345"/>
          <w:jc w:val="center"/>
        </w:trPr>
        <w:tc>
          <w:tcPr>
            <w:tcW w:w="2480" w:type="dxa"/>
            <w:noWrap/>
            <w:vAlign w:val="bottom"/>
          </w:tcPr>
          <w:p w:rsidR="00BA1DFE" w:rsidRPr="004A4A41" w:rsidRDefault="00BA1DFE" w:rsidP="00B1465A">
            <w:pPr>
              <w:widowControl w:val="0"/>
              <w:jc w:val="center"/>
              <w:rPr>
                <w:bCs/>
                <w:color w:val="000000"/>
                <w:sz w:val="20"/>
                <w:szCs w:val="20"/>
              </w:rPr>
            </w:pPr>
            <w:r w:rsidRPr="004A4A41">
              <w:rPr>
                <w:bCs/>
                <w:color w:val="000000"/>
                <w:sz w:val="20"/>
                <w:szCs w:val="20"/>
              </w:rPr>
              <w:t>Estación Dependiente</w:t>
            </w:r>
          </w:p>
        </w:tc>
        <w:tc>
          <w:tcPr>
            <w:tcW w:w="2784" w:type="dxa"/>
            <w:noWrap/>
            <w:vAlign w:val="bottom"/>
          </w:tcPr>
          <w:p w:rsidR="00BA1DFE" w:rsidRPr="004A4A41" w:rsidRDefault="00BA1DFE" w:rsidP="00B1465A">
            <w:pPr>
              <w:widowControl w:val="0"/>
              <w:jc w:val="center"/>
              <w:rPr>
                <w:bCs/>
                <w:color w:val="000000"/>
                <w:sz w:val="20"/>
                <w:szCs w:val="20"/>
              </w:rPr>
            </w:pPr>
            <w:r w:rsidRPr="004A4A41">
              <w:rPr>
                <w:bCs/>
                <w:color w:val="000000"/>
                <w:sz w:val="20"/>
                <w:szCs w:val="20"/>
              </w:rPr>
              <w:t>Estaciones Independientes</w:t>
            </w:r>
          </w:p>
        </w:tc>
        <w:tc>
          <w:tcPr>
            <w:tcW w:w="991" w:type="dxa"/>
            <w:noWrap/>
            <w:vAlign w:val="bottom"/>
          </w:tcPr>
          <w:p w:rsidR="00BA1DFE" w:rsidRPr="004A4A41" w:rsidRDefault="00BA1DFE" w:rsidP="00B1465A">
            <w:pPr>
              <w:widowControl w:val="0"/>
              <w:jc w:val="center"/>
              <w:rPr>
                <w:bCs/>
                <w:color w:val="000000"/>
                <w:sz w:val="20"/>
                <w:szCs w:val="20"/>
              </w:rPr>
            </w:pPr>
            <w:r w:rsidRPr="004A4A41">
              <w:rPr>
                <w:bCs/>
                <w:color w:val="000000"/>
                <w:sz w:val="20"/>
                <w:szCs w:val="20"/>
              </w:rPr>
              <w:t>a</w:t>
            </w:r>
          </w:p>
        </w:tc>
        <w:tc>
          <w:tcPr>
            <w:tcW w:w="851" w:type="dxa"/>
            <w:noWrap/>
            <w:vAlign w:val="bottom"/>
          </w:tcPr>
          <w:p w:rsidR="00BA1DFE" w:rsidRPr="004A4A41" w:rsidRDefault="00BA1DFE" w:rsidP="00B1465A">
            <w:pPr>
              <w:widowControl w:val="0"/>
              <w:jc w:val="center"/>
              <w:rPr>
                <w:bCs/>
                <w:color w:val="000000"/>
                <w:sz w:val="20"/>
                <w:szCs w:val="20"/>
              </w:rPr>
            </w:pPr>
            <w:r w:rsidRPr="004A4A41">
              <w:rPr>
                <w:bCs/>
                <w:color w:val="000000"/>
                <w:sz w:val="20"/>
                <w:szCs w:val="20"/>
              </w:rPr>
              <w:t>b</w:t>
            </w:r>
          </w:p>
        </w:tc>
        <w:tc>
          <w:tcPr>
            <w:tcW w:w="917" w:type="dxa"/>
            <w:noWrap/>
            <w:vAlign w:val="bottom"/>
          </w:tcPr>
          <w:p w:rsidR="00BA1DFE" w:rsidRPr="004A4A41" w:rsidRDefault="00BA1DFE" w:rsidP="00B1465A">
            <w:pPr>
              <w:widowControl w:val="0"/>
              <w:jc w:val="center"/>
              <w:rPr>
                <w:bCs/>
                <w:color w:val="000000"/>
                <w:sz w:val="20"/>
                <w:szCs w:val="20"/>
              </w:rPr>
            </w:pPr>
            <w:r w:rsidRPr="004A4A41">
              <w:rPr>
                <w:bCs/>
                <w:color w:val="000000"/>
                <w:sz w:val="20"/>
                <w:szCs w:val="20"/>
              </w:rPr>
              <w:t>R</w:t>
            </w:r>
            <w:r w:rsidRPr="004A4A41">
              <w:rPr>
                <w:bCs/>
                <w:color w:val="000000"/>
                <w:sz w:val="20"/>
                <w:szCs w:val="20"/>
                <w:vertAlign w:val="superscript"/>
              </w:rPr>
              <w:t>2</w:t>
            </w:r>
          </w:p>
        </w:tc>
      </w:tr>
      <w:tr w:rsidR="00BA1DFE" w:rsidRPr="004A4A41">
        <w:trPr>
          <w:trHeight w:val="300"/>
          <w:jc w:val="center"/>
        </w:trPr>
        <w:tc>
          <w:tcPr>
            <w:tcW w:w="2480" w:type="dxa"/>
            <w:noWrap/>
            <w:vAlign w:val="bottom"/>
          </w:tcPr>
          <w:p w:rsidR="00BA1DFE" w:rsidRPr="004A4A41" w:rsidRDefault="00D41881" w:rsidP="004A4A41">
            <w:pPr>
              <w:widowControl w:val="0"/>
              <w:rPr>
                <w:color w:val="000000"/>
                <w:sz w:val="20"/>
                <w:szCs w:val="20"/>
              </w:rPr>
            </w:pPr>
            <w:r w:rsidRPr="004A4A41">
              <w:rPr>
                <w:color w:val="000000"/>
                <w:sz w:val="20"/>
                <w:szCs w:val="20"/>
              </w:rPr>
              <w:t>Rapel</w:t>
            </w:r>
          </w:p>
        </w:tc>
        <w:tc>
          <w:tcPr>
            <w:tcW w:w="2784" w:type="dxa"/>
            <w:noWrap/>
            <w:vAlign w:val="bottom"/>
          </w:tcPr>
          <w:p w:rsidR="00BA1DFE" w:rsidRPr="004A4A41" w:rsidRDefault="00D41881" w:rsidP="004A4A41">
            <w:pPr>
              <w:widowControl w:val="0"/>
              <w:rPr>
                <w:color w:val="000000"/>
                <w:sz w:val="20"/>
                <w:szCs w:val="20"/>
              </w:rPr>
            </w:pPr>
            <w:r w:rsidRPr="004A4A41">
              <w:rPr>
                <w:color w:val="000000"/>
                <w:sz w:val="20"/>
                <w:szCs w:val="20"/>
              </w:rPr>
              <w:t>Cerrillos de Leyda</w:t>
            </w:r>
          </w:p>
        </w:tc>
        <w:tc>
          <w:tcPr>
            <w:tcW w:w="991" w:type="dxa"/>
            <w:noWrap/>
            <w:vAlign w:val="bottom"/>
          </w:tcPr>
          <w:p w:rsidR="00BA1DFE" w:rsidRPr="004A4A41" w:rsidRDefault="00D41881" w:rsidP="00B1465A">
            <w:pPr>
              <w:widowControl w:val="0"/>
              <w:jc w:val="center"/>
              <w:rPr>
                <w:color w:val="000000"/>
                <w:sz w:val="20"/>
                <w:szCs w:val="20"/>
              </w:rPr>
            </w:pPr>
            <w:r w:rsidRPr="004A4A41">
              <w:rPr>
                <w:color w:val="000000"/>
                <w:sz w:val="20"/>
                <w:szCs w:val="20"/>
              </w:rPr>
              <w:t>0,982</w:t>
            </w:r>
          </w:p>
        </w:tc>
        <w:tc>
          <w:tcPr>
            <w:tcW w:w="851" w:type="dxa"/>
            <w:noWrap/>
            <w:vAlign w:val="bottom"/>
          </w:tcPr>
          <w:p w:rsidR="00BA1DFE" w:rsidRPr="004A4A41" w:rsidRDefault="00D41881" w:rsidP="00B1465A">
            <w:pPr>
              <w:widowControl w:val="0"/>
              <w:jc w:val="center"/>
              <w:rPr>
                <w:color w:val="000000"/>
                <w:sz w:val="20"/>
                <w:szCs w:val="20"/>
              </w:rPr>
            </w:pPr>
            <w:r w:rsidRPr="004A4A41">
              <w:rPr>
                <w:color w:val="000000"/>
                <w:sz w:val="20"/>
                <w:szCs w:val="20"/>
              </w:rPr>
              <w:t>118,38</w:t>
            </w:r>
          </w:p>
        </w:tc>
        <w:tc>
          <w:tcPr>
            <w:tcW w:w="917" w:type="dxa"/>
            <w:noWrap/>
            <w:vAlign w:val="bottom"/>
          </w:tcPr>
          <w:p w:rsidR="00BA1DFE" w:rsidRPr="004A4A41" w:rsidRDefault="00D41881" w:rsidP="00B1465A">
            <w:pPr>
              <w:widowControl w:val="0"/>
              <w:jc w:val="center"/>
              <w:rPr>
                <w:color w:val="000000"/>
                <w:sz w:val="20"/>
                <w:szCs w:val="20"/>
              </w:rPr>
            </w:pPr>
            <w:r w:rsidRPr="004A4A41">
              <w:rPr>
                <w:color w:val="000000"/>
                <w:sz w:val="20"/>
                <w:szCs w:val="20"/>
              </w:rPr>
              <w:t>0,84</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Nilahue Barahona</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Rapel</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0,972</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0,00</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0,90</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Pichilemu</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Nilahue Barahona</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0,910</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0,00</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0,89</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El Membrillo</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Nilahue Barahona</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1,160</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94,20</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0,88</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Ranguili</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Nilahue Barahona</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1,260</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14,66</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0,89</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San Fernando</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Rufina</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0,730</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-96,99</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0,90</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Rengo</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Viña Vieja</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0,764</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73,78</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0,96</w:t>
            </w:r>
          </w:p>
        </w:tc>
      </w:tr>
      <w:tr w:rsidR="00CB6284" w:rsidRPr="004A4A41">
        <w:trPr>
          <w:trHeight w:val="300"/>
          <w:jc w:val="center"/>
        </w:trPr>
        <w:tc>
          <w:tcPr>
            <w:tcW w:w="2480" w:type="dxa"/>
            <w:noWrap/>
            <w:vAlign w:val="bottom"/>
          </w:tcPr>
          <w:p w:rsidR="00CB6284" w:rsidRPr="004A4A41" w:rsidRDefault="00CB6284" w:rsidP="004A4A41">
            <w:pPr>
              <w:widowControl w:val="0"/>
              <w:rPr>
                <w:color w:val="000000"/>
                <w:sz w:val="20"/>
                <w:szCs w:val="20"/>
              </w:rPr>
            </w:pPr>
            <w:r w:rsidRPr="004A4A41">
              <w:rPr>
                <w:color w:val="000000"/>
                <w:sz w:val="20"/>
                <w:szCs w:val="20"/>
              </w:rPr>
              <w:t>Viña Vieja</w:t>
            </w:r>
          </w:p>
        </w:tc>
        <w:tc>
          <w:tcPr>
            <w:tcW w:w="2784" w:type="dxa"/>
            <w:noWrap/>
            <w:vAlign w:val="bottom"/>
          </w:tcPr>
          <w:p w:rsidR="00CB6284" w:rsidRPr="004A4A41" w:rsidRDefault="00CB6284" w:rsidP="004A4A41">
            <w:pPr>
              <w:widowControl w:val="0"/>
              <w:rPr>
                <w:color w:val="000000"/>
                <w:sz w:val="20"/>
                <w:szCs w:val="20"/>
              </w:rPr>
            </w:pPr>
            <w:r w:rsidRPr="004A4A41">
              <w:rPr>
                <w:color w:val="000000"/>
                <w:sz w:val="20"/>
                <w:szCs w:val="20"/>
              </w:rPr>
              <w:t>Rengo</w:t>
            </w:r>
          </w:p>
        </w:tc>
        <w:tc>
          <w:tcPr>
            <w:tcW w:w="99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1,260</w:t>
            </w:r>
          </w:p>
        </w:tc>
        <w:tc>
          <w:tcPr>
            <w:tcW w:w="851"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-68,69</w:t>
            </w:r>
          </w:p>
        </w:tc>
        <w:tc>
          <w:tcPr>
            <w:tcW w:w="917" w:type="dxa"/>
            <w:noWrap/>
            <w:vAlign w:val="bottom"/>
          </w:tcPr>
          <w:p w:rsidR="00CB6284" w:rsidRPr="004A4A41" w:rsidRDefault="00CB6284" w:rsidP="00CB6284">
            <w:pPr>
              <w:widowControl w:val="0"/>
              <w:jc w:val="center"/>
              <w:rPr>
                <w:color w:val="000000"/>
                <w:sz w:val="20"/>
                <w:szCs w:val="20"/>
              </w:rPr>
            </w:pPr>
            <w:r w:rsidRPr="004A4A41">
              <w:rPr>
                <w:color w:val="000000"/>
                <w:sz w:val="20"/>
                <w:szCs w:val="20"/>
              </w:rPr>
              <w:t>0,96</w:t>
            </w:r>
          </w:p>
        </w:tc>
      </w:tr>
    </w:tbl>
    <w:p w:rsidR="00BA1DFE" w:rsidRDefault="00BA1DFE" w:rsidP="00B51B51">
      <w:pPr>
        <w:widowControl w:val="0"/>
      </w:pPr>
    </w:p>
    <w:p w:rsidR="00BA1DFE" w:rsidRDefault="00D41881" w:rsidP="00B51B51">
      <w:pPr>
        <w:widowControl w:val="0"/>
      </w:pPr>
      <w:r>
        <w:t>En el Anexo 2</w:t>
      </w:r>
      <w:r w:rsidR="00537747">
        <w:t>.2</w:t>
      </w:r>
      <w:r w:rsidR="00BA1DFE">
        <w:t xml:space="preserve">, se presenta en detalle las correlaciones y las gráficas asociadas a las curvas dobles acumuladas. Por otro lado, para el sector asociado a las cuencas costeras, se confeccionaron series a nivel mensual, con el objeto de emplear esta información en la síntesis de caudales también a nivel mensual, a través de un modelo precipitación - escorrentía. Las estaciones empleadas para este análisis se presentan en </w:t>
      </w:r>
      <w:smartTag w:uri="urn:schemas-microsoft-com:office:smarttags" w:element="PersonName">
        <w:smartTagPr>
          <w:attr w:name="ProductID" w:val="la ￼￼￼￼￼￼￼￼￼￼￼￼￼￼￼￼￼￼￼￼￼￼￼￼￼￼￼￼￼￼￼￼￼￼￼￼￼￼￼￼￼Tabla"/>
        </w:smartTagPr>
        <w:r w:rsidR="00BA1DFE">
          <w:t xml:space="preserve">la </w:t>
        </w:r>
        <w:r w:rsidR="007F722E">
          <w:fldChar w:fldCharType="begin"/>
        </w:r>
        <w:r w:rsidR="007F722E">
          <w:instrText xml:space="preserve"> REF _Ref336521040 \h </w:instrText>
        </w:r>
        <w:r w:rsidR="007F722E">
          <w:fldChar w:fldCharType="separate"/>
        </w:r>
        <w:r w:rsidR="00264070" w:rsidRPr="00CB6284">
          <w:t>Tabla</w:t>
        </w:r>
      </w:smartTag>
      <w:r w:rsidR="00264070" w:rsidRPr="00CB6284">
        <w:t xml:space="preserve"> </w:t>
      </w:r>
      <w:r w:rsidR="00264070">
        <w:rPr>
          <w:noProof/>
        </w:rPr>
        <w:t>4</w:t>
      </w:r>
      <w:r w:rsidR="00264070">
        <w:t>.</w:t>
      </w:r>
      <w:r w:rsidR="00264070">
        <w:rPr>
          <w:noProof/>
        </w:rPr>
        <w:t>2</w:t>
      </w:r>
      <w:r w:rsidR="007F722E">
        <w:fldChar w:fldCharType="end"/>
      </w:r>
      <w:r w:rsidR="007508CE">
        <w:t>.</w:t>
      </w:r>
    </w:p>
    <w:p w:rsidR="00BA1DFE" w:rsidRDefault="00BA1DFE" w:rsidP="00B51B51">
      <w:pPr>
        <w:widowControl w:val="0"/>
      </w:pPr>
    </w:p>
    <w:p w:rsidR="00BA1DFE" w:rsidRPr="00CB6284" w:rsidRDefault="00BA1DFE" w:rsidP="00B51B51">
      <w:pPr>
        <w:pStyle w:val="Epgrafe"/>
        <w:widowControl w:val="0"/>
      </w:pPr>
      <w:bookmarkStart w:id="184" w:name="_Ref336521040"/>
      <w:r w:rsidRPr="00CB6284">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bookmarkEnd w:id="184"/>
      <w:r w:rsidRPr="00CB6284">
        <w:t xml:space="preserve"> Estaciones Costeras</w:t>
      </w:r>
    </w:p>
    <w:tbl>
      <w:tblPr>
        <w:tblW w:w="4999" w:type="pct"/>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463"/>
        <w:gridCol w:w="4797"/>
      </w:tblGrid>
      <w:tr w:rsidR="00BA1DFE" w:rsidRPr="004A4A41">
        <w:trPr>
          <w:trHeight w:val="315"/>
          <w:jc w:val="center"/>
        </w:trPr>
        <w:tc>
          <w:tcPr>
            <w:tcW w:w="2410" w:type="pct"/>
            <w:noWrap/>
            <w:vAlign w:val="bottom"/>
          </w:tcPr>
          <w:p w:rsidR="00BA1DFE" w:rsidRPr="004A4A41" w:rsidRDefault="00BA1DFE" w:rsidP="00CB6284">
            <w:pPr>
              <w:widowControl w:val="0"/>
              <w:jc w:val="center"/>
              <w:rPr>
                <w:bCs/>
                <w:sz w:val="20"/>
                <w:szCs w:val="20"/>
              </w:rPr>
            </w:pPr>
            <w:r w:rsidRPr="004A4A41">
              <w:rPr>
                <w:bCs/>
                <w:sz w:val="20"/>
                <w:szCs w:val="20"/>
              </w:rPr>
              <w:t>Nombre</w:t>
            </w:r>
          </w:p>
        </w:tc>
        <w:tc>
          <w:tcPr>
            <w:tcW w:w="2590" w:type="pct"/>
            <w:noWrap/>
            <w:vAlign w:val="bottom"/>
          </w:tcPr>
          <w:p w:rsidR="00BA1DFE" w:rsidRPr="004A4A41" w:rsidRDefault="00CB6284" w:rsidP="00CB6284">
            <w:pPr>
              <w:widowControl w:val="0"/>
              <w:jc w:val="center"/>
              <w:rPr>
                <w:bCs/>
                <w:sz w:val="20"/>
                <w:szCs w:val="20"/>
              </w:rPr>
            </w:pPr>
            <w:r w:rsidRPr="004A4A41">
              <w:rPr>
                <w:bCs/>
                <w:sz w:val="20"/>
                <w:szCs w:val="20"/>
              </w:rPr>
              <w:t>Subc</w:t>
            </w:r>
            <w:r w:rsidR="00BA1DFE" w:rsidRPr="004A4A41">
              <w:rPr>
                <w:bCs/>
                <w:sz w:val="20"/>
                <w:szCs w:val="20"/>
              </w:rPr>
              <w:t>uenca</w:t>
            </w:r>
          </w:p>
        </w:tc>
      </w:tr>
      <w:tr w:rsidR="00BA1DFE" w:rsidRPr="004A4A41">
        <w:trPr>
          <w:trHeight w:val="285"/>
          <w:jc w:val="center"/>
        </w:trPr>
        <w:tc>
          <w:tcPr>
            <w:tcW w:w="2410" w:type="pct"/>
            <w:noWrap/>
            <w:vAlign w:val="bottom"/>
          </w:tcPr>
          <w:p w:rsidR="00BA1DFE" w:rsidRPr="004A4A41" w:rsidRDefault="00BA1DFE" w:rsidP="00CB6284">
            <w:pPr>
              <w:widowControl w:val="0"/>
              <w:rPr>
                <w:sz w:val="20"/>
                <w:szCs w:val="20"/>
              </w:rPr>
            </w:pPr>
            <w:r w:rsidRPr="004A4A41">
              <w:rPr>
                <w:sz w:val="20"/>
                <w:szCs w:val="20"/>
              </w:rPr>
              <w:t>Cerrillos de Leyda</w:t>
            </w:r>
          </w:p>
        </w:tc>
        <w:tc>
          <w:tcPr>
            <w:tcW w:w="2590" w:type="pct"/>
            <w:noWrap/>
            <w:vAlign w:val="bottom"/>
          </w:tcPr>
          <w:p w:rsidR="00BA1DFE" w:rsidRPr="004A4A41" w:rsidRDefault="00BA1DFE" w:rsidP="00CB6284">
            <w:pPr>
              <w:widowControl w:val="0"/>
              <w:rPr>
                <w:color w:val="000000"/>
                <w:sz w:val="20"/>
                <w:szCs w:val="20"/>
              </w:rPr>
            </w:pPr>
            <w:r w:rsidRPr="004A4A41">
              <w:rPr>
                <w:color w:val="000000"/>
                <w:sz w:val="20"/>
                <w:szCs w:val="20"/>
              </w:rPr>
              <w:t xml:space="preserve">Rio Maipo Bajo </w:t>
            </w:r>
          </w:p>
        </w:tc>
      </w:tr>
      <w:tr w:rsidR="00BA1DFE" w:rsidRPr="004A4A41">
        <w:trPr>
          <w:trHeight w:val="285"/>
          <w:jc w:val="center"/>
        </w:trPr>
        <w:tc>
          <w:tcPr>
            <w:tcW w:w="2410" w:type="pct"/>
            <w:noWrap/>
            <w:vAlign w:val="bottom"/>
          </w:tcPr>
          <w:p w:rsidR="00BA1DFE" w:rsidRPr="004A4A41" w:rsidRDefault="00BA1DFE" w:rsidP="00CB6284">
            <w:pPr>
              <w:widowControl w:val="0"/>
              <w:rPr>
                <w:sz w:val="20"/>
                <w:szCs w:val="20"/>
              </w:rPr>
            </w:pPr>
            <w:r w:rsidRPr="004A4A41">
              <w:rPr>
                <w:sz w:val="20"/>
                <w:szCs w:val="20"/>
              </w:rPr>
              <w:t>Litueche</w:t>
            </w:r>
            <w:r w:rsidR="00CB6284" w:rsidRPr="004A4A41">
              <w:rPr>
                <w:sz w:val="20"/>
                <w:szCs w:val="20"/>
              </w:rPr>
              <w:t>, Rapel</w:t>
            </w:r>
          </w:p>
        </w:tc>
        <w:tc>
          <w:tcPr>
            <w:tcW w:w="2590" w:type="pct"/>
            <w:noWrap/>
            <w:vAlign w:val="bottom"/>
          </w:tcPr>
          <w:p w:rsidR="00BA1DFE" w:rsidRPr="004A4A41" w:rsidRDefault="00BA1DFE" w:rsidP="00CB6284">
            <w:pPr>
              <w:widowControl w:val="0"/>
              <w:rPr>
                <w:color w:val="000000"/>
                <w:sz w:val="20"/>
                <w:szCs w:val="20"/>
              </w:rPr>
            </w:pPr>
            <w:r w:rsidRPr="004A4A41">
              <w:rPr>
                <w:color w:val="000000"/>
                <w:sz w:val="20"/>
                <w:szCs w:val="20"/>
              </w:rPr>
              <w:t>Río Rapel</w:t>
            </w:r>
          </w:p>
        </w:tc>
      </w:tr>
      <w:tr w:rsidR="00BA1DFE" w:rsidRPr="004A4A41">
        <w:trPr>
          <w:trHeight w:val="285"/>
          <w:jc w:val="center"/>
        </w:trPr>
        <w:tc>
          <w:tcPr>
            <w:tcW w:w="2410" w:type="pct"/>
            <w:noWrap/>
            <w:vAlign w:val="bottom"/>
          </w:tcPr>
          <w:p w:rsidR="00BA1DFE" w:rsidRPr="004A4A41" w:rsidRDefault="00BA1DFE" w:rsidP="00CB6284">
            <w:pPr>
              <w:widowControl w:val="0"/>
              <w:rPr>
                <w:sz w:val="20"/>
                <w:szCs w:val="20"/>
              </w:rPr>
            </w:pPr>
            <w:r w:rsidRPr="004A4A41">
              <w:rPr>
                <w:sz w:val="20"/>
                <w:szCs w:val="20"/>
              </w:rPr>
              <w:t>Pichilemu</w:t>
            </w:r>
          </w:p>
        </w:tc>
        <w:tc>
          <w:tcPr>
            <w:tcW w:w="2590" w:type="pct"/>
            <w:noWrap/>
            <w:vAlign w:val="bottom"/>
          </w:tcPr>
          <w:p w:rsidR="00BA1DFE" w:rsidRPr="004A4A41" w:rsidRDefault="00BA1DFE" w:rsidP="00CB6284">
            <w:pPr>
              <w:widowControl w:val="0"/>
              <w:rPr>
                <w:color w:val="000000"/>
                <w:sz w:val="20"/>
                <w:szCs w:val="20"/>
              </w:rPr>
            </w:pPr>
            <w:r w:rsidRPr="004A4A41">
              <w:rPr>
                <w:color w:val="000000"/>
                <w:sz w:val="20"/>
                <w:szCs w:val="20"/>
              </w:rPr>
              <w:t>Costeras entre E. Topocalma y E. Nilahue</w:t>
            </w:r>
          </w:p>
        </w:tc>
      </w:tr>
      <w:tr w:rsidR="00BA1DFE" w:rsidRPr="004A4A41">
        <w:trPr>
          <w:trHeight w:val="300"/>
          <w:jc w:val="center"/>
        </w:trPr>
        <w:tc>
          <w:tcPr>
            <w:tcW w:w="2410" w:type="pct"/>
            <w:noWrap/>
            <w:vAlign w:val="bottom"/>
          </w:tcPr>
          <w:p w:rsidR="00BA1DFE" w:rsidRPr="004A4A41" w:rsidRDefault="007508CE" w:rsidP="00CB6284">
            <w:pPr>
              <w:widowControl w:val="0"/>
              <w:rPr>
                <w:sz w:val="20"/>
                <w:szCs w:val="20"/>
              </w:rPr>
            </w:pPr>
            <w:r w:rsidRPr="004A4A41">
              <w:rPr>
                <w:sz w:val="20"/>
                <w:szCs w:val="20"/>
              </w:rPr>
              <w:t>Nilahue Barahona</w:t>
            </w:r>
            <w:r w:rsidR="00CB6284" w:rsidRPr="004A4A41">
              <w:rPr>
                <w:sz w:val="20"/>
                <w:szCs w:val="20"/>
              </w:rPr>
              <w:t>, Ranguilli, El Membrillo</w:t>
            </w:r>
          </w:p>
        </w:tc>
        <w:tc>
          <w:tcPr>
            <w:tcW w:w="2590" w:type="pct"/>
            <w:noWrap/>
            <w:vAlign w:val="bottom"/>
          </w:tcPr>
          <w:p w:rsidR="00BA1DFE" w:rsidRPr="004A4A41" w:rsidRDefault="007508CE" w:rsidP="00CB6284">
            <w:pPr>
              <w:widowControl w:val="0"/>
              <w:rPr>
                <w:color w:val="000000"/>
                <w:sz w:val="20"/>
                <w:szCs w:val="20"/>
              </w:rPr>
            </w:pPr>
            <w:r w:rsidRPr="004A4A41">
              <w:rPr>
                <w:color w:val="000000"/>
                <w:sz w:val="20"/>
                <w:szCs w:val="20"/>
              </w:rPr>
              <w:t>Estero Nilahue</w:t>
            </w:r>
          </w:p>
        </w:tc>
      </w:tr>
    </w:tbl>
    <w:p w:rsidR="00465451" w:rsidRDefault="00465451" w:rsidP="00B51B51">
      <w:pPr>
        <w:widowControl w:val="0"/>
      </w:pPr>
    </w:p>
    <w:p w:rsidR="00BA1DFE" w:rsidRDefault="00CB6284" w:rsidP="00B51B51">
      <w:pPr>
        <w:widowControl w:val="0"/>
      </w:pPr>
      <w:r>
        <w:t>Por otro lado, en el Anexo 2</w:t>
      </w:r>
      <w:r w:rsidR="00BA1DFE">
        <w:t>.</w:t>
      </w:r>
      <w:r w:rsidR="00537747">
        <w:t>3</w:t>
      </w:r>
      <w:r w:rsidR="00BA1DFE">
        <w:t xml:space="preserve"> se presentan las series de precipitaciones </w:t>
      </w:r>
      <w:r w:rsidR="004D2761">
        <w:t>corregidas, rellenadas y extendidas a escala</w:t>
      </w:r>
      <w:r w:rsidR="00BA1DFE">
        <w:t xml:space="preserve"> mensual</w:t>
      </w:r>
      <w:r w:rsidR="004D2761">
        <w:t>,</w:t>
      </w:r>
      <w:r w:rsidR="00BA1DFE">
        <w:t xml:space="preserve"> asociadas al sector de cuencas costeras</w:t>
      </w:r>
      <w:r w:rsidR="004D2761">
        <w:t>.</w:t>
      </w:r>
    </w:p>
    <w:p w:rsidR="00CB6284" w:rsidRPr="007C3AF3" w:rsidRDefault="00CB6284" w:rsidP="00B51B51">
      <w:pPr>
        <w:widowControl w:val="0"/>
      </w:pPr>
    </w:p>
    <w:p w:rsidR="00BA1DFE" w:rsidRDefault="00BA1DFE" w:rsidP="004A4A41">
      <w:pPr>
        <w:pStyle w:val="Ttulo3"/>
      </w:pPr>
      <w:bookmarkStart w:id="185" w:name="_Toc344391804"/>
      <w:r>
        <w:t xml:space="preserve">Isoyetas </w:t>
      </w:r>
      <w:r w:rsidR="00260360">
        <w:t>P</w:t>
      </w:r>
      <w:r>
        <w:t xml:space="preserve">recipitaciones </w:t>
      </w:r>
      <w:r w:rsidR="00260360">
        <w:t>M</w:t>
      </w:r>
      <w:r>
        <w:t xml:space="preserve">edias </w:t>
      </w:r>
      <w:r w:rsidR="00260360">
        <w:t>A</w:t>
      </w:r>
      <w:r>
        <w:t>nuales</w:t>
      </w:r>
      <w:bookmarkEnd w:id="185"/>
    </w:p>
    <w:p w:rsidR="00BA1DFE" w:rsidRDefault="00BA1DFE" w:rsidP="00B51B51">
      <w:pPr>
        <w:widowControl w:val="0"/>
      </w:pPr>
    </w:p>
    <w:p w:rsidR="00BA1DFE" w:rsidRDefault="00BA1DFE" w:rsidP="00B51B51">
      <w:pPr>
        <w:widowControl w:val="0"/>
      </w:pPr>
      <w:r>
        <w:t xml:space="preserve">Para la confección del plano de isoyetas, se usó como base la información contenida en el estudio Balance Hídrico de Chile (DGA, 1987). Para ello, se comparó la información de precipitaciones de estaciones DGA utilizadas en este estudio (periodo 1951/52 – 1980/81) respecto de los valores anuales al periodo de análisis contemplado en el presente estudio (1961/62 – 2010/11). </w:t>
      </w:r>
      <w:r>
        <w:rPr>
          <w:sz w:val="24"/>
        </w:rPr>
        <w:t>E</w:t>
      </w:r>
      <w:r>
        <w:t xml:space="preserve">n </w:t>
      </w:r>
      <w:smartTag w:uri="urn:schemas-microsoft-com:office:smarttags" w:element="PersonName">
        <w:smartTagPr>
          <w:attr w:name="ProductID" w:val="la ￼￼￼￼￼￼￼￼￼￼￼￼￼￼￼￼￼￼￼￼￼￼￼￼￼￼￼￼￼￼￼￼￼￼￼￼￼￼￼￼￼Tabla"/>
        </w:smartTagPr>
        <w:r>
          <w:t xml:space="preserve">la </w:t>
        </w:r>
        <w:r>
          <w:fldChar w:fldCharType="begin"/>
        </w:r>
        <w:r>
          <w:instrText xml:space="preserve"> REF _Ref336441407 \h </w:instrText>
        </w:r>
        <w:r>
          <w:fldChar w:fldCharType="separate"/>
        </w:r>
        <w:r w:rsidR="00264070" w:rsidRPr="00C624DE">
          <w:t>Tabla</w:t>
        </w:r>
      </w:smartTag>
      <w:r w:rsidR="00264070" w:rsidRPr="00C624DE">
        <w:t xml:space="preserve"> </w:t>
      </w:r>
      <w:r w:rsidR="00264070">
        <w:rPr>
          <w:noProof/>
        </w:rPr>
        <w:t>4</w:t>
      </w:r>
      <w:r w:rsidR="00264070">
        <w:t>.</w:t>
      </w:r>
      <w:r w:rsidR="00264070">
        <w:rPr>
          <w:noProof/>
        </w:rPr>
        <w:t>3</w:t>
      </w:r>
      <w:r>
        <w:fldChar w:fldCharType="end"/>
      </w:r>
      <w:r>
        <w:t xml:space="preserve"> se presenta una comparación entre las precipitaciones </w:t>
      </w:r>
      <w:r>
        <w:lastRenderedPageBreak/>
        <w:t>de las estaciones seleccionadas, observándose que en general las diferencias en el promedio de las series no superan el 10%, lo cual permite validar el plano de isoyetas contenidas en este estudio.</w:t>
      </w:r>
    </w:p>
    <w:p w:rsidR="00BA1DFE" w:rsidRDefault="00BA1DFE" w:rsidP="00B51B51">
      <w:pPr>
        <w:widowControl w:val="0"/>
      </w:pPr>
    </w:p>
    <w:p w:rsidR="00BA1DFE" w:rsidRDefault="00BA1DFE" w:rsidP="00B51B51">
      <w:pPr>
        <w:pStyle w:val="Epgrafe"/>
        <w:widowControl w:val="0"/>
      </w:pPr>
      <w:bookmarkStart w:id="186" w:name="_Ref336441407"/>
      <w:bookmarkStart w:id="187" w:name="_Ref336441424"/>
      <w:r w:rsidRPr="00C624DE">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bookmarkEnd w:id="186"/>
      <w:bookmarkEnd w:id="187"/>
      <w:r>
        <w:t xml:space="preserve"> Estaciones para Validar las Prec</w:t>
      </w:r>
      <w:r w:rsidR="00260360">
        <w:t>ipitaciones del Balance Hídrico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7"/>
        <w:gridCol w:w="2964"/>
        <w:gridCol w:w="2834"/>
        <w:gridCol w:w="1537"/>
      </w:tblGrid>
      <w:tr w:rsidR="00BA1DFE" w:rsidRPr="00663DB9">
        <w:tc>
          <w:tcPr>
            <w:tcW w:w="1040" w:type="pct"/>
            <w:shd w:val="clear" w:color="auto" w:fill="auto"/>
            <w:noWrap/>
            <w:vAlign w:val="center"/>
          </w:tcPr>
          <w:p w:rsidR="00BA1DFE" w:rsidRPr="00663DB9" w:rsidRDefault="00BA1DFE" w:rsidP="00B51B51">
            <w:pPr>
              <w:widowControl w:val="0"/>
              <w:jc w:val="center"/>
              <w:rPr>
                <w:bCs/>
                <w:color w:val="000000"/>
                <w:sz w:val="20"/>
                <w:szCs w:val="20"/>
                <w:lang w:val="es-CL" w:eastAsia="es-CL"/>
              </w:rPr>
            </w:pPr>
            <w:r w:rsidRPr="00663DB9">
              <w:rPr>
                <w:bCs/>
                <w:color w:val="000000"/>
                <w:sz w:val="20"/>
                <w:szCs w:val="20"/>
                <w:lang w:eastAsia="es-CL"/>
              </w:rPr>
              <w:t>Estación</w:t>
            </w:r>
          </w:p>
        </w:tc>
        <w:tc>
          <w:tcPr>
            <w:tcW w:w="1600" w:type="pct"/>
            <w:shd w:val="clear" w:color="auto" w:fill="auto"/>
            <w:vAlign w:val="bottom"/>
          </w:tcPr>
          <w:p w:rsidR="00BA1DFE" w:rsidRPr="00663DB9" w:rsidRDefault="00BA1DFE" w:rsidP="00B51B51">
            <w:pPr>
              <w:widowControl w:val="0"/>
              <w:jc w:val="center"/>
              <w:rPr>
                <w:bCs/>
                <w:color w:val="000000"/>
                <w:sz w:val="20"/>
                <w:szCs w:val="20"/>
                <w:lang w:val="es-CL" w:eastAsia="es-CL"/>
              </w:rPr>
            </w:pPr>
            <w:r w:rsidRPr="00663DB9">
              <w:rPr>
                <w:bCs/>
                <w:color w:val="000000"/>
                <w:sz w:val="20"/>
                <w:szCs w:val="20"/>
                <w:lang w:eastAsia="es-CL"/>
              </w:rPr>
              <w:t>Precipitación media anual BHCh 1951/52 – 1980/81</w:t>
            </w:r>
          </w:p>
        </w:tc>
        <w:tc>
          <w:tcPr>
            <w:tcW w:w="1530" w:type="pct"/>
            <w:shd w:val="clear" w:color="auto" w:fill="auto"/>
            <w:vAlign w:val="bottom"/>
          </w:tcPr>
          <w:p w:rsidR="00BA1DFE" w:rsidRPr="00663DB9" w:rsidRDefault="00BA1DFE" w:rsidP="00B51B51">
            <w:pPr>
              <w:widowControl w:val="0"/>
              <w:jc w:val="center"/>
              <w:rPr>
                <w:bCs/>
                <w:color w:val="000000"/>
                <w:sz w:val="20"/>
                <w:szCs w:val="20"/>
                <w:lang w:val="es-CL" w:eastAsia="es-CL"/>
              </w:rPr>
            </w:pPr>
            <w:r w:rsidRPr="00663DB9">
              <w:rPr>
                <w:bCs/>
                <w:color w:val="000000"/>
                <w:sz w:val="20"/>
                <w:szCs w:val="20"/>
                <w:lang w:eastAsia="es-CL"/>
              </w:rPr>
              <w:t>Precipitación media anual 1961/62 – 2010/11</w:t>
            </w:r>
          </w:p>
        </w:tc>
        <w:tc>
          <w:tcPr>
            <w:tcW w:w="830" w:type="pct"/>
            <w:shd w:val="clear" w:color="auto" w:fill="auto"/>
            <w:noWrap/>
            <w:vAlign w:val="center"/>
          </w:tcPr>
          <w:p w:rsidR="00BA1DFE" w:rsidRPr="00663DB9" w:rsidRDefault="00BA1DFE" w:rsidP="00B51B51">
            <w:pPr>
              <w:widowControl w:val="0"/>
              <w:jc w:val="center"/>
              <w:rPr>
                <w:bCs/>
                <w:color w:val="000000"/>
                <w:sz w:val="20"/>
                <w:szCs w:val="20"/>
                <w:lang w:val="es-CL" w:eastAsia="es-CL"/>
              </w:rPr>
            </w:pPr>
            <w:r w:rsidRPr="00663DB9">
              <w:rPr>
                <w:bCs/>
                <w:color w:val="000000"/>
                <w:sz w:val="20"/>
                <w:szCs w:val="20"/>
                <w:lang w:eastAsia="es-CL"/>
              </w:rPr>
              <w:t>Diferencia</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val="es-CL" w:eastAsia="es-CL"/>
              </w:rPr>
            </w:pPr>
            <w:r w:rsidRPr="00663DB9">
              <w:rPr>
                <w:color w:val="000000"/>
                <w:sz w:val="20"/>
                <w:szCs w:val="20"/>
                <w:lang w:eastAsia="es-CL"/>
              </w:rPr>
              <w:t>Rengo</w:t>
            </w:r>
          </w:p>
        </w:tc>
        <w:tc>
          <w:tcPr>
            <w:tcW w:w="160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521</w:t>
            </w:r>
          </w:p>
        </w:tc>
        <w:tc>
          <w:tcPr>
            <w:tcW w:w="15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w:t>
            </w:r>
            <w:r w:rsidR="00DE7551">
              <w:rPr>
                <w:color w:val="000000"/>
                <w:sz w:val="20"/>
                <w:szCs w:val="20"/>
                <w:lang w:eastAsia="es-CL"/>
              </w:rPr>
              <w:t>10</w:t>
            </w:r>
          </w:p>
        </w:tc>
        <w:tc>
          <w:tcPr>
            <w:tcW w:w="830" w:type="pct"/>
            <w:shd w:val="clear" w:color="auto" w:fill="auto"/>
            <w:noWrap/>
            <w:vAlign w:val="bottom"/>
          </w:tcPr>
          <w:p w:rsidR="00BA1DFE" w:rsidRPr="00663DB9" w:rsidRDefault="00DE7551" w:rsidP="00B51B51">
            <w:pPr>
              <w:widowControl w:val="0"/>
              <w:jc w:val="center"/>
              <w:rPr>
                <w:color w:val="000000"/>
                <w:sz w:val="20"/>
                <w:szCs w:val="20"/>
                <w:lang w:val="es-CL" w:eastAsia="es-CL"/>
              </w:rPr>
            </w:pPr>
            <w:r>
              <w:rPr>
                <w:color w:val="000000"/>
                <w:sz w:val="20"/>
                <w:szCs w:val="20"/>
                <w:lang w:eastAsia="es-CL"/>
              </w:rPr>
              <w:t>-2,11</w:t>
            </w:r>
            <w:r w:rsidR="00BA1DFE" w:rsidRPr="00663DB9">
              <w:rPr>
                <w:color w:val="000000"/>
                <w:sz w:val="20"/>
                <w:szCs w:val="20"/>
                <w:lang w:eastAsia="es-CL"/>
              </w:rPr>
              <w:t>%</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val="es-CL" w:eastAsia="es-CL"/>
              </w:rPr>
            </w:pPr>
            <w:r w:rsidRPr="00663DB9">
              <w:rPr>
                <w:color w:val="000000"/>
                <w:sz w:val="20"/>
                <w:szCs w:val="20"/>
                <w:lang w:eastAsia="es-CL"/>
              </w:rPr>
              <w:t>San Fernando</w:t>
            </w:r>
          </w:p>
        </w:tc>
        <w:tc>
          <w:tcPr>
            <w:tcW w:w="160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705</w:t>
            </w:r>
          </w:p>
        </w:tc>
        <w:tc>
          <w:tcPr>
            <w:tcW w:w="15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73</w:t>
            </w:r>
            <w:r w:rsidR="00DE7551">
              <w:rPr>
                <w:color w:val="000000"/>
                <w:sz w:val="20"/>
                <w:szCs w:val="20"/>
                <w:lang w:eastAsia="es-CL"/>
              </w:rPr>
              <w:t>1</w:t>
            </w:r>
          </w:p>
        </w:tc>
        <w:tc>
          <w:tcPr>
            <w:tcW w:w="830" w:type="pct"/>
            <w:shd w:val="clear" w:color="auto" w:fill="auto"/>
            <w:noWrap/>
            <w:vAlign w:val="bottom"/>
          </w:tcPr>
          <w:p w:rsidR="00BA1DFE" w:rsidRPr="00663DB9" w:rsidRDefault="00C67668" w:rsidP="00B51B51">
            <w:pPr>
              <w:widowControl w:val="0"/>
              <w:jc w:val="center"/>
              <w:rPr>
                <w:color w:val="000000"/>
                <w:sz w:val="20"/>
                <w:szCs w:val="20"/>
                <w:lang w:val="es-CL" w:eastAsia="es-CL"/>
              </w:rPr>
            </w:pPr>
            <w:r>
              <w:rPr>
                <w:color w:val="000000"/>
                <w:sz w:val="20"/>
                <w:szCs w:val="20"/>
                <w:lang w:eastAsia="es-CL"/>
              </w:rPr>
              <w:t>3,69</w:t>
            </w:r>
            <w:r w:rsidR="00BA1DFE" w:rsidRPr="00663DB9">
              <w:rPr>
                <w:color w:val="000000"/>
                <w:sz w:val="20"/>
                <w:szCs w:val="20"/>
                <w:lang w:eastAsia="es-CL"/>
              </w:rPr>
              <w:t>%</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val="es-CL" w:eastAsia="es-CL"/>
              </w:rPr>
            </w:pPr>
            <w:r w:rsidRPr="00663DB9">
              <w:rPr>
                <w:color w:val="000000"/>
                <w:sz w:val="20"/>
                <w:szCs w:val="20"/>
                <w:lang w:eastAsia="es-CL"/>
              </w:rPr>
              <w:t>La Rufina</w:t>
            </w:r>
          </w:p>
        </w:tc>
        <w:tc>
          <w:tcPr>
            <w:tcW w:w="160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1058</w:t>
            </w:r>
          </w:p>
        </w:tc>
        <w:tc>
          <w:tcPr>
            <w:tcW w:w="15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1122</w:t>
            </w:r>
          </w:p>
        </w:tc>
        <w:tc>
          <w:tcPr>
            <w:tcW w:w="8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6,05%</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val="es-CL" w:eastAsia="es-CL"/>
              </w:rPr>
            </w:pPr>
            <w:r w:rsidRPr="00663DB9">
              <w:rPr>
                <w:color w:val="000000"/>
                <w:sz w:val="20"/>
                <w:szCs w:val="20"/>
                <w:lang w:eastAsia="es-CL"/>
              </w:rPr>
              <w:t>Viña Vieja</w:t>
            </w:r>
          </w:p>
        </w:tc>
        <w:tc>
          <w:tcPr>
            <w:tcW w:w="160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546</w:t>
            </w:r>
          </w:p>
        </w:tc>
        <w:tc>
          <w:tcPr>
            <w:tcW w:w="15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587</w:t>
            </w:r>
          </w:p>
        </w:tc>
        <w:tc>
          <w:tcPr>
            <w:tcW w:w="8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7,51%</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val="es-CL" w:eastAsia="es-CL"/>
              </w:rPr>
            </w:pPr>
            <w:r w:rsidRPr="00663DB9">
              <w:rPr>
                <w:color w:val="000000"/>
                <w:sz w:val="20"/>
                <w:szCs w:val="20"/>
                <w:lang w:eastAsia="es-CL"/>
              </w:rPr>
              <w:t>Rapel</w:t>
            </w:r>
          </w:p>
        </w:tc>
        <w:tc>
          <w:tcPr>
            <w:tcW w:w="160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558</w:t>
            </w:r>
          </w:p>
        </w:tc>
        <w:tc>
          <w:tcPr>
            <w:tcW w:w="15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556</w:t>
            </w:r>
          </w:p>
        </w:tc>
        <w:tc>
          <w:tcPr>
            <w:tcW w:w="830" w:type="pct"/>
            <w:shd w:val="clear" w:color="auto" w:fill="auto"/>
            <w:noWrap/>
            <w:vAlign w:val="bottom"/>
          </w:tcPr>
          <w:p w:rsidR="00BA1DFE" w:rsidRPr="00663DB9" w:rsidRDefault="00BA1DFE" w:rsidP="00B51B51">
            <w:pPr>
              <w:widowControl w:val="0"/>
              <w:jc w:val="center"/>
              <w:rPr>
                <w:color w:val="000000"/>
                <w:sz w:val="20"/>
                <w:szCs w:val="20"/>
                <w:lang w:val="es-CL" w:eastAsia="es-CL"/>
              </w:rPr>
            </w:pPr>
            <w:r w:rsidRPr="00663DB9">
              <w:rPr>
                <w:color w:val="000000"/>
                <w:sz w:val="20"/>
                <w:szCs w:val="20"/>
                <w:lang w:eastAsia="es-CL"/>
              </w:rPr>
              <w:t>-0,36%</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eastAsia="es-CL"/>
              </w:rPr>
            </w:pPr>
            <w:r w:rsidRPr="00663DB9">
              <w:rPr>
                <w:color w:val="000000"/>
                <w:sz w:val="20"/>
                <w:szCs w:val="20"/>
                <w:lang w:eastAsia="es-CL"/>
              </w:rPr>
              <w:t>Pichilemu</w:t>
            </w:r>
          </w:p>
        </w:tc>
        <w:tc>
          <w:tcPr>
            <w:tcW w:w="160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541</w:t>
            </w:r>
          </w:p>
        </w:tc>
        <w:tc>
          <w:tcPr>
            <w:tcW w:w="15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526</w:t>
            </w:r>
          </w:p>
        </w:tc>
        <w:tc>
          <w:tcPr>
            <w:tcW w:w="830" w:type="pct"/>
            <w:shd w:val="clear" w:color="auto" w:fill="auto"/>
            <w:noWrap/>
            <w:vAlign w:val="bottom"/>
          </w:tcPr>
          <w:p w:rsidR="00BA1DFE" w:rsidRPr="00663DB9" w:rsidRDefault="00C67668" w:rsidP="00B51B51">
            <w:pPr>
              <w:widowControl w:val="0"/>
              <w:jc w:val="center"/>
              <w:rPr>
                <w:color w:val="000000"/>
                <w:sz w:val="20"/>
                <w:szCs w:val="20"/>
                <w:lang w:eastAsia="es-CL"/>
              </w:rPr>
            </w:pPr>
            <w:r>
              <w:rPr>
                <w:color w:val="000000"/>
                <w:sz w:val="20"/>
                <w:szCs w:val="20"/>
                <w:lang w:eastAsia="es-CL"/>
              </w:rPr>
              <w:t>-2,85%</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eastAsia="es-CL"/>
              </w:rPr>
            </w:pPr>
            <w:r w:rsidRPr="00663DB9">
              <w:rPr>
                <w:color w:val="000000"/>
                <w:sz w:val="20"/>
                <w:szCs w:val="20"/>
                <w:lang w:eastAsia="es-CL"/>
              </w:rPr>
              <w:t>Central las Nieves</w:t>
            </w:r>
          </w:p>
        </w:tc>
        <w:tc>
          <w:tcPr>
            <w:tcW w:w="160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815</w:t>
            </w:r>
          </w:p>
        </w:tc>
        <w:tc>
          <w:tcPr>
            <w:tcW w:w="15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798</w:t>
            </w:r>
          </w:p>
        </w:tc>
        <w:tc>
          <w:tcPr>
            <w:tcW w:w="8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-2,09%</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eastAsia="es-CL"/>
              </w:rPr>
            </w:pPr>
            <w:r w:rsidRPr="00663DB9">
              <w:rPr>
                <w:color w:val="000000"/>
                <w:sz w:val="20"/>
                <w:szCs w:val="20"/>
                <w:lang w:eastAsia="es-CL"/>
              </w:rPr>
              <w:t>Convento Viejo</w:t>
            </w:r>
          </w:p>
        </w:tc>
        <w:tc>
          <w:tcPr>
            <w:tcW w:w="160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704</w:t>
            </w:r>
          </w:p>
        </w:tc>
        <w:tc>
          <w:tcPr>
            <w:tcW w:w="15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686.</w:t>
            </w:r>
          </w:p>
        </w:tc>
        <w:tc>
          <w:tcPr>
            <w:tcW w:w="8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-2,51%</w:t>
            </w:r>
          </w:p>
        </w:tc>
      </w:tr>
      <w:tr w:rsidR="00BA1DFE" w:rsidRPr="00663DB9">
        <w:tc>
          <w:tcPr>
            <w:tcW w:w="1040" w:type="pct"/>
            <w:shd w:val="clear" w:color="auto" w:fill="auto"/>
            <w:noWrap/>
            <w:vAlign w:val="bottom"/>
          </w:tcPr>
          <w:p w:rsidR="00BA1DFE" w:rsidRPr="00663DB9" w:rsidRDefault="00BA1DFE" w:rsidP="00B51B51">
            <w:pPr>
              <w:widowControl w:val="0"/>
              <w:rPr>
                <w:color w:val="000000"/>
                <w:sz w:val="20"/>
                <w:szCs w:val="20"/>
                <w:lang w:eastAsia="es-CL"/>
              </w:rPr>
            </w:pPr>
            <w:r w:rsidRPr="00663DB9">
              <w:rPr>
                <w:color w:val="000000"/>
                <w:sz w:val="20"/>
                <w:szCs w:val="20"/>
                <w:lang w:eastAsia="es-CL"/>
              </w:rPr>
              <w:t xml:space="preserve">Rancagua </w:t>
            </w:r>
          </w:p>
        </w:tc>
        <w:tc>
          <w:tcPr>
            <w:tcW w:w="160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406</w:t>
            </w:r>
          </w:p>
        </w:tc>
        <w:tc>
          <w:tcPr>
            <w:tcW w:w="15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422</w:t>
            </w:r>
          </w:p>
        </w:tc>
        <w:tc>
          <w:tcPr>
            <w:tcW w:w="830" w:type="pct"/>
            <w:shd w:val="clear" w:color="auto" w:fill="auto"/>
            <w:noWrap/>
            <w:vAlign w:val="bottom"/>
          </w:tcPr>
          <w:p w:rsidR="00BA1DFE" w:rsidRPr="00663DB9" w:rsidRDefault="00BA1DFE" w:rsidP="00B51B51">
            <w:pPr>
              <w:widowControl w:val="0"/>
              <w:jc w:val="center"/>
              <w:rPr>
                <w:color w:val="000000"/>
                <w:sz w:val="20"/>
                <w:szCs w:val="20"/>
                <w:lang w:eastAsia="es-CL"/>
              </w:rPr>
            </w:pPr>
            <w:r w:rsidRPr="00663DB9">
              <w:rPr>
                <w:color w:val="000000"/>
                <w:sz w:val="20"/>
                <w:szCs w:val="20"/>
                <w:lang w:eastAsia="es-CL"/>
              </w:rPr>
              <w:t>3,94%</w:t>
            </w:r>
          </w:p>
        </w:tc>
      </w:tr>
    </w:tbl>
    <w:p w:rsidR="00BA1DFE" w:rsidRPr="00807A7A" w:rsidRDefault="00BA1DFE" w:rsidP="00B51B51">
      <w:pPr>
        <w:widowControl w:val="0"/>
        <w:rPr>
          <w:spacing w:val="-3"/>
          <w:sz w:val="6"/>
          <w:szCs w:val="16"/>
        </w:rPr>
      </w:pPr>
    </w:p>
    <w:p w:rsidR="00807A7A" w:rsidRDefault="00807A7A" w:rsidP="00807A7A">
      <w:bookmarkStart w:id="188" w:name="_Ref336812589"/>
    </w:p>
    <w:p w:rsidR="00CB6284" w:rsidRPr="00CB6284" w:rsidRDefault="00CB6284" w:rsidP="00CB6284">
      <w:pPr>
        <w:widowControl w:val="0"/>
        <w:rPr>
          <w:spacing w:val="-3"/>
        </w:rPr>
      </w:pPr>
      <w:r>
        <w:rPr>
          <w:spacing w:val="-3"/>
        </w:rPr>
        <w:t xml:space="preserve">En </w:t>
      </w:r>
      <w:smartTag w:uri="urn:schemas-microsoft-com:office:smarttags" w:element="PersonName">
        <w:smartTagPr>
          <w:attr w:name="ProductID" w:val="la ￼￼￼￼￼￼￼￼￼￼￼￼￼￼￼￼￼￼￼￼￼￼￼￼￼Figura"/>
        </w:smartTagPr>
        <w:r>
          <w:rPr>
            <w:spacing w:val="-3"/>
          </w:rPr>
          <w:t>la Figura</w:t>
        </w:r>
      </w:smartTag>
      <w:r>
        <w:rPr>
          <w:spacing w:val="-3"/>
        </w:rPr>
        <w:t xml:space="preserve"> 4.3 se muestran los planos de isoyetas asociados a esta región.</w:t>
      </w:r>
    </w:p>
    <w:p w:rsidR="00CB6284" w:rsidRDefault="00CB6284" w:rsidP="00807A7A"/>
    <w:p w:rsidR="00260360" w:rsidRPr="00E7455D" w:rsidRDefault="00260360" w:rsidP="00B51B51">
      <w:pPr>
        <w:pStyle w:val="Ttulo2"/>
        <w:keepNext w:val="0"/>
      </w:pPr>
      <w:bookmarkStart w:id="189" w:name="_Toc344391805"/>
      <w:r>
        <w:t>Fluviometrí</w:t>
      </w:r>
      <w:r w:rsidRPr="00E7455D">
        <w:t>a</w:t>
      </w:r>
      <w:bookmarkEnd w:id="189"/>
    </w:p>
    <w:p w:rsidR="00260360" w:rsidRPr="00807A7A" w:rsidRDefault="00260360" w:rsidP="00B51B51">
      <w:pPr>
        <w:widowControl w:val="0"/>
        <w:rPr>
          <w:b/>
          <w:bCs/>
          <w:sz w:val="16"/>
        </w:rPr>
      </w:pPr>
    </w:p>
    <w:p w:rsidR="00260360" w:rsidRDefault="00260360" w:rsidP="00B51B51">
      <w:pPr>
        <w:widowControl w:val="0"/>
      </w:pPr>
      <w:r>
        <w:t>En este acápite se presenta una estimación de los recursos hídricos superficiales para las diversas subcuencas de interés, definidos en la sexta región del país. El análisis que se desarrolla, considera la obtención de series de caudales a nivel medio mensual, para el periodo de 50 años comprendidos entre 1961/62 – 2010/11.</w:t>
      </w:r>
    </w:p>
    <w:p w:rsidR="00260360" w:rsidRDefault="00260360" w:rsidP="00B51B51">
      <w:pPr>
        <w:widowControl w:val="0"/>
      </w:pPr>
    </w:p>
    <w:p w:rsidR="007508CE" w:rsidRDefault="00260360" w:rsidP="00B51B51">
      <w:pPr>
        <w:widowControl w:val="0"/>
      </w:pPr>
      <w:r>
        <w:t xml:space="preserve">El análisis se desarrollará considerando como base la información de caudales registrados en las estaciones fluviométricas controladas por </w:t>
      </w:r>
      <w:smartTag w:uri="urn:schemas-microsoft-com:office:smarttags" w:element="PersonName">
        <w:smartTagPr>
          <w:attr w:name="ProductID" w:val="la DGA. Dicho"/>
        </w:smartTagPr>
        <w:r>
          <w:t>la DGA. Dicho</w:t>
        </w:r>
      </w:smartTag>
      <w:r>
        <w:t xml:space="preserve"> análisis se complementará con la información de precipitacion</w:t>
      </w:r>
      <w:r w:rsidR="009B501E">
        <w:t>es según se indicó en el punto 4</w:t>
      </w:r>
      <w:r>
        <w:t>.2 anterior</w:t>
      </w:r>
    </w:p>
    <w:p w:rsidR="007508CE" w:rsidRDefault="007508CE" w:rsidP="00B51B51">
      <w:pPr>
        <w:widowControl w:val="0"/>
      </w:pPr>
    </w:p>
    <w:p w:rsidR="00260360" w:rsidRDefault="00260360" w:rsidP="00B51B51">
      <w:pPr>
        <w:widowControl w:val="0"/>
      </w:pPr>
      <w:r>
        <w:t>Para efectos de inferir las series de caudales, se consideraron los siguientes casos:</w:t>
      </w:r>
    </w:p>
    <w:p w:rsidR="00260360" w:rsidRDefault="00260360" w:rsidP="00B51B51">
      <w:pPr>
        <w:widowControl w:val="0"/>
      </w:pPr>
    </w:p>
    <w:p w:rsidR="007F722E" w:rsidRPr="00663DB9" w:rsidRDefault="00260360" w:rsidP="00145762">
      <w:pPr>
        <w:pStyle w:val="NormalSangra"/>
        <w:numPr>
          <w:ilvl w:val="0"/>
          <w:numId w:val="1"/>
        </w:numPr>
        <w:tabs>
          <w:tab w:val="clear" w:pos="870"/>
        </w:tabs>
        <w:ind w:left="709" w:hanging="709"/>
        <w:rPr>
          <w:sz w:val="22"/>
          <w:szCs w:val="22"/>
        </w:rPr>
      </w:pPr>
      <w:r w:rsidRPr="00663DB9">
        <w:rPr>
          <w:sz w:val="22"/>
          <w:szCs w:val="22"/>
        </w:rPr>
        <w:t>Cuencas que poseen control fluviométrico, en la cuales las series para los puntos de interés se obtuvieron mediante transposición de caudales, considerando rendimientos específicos por área y precipitación.</w:t>
      </w:r>
    </w:p>
    <w:p w:rsidR="00807A7A" w:rsidRPr="00663DB9" w:rsidRDefault="00807A7A" w:rsidP="00145762">
      <w:pPr>
        <w:pStyle w:val="NormalSangra"/>
        <w:numPr>
          <w:ilvl w:val="0"/>
          <w:numId w:val="1"/>
        </w:numPr>
        <w:tabs>
          <w:tab w:val="clear" w:pos="870"/>
        </w:tabs>
        <w:ind w:left="709" w:hanging="709"/>
        <w:rPr>
          <w:sz w:val="22"/>
          <w:szCs w:val="22"/>
        </w:rPr>
      </w:pPr>
      <w:r w:rsidRPr="00663DB9">
        <w:rPr>
          <w:sz w:val="22"/>
          <w:szCs w:val="22"/>
        </w:rPr>
        <w:t>Cuencas sin control fluviométrico, en donde las series de caudales se estimaron mediante el empleo de un modelo de tipo precipitación - escorrentía, previamente calibrado en otro punto con registro de caudales y empleando como base las series de precipitaciones mensuales.</w:t>
      </w:r>
    </w:p>
    <w:p w:rsidR="00807A7A" w:rsidRDefault="00807A7A" w:rsidP="00807A7A">
      <w:pPr>
        <w:widowControl w:val="0"/>
        <w:ind w:left="360"/>
      </w:pPr>
    </w:p>
    <w:p w:rsidR="00807A7A" w:rsidRDefault="00807A7A" w:rsidP="00807A7A">
      <w:pPr>
        <w:widowControl w:val="0"/>
      </w:pPr>
      <w:r>
        <w:t>Se debe hacer notar que el análisis se desarrolla considerando las series de caudales observadas, previamente rellenadas y extendidas. Al tratarse de series observadas, el análisis a desarrollar tiene interiorizada la condición actual de extracciones de la cuenca.</w:t>
      </w:r>
    </w:p>
    <w:p w:rsidR="00CB6284" w:rsidRDefault="00CB6284" w:rsidP="00807A7A">
      <w:pPr>
        <w:widowControl w:val="0"/>
      </w:pPr>
    </w:p>
    <w:p w:rsidR="00CB6284" w:rsidRDefault="00CB6284" w:rsidP="00CB6284">
      <w:pPr>
        <w:widowControl w:val="0"/>
      </w:pPr>
      <w:r>
        <w:t>Como excepción, no se consideran en la confección de las series de tiempo los aportes del canal Teno – Chimbarongo, los cuales se descontaron al tratarse de un trasvase de cuencas.</w:t>
      </w:r>
    </w:p>
    <w:p w:rsidR="00CB6284" w:rsidRPr="007F722E" w:rsidRDefault="00CB6284" w:rsidP="00807A7A">
      <w:pPr>
        <w:widowControl w:val="0"/>
      </w:pPr>
    </w:p>
    <w:p w:rsidR="00BA1DFE" w:rsidRDefault="00260360" w:rsidP="00B51B51">
      <w:pPr>
        <w:pStyle w:val="Epgrafe"/>
        <w:widowControl w:val="0"/>
      </w:pPr>
      <w:bookmarkStart w:id="190" w:name="_Ref336940457"/>
      <w:bookmarkStart w:id="191" w:name="_Ref336940464"/>
      <w:r>
        <w:br w:type="page"/>
      </w:r>
      <w:r w:rsidR="00BA1DFE">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w:t>
      </w:r>
      <w:r w:rsidR="00951FEC">
        <w:fldChar w:fldCharType="end"/>
      </w:r>
      <w:bookmarkEnd w:id="188"/>
      <w:bookmarkEnd w:id="191"/>
      <w:r w:rsidR="00BA1DFE">
        <w:t xml:space="preserve"> Isoyetas Región del Libertador Bernardo O’ Higgins</w:t>
      </w:r>
      <w:bookmarkEnd w:id="190"/>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Default="007F722E" w:rsidP="00B51B51">
      <w:pPr>
        <w:widowControl w:val="0"/>
      </w:pPr>
    </w:p>
    <w:p w:rsidR="007F722E" w:rsidRPr="007F722E" w:rsidRDefault="007F722E" w:rsidP="00B51B51">
      <w:pPr>
        <w:widowControl w:val="0"/>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BA1DFE" w:rsidRDefault="00BA1DF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7F722E" w:rsidRDefault="007F722E" w:rsidP="00B51B51">
      <w:pPr>
        <w:widowControl w:val="0"/>
        <w:rPr>
          <w:spacing w:val="-3"/>
        </w:rPr>
      </w:pPr>
    </w:p>
    <w:p w:rsidR="00BA1DFE" w:rsidRDefault="00BA1DFE" w:rsidP="00B51B51">
      <w:pPr>
        <w:widowControl w:val="0"/>
        <w:rPr>
          <w:spacing w:val="-3"/>
        </w:rPr>
      </w:pPr>
    </w:p>
    <w:p w:rsidR="004D2761" w:rsidRDefault="004D2761" w:rsidP="00B51B51">
      <w:pPr>
        <w:widowControl w:val="0"/>
        <w:rPr>
          <w:spacing w:val="-3"/>
        </w:rPr>
      </w:pPr>
    </w:p>
    <w:p w:rsidR="004D2761" w:rsidRDefault="004D2761" w:rsidP="00B51B51">
      <w:pPr>
        <w:widowControl w:val="0"/>
        <w:rPr>
          <w:spacing w:val="-3"/>
        </w:rPr>
      </w:pPr>
    </w:p>
    <w:p w:rsidR="00BA1DFE" w:rsidRDefault="00BA1DFE" w:rsidP="00B51B51">
      <w:pPr>
        <w:widowControl w:val="0"/>
      </w:pPr>
      <w:r>
        <w:t>.</w:t>
      </w:r>
    </w:p>
    <w:p w:rsidR="00BA1DFE" w:rsidRDefault="00BA1DFE" w:rsidP="00B51B51">
      <w:pPr>
        <w:widowControl w:val="0"/>
      </w:pPr>
    </w:p>
    <w:p w:rsidR="00BA1DFE" w:rsidRDefault="00260360" w:rsidP="00807A7A">
      <w:pPr>
        <w:pStyle w:val="Ttulo3"/>
      </w:pPr>
      <w:bookmarkStart w:id="192" w:name="_Toc344391806"/>
      <w:r>
        <w:lastRenderedPageBreak/>
        <w:t>Relleno de E</w:t>
      </w:r>
      <w:r w:rsidR="00BA1DFE">
        <w:t xml:space="preserve">stadísticas </w:t>
      </w:r>
      <w:r>
        <w:t>B</w:t>
      </w:r>
      <w:r w:rsidR="00BA1DFE">
        <w:t>ase</w:t>
      </w:r>
      <w:bookmarkEnd w:id="192"/>
    </w:p>
    <w:p w:rsidR="00BA1DFE" w:rsidRDefault="00BA1DFE" w:rsidP="00B51B51">
      <w:pPr>
        <w:widowControl w:val="0"/>
      </w:pPr>
    </w:p>
    <w:p w:rsidR="00BA1DFE" w:rsidRDefault="00BA1DFE" w:rsidP="00B51B51">
      <w:pPr>
        <w:widowControl w:val="0"/>
      </w:pPr>
      <w:r w:rsidRPr="00515729">
        <w:t>Para obtener los caudales medios mensuales en los puntos de interés</w:t>
      </w:r>
      <w:r w:rsidR="004D2761">
        <w:t>,</w:t>
      </w:r>
      <w:r w:rsidRPr="00515729">
        <w:t xml:space="preserve"> se utilizó el registro fluviométrico de las estaciones que contaban con el mayor número de datos para el periodo de análisis (1961/62 - 2010/11). Los datos de caudal faltantes en la serie de tiempo fueron rellenados por correlación con estaciones fluviométricas de régimen similar. Las estaciones u</w:t>
      </w:r>
      <w:r w:rsidR="00C31A9D">
        <w:t>tilizadas se muestran</w:t>
      </w:r>
      <w:r w:rsidRPr="00515729">
        <w:t xml:space="preserve"> en </w:t>
      </w:r>
      <w:smartTag w:uri="urn:schemas-microsoft-com:office:smarttags" w:element="PersonName">
        <w:smartTagPr>
          <w:attr w:name="ProductID" w:val="la ￼￼￼￼￼￼￼￼￼￼￼￼￼￼￼￼￼￼￼￼￼￼￼￼￼￼￼￼￼￼￼￼￼￼￼￼￼￼￼￼￼Tabla"/>
        </w:smartTagPr>
        <w:r w:rsidRPr="00515729">
          <w:t xml:space="preserve">la </w:t>
        </w:r>
        <w:r w:rsidRPr="00515729">
          <w:fldChar w:fldCharType="begin"/>
        </w:r>
        <w:r w:rsidRPr="00515729">
          <w:instrText xml:space="preserve"> REF _Ref336441451 \h </w:instrText>
        </w:r>
        <w:r w:rsidRPr="00515729">
          <w:instrText xml:space="preserve"> \* MERGEFORMAT </w:instrText>
        </w:r>
        <w:r w:rsidRPr="00515729">
          <w:fldChar w:fldCharType="separate"/>
        </w:r>
        <w:r w:rsidR="00264070" w:rsidRPr="00515729">
          <w:t>Tabla</w:t>
        </w:r>
      </w:smartTag>
      <w:r w:rsidR="00264070" w:rsidRPr="00515729">
        <w:t xml:space="preserve"> </w:t>
      </w:r>
      <w:r w:rsidR="00264070">
        <w:rPr>
          <w:noProof/>
        </w:rPr>
        <w:t>4.4</w:t>
      </w:r>
      <w:r w:rsidRPr="00515729">
        <w:fldChar w:fldCharType="end"/>
      </w:r>
      <w:r w:rsidRPr="00515729">
        <w:t>.</w:t>
      </w:r>
    </w:p>
    <w:p w:rsidR="00BA1DFE" w:rsidRDefault="00BA1DFE" w:rsidP="00B51B51">
      <w:pPr>
        <w:widowControl w:val="0"/>
      </w:pPr>
    </w:p>
    <w:p w:rsidR="00BA1DFE" w:rsidRDefault="00CB6284" w:rsidP="00B51B51">
      <w:pPr>
        <w:widowControl w:val="0"/>
      </w:pPr>
      <w:r>
        <w:t>En el Anexo 2</w:t>
      </w:r>
      <w:r w:rsidR="00BA1DFE">
        <w:t>.</w:t>
      </w:r>
      <w:r w:rsidR="00537747">
        <w:t>4</w:t>
      </w:r>
      <w:r w:rsidR="00BA1DFE">
        <w:t xml:space="preserve"> se presenta la información DGA orig</w:t>
      </w:r>
      <w:r>
        <w:t>inal, mientras que en el Anexo 2</w:t>
      </w:r>
      <w:r w:rsidR="00BA1DFE">
        <w:t>.</w:t>
      </w:r>
      <w:r w:rsidR="00537747">
        <w:t>5</w:t>
      </w:r>
      <w:r w:rsidR="00BA1DFE">
        <w:t xml:space="preserve"> se presenta </w:t>
      </w:r>
      <w:r w:rsidR="00537747">
        <w:t>los caudales correlacionados</w:t>
      </w:r>
      <w:r>
        <w:t>. Adicionalmente en el Anexo 2</w:t>
      </w:r>
      <w:r w:rsidR="00BA1DFE">
        <w:t>.</w:t>
      </w:r>
      <w:r w:rsidR="00537747">
        <w:t>6</w:t>
      </w:r>
      <w:r w:rsidR="004D2761">
        <w:t xml:space="preserve"> se presentan las series de caudales medios mensuales corregidos, rellenados y extendidos de las estaciones fluviométricas consideradas en este estudio.</w:t>
      </w:r>
    </w:p>
    <w:p w:rsidR="00BA1DFE" w:rsidRPr="00515729" w:rsidRDefault="00BA1DFE" w:rsidP="00B51B51">
      <w:pPr>
        <w:widowControl w:val="0"/>
      </w:pPr>
    </w:p>
    <w:p w:rsidR="00BA1DFE" w:rsidRPr="00515729" w:rsidRDefault="00BA1DFE" w:rsidP="00B51B51">
      <w:pPr>
        <w:pStyle w:val="Epgrafe"/>
        <w:widowControl w:val="0"/>
      </w:pPr>
      <w:bookmarkStart w:id="193" w:name="_Ref336441451"/>
      <w:r w:rsidRPr="00515729">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bookmarkEnd w:id="193"/>
      <w:r w:rsidRPr="00515729">
        <w:t xml:space="preserve"> </w:t>
      </w:r>
      <w:r>
        <w:t>Estaciones Fluviométricas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40"/>
        <w:gridCol w:w="6422"/>
      </w:tblGrid>
      <w:tr w:rsidR="00BA1DFE" w:rsidRPr="00CB6284">
        <w:trPr>
          <w:trHeight w:val="439"/>
          <w:tblHeader/>
        </w:trPr>
        <w:tc>
          <w:tcPr>
            <w:tcW w:w="1533" w:type="pct"/>
            <w:shd w:val="clear" w:color="auto" w:fill="auto"/>
            <w:noWrap/>
            <w:vAlign w:val="center"/>
          </w:tcPr>
          <w:p w:rsidR="00BA1DFE" w:rsidRPr="00CB6284" w:rsidRDefault="00BA1DFE" w:rsidP="00B51B51">
            <w:pPr>
              <w:widowControl w:val="0"/>
              <w:jc w:val="center"/>
              <w:rPr>
                <w:sz w:val="20"/>
                <w:szCs w:val="20"/>
              </w:rPr>
            </w:pPr>
            <w:r w:rsidRPr="00CB6284">
              <w:rPr>
                <w:sz w:val="20"/>
                <w:szCs w:val="20"/>
              </w:rPr>
              <w:t>Estación Rellenada</w:t>
            </w:r>
          </w:p>
        </w:tc>
        <w:tc>
          <w:tcPr>
            <w:tcW w:w="3467" w:type="pct"/>
            <w:shd w:val="clear" w:color="auto" w:fill="auto"/>
            <w:noWrap/>
            <w:vAlign w:val="center"/>
          </w:tcPr>
          <w:p w:rsidR="00BA1DFE" w:rsidRPr="00CB6284" w:rsidRDefault="00BA1DFE" w:rsidP="00B51B51">
            <w:pPr>
              <w:widowControl w:val="0"/>
              <w:jc w:val="center"/>
              <w:rPr>
                <w:sz w:val="20"/>
                <w:szCs w:val="20"/>
              </w:rPr>
            </w:pPr>
            <w:r w:rsidRPr="00CB6284">
              <w:rPr>
                <w:sz w:val="20"/>
                <w:szCs w:val="20"/>
              </w:rPr>
              <w:t>Metodología</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Río Cachapoal en Puente Arqueado</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 xml:space="preserve">Correlación Río Cachapoal en Puente Termas (E) </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Río Tinguiririca en Bajo los Briones</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Estudio Actualización Gran Embalse Convento Viejo ( R)</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Río Claro en el Valle</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Estudio Actualización Gran Embalse Convento Viejo (E, R).</w:t>
            </w:r>
          </w:p>
          <w:p w:rsidR="00BA1DFE" w:rsidRPr="00CB6284" w:rsidRDefault="00BA1DFE" w:rsidP="00B51B51">
            <w:pPr>
              <w:widowControl w:val="0"/>
              <w:rPr>
                <w:sz w:val="20"/>
                <w:szCs w:val="20"/>
              </w:rPr>
            </w:pPr>
            <w:r w:rsidRPr="00CB6284">
              <w:rPr>
                <w:sz w:val="20"/>
                <w:szCs w:val="20"/>
              </w:rPr>
              <w:t>Correlación Río Tinguiririca en Bajo Los Briones (R) May – Dic.</w:t>
            </w:r>
          </w:p>
          <w:p w:rsidR="00BA1DFE" w:rsidRPr="00CB6284" w:rsidRDefault="00BA1DFE" w:rsidP="00B51B51">
            <w:pPr>
              <w:widowControl w:val="0"/>
              <w:rPr>
                <w:sz w:val="20"/>
                <w:szCs w:val="20"/>
              </w:rPr>
            </w:pPr>
            <w:r w:rsidRPr="00CB6284">
              <w:rPr>
                <w:sz w:val="20"/>
                <w:szCs w:val="20"/>
              </w:rPr>
              <w:t>Porcentaje respecto al promedio anual (R) Ene – Abr</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 xml:space="preserve">Río Tinguiririca en Los Olmos </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Correlación Río Tinguiririca en Bajo Los Briones (E, R)</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Estero Alhué en Quilamuta</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Extensión 1961-1969 según estudio “Análisis Estadístico de Caudales en los Ríos de Chile”.</w:t>
            </w:r>
          </w:p>
          <w:p w:rsidR="00BA1DFE" w:rsidRPr="00CB6284" w:rsidRDefault="00BA1DFE" w:rsidP="00B51B51">
            <w:pPr>
              <w:widowControl w:val="0"/>
              <w:rPr>
                <w:sz w:val="20"/>
                <w:szCs w:val="20"/>
              </w:rPr>
            </w:pPr>
            <w:r w:rsidRPr="00CB6284">
              <w:rPr>
                <w:sz w:val="20"/>
                <w:szCs w:val="20"/>
              </w:rPr>
              <w:t xml:space="preserve">Correlación con estación Estero Puangue en Boquerón (R). </w:t>
            </w:r>
          </w:p>
          <w:p w:rsidR="00BA1DFE" w:rsidRPr="00CB6284" w:rsidRDefault="00BA1DFE" w:rsidP="00B51B51">
            <w:pPr>
              <w:widowControl w:val="0"/>
              <w:rPr>
                <w:sz w:val="20"/>
                <w:szCs w:val="20"/>
              </w:rPr>
            </w:pPr>
            <w:r w:rsidRPr="00CB6284">
              <w:rPr>
                <w:sz w:val="20"/>
                <w:szCs w:val="20"/>
              </w:rPr>
              <w:t>Porcentaje respecto al promedio anual (R ) Ene – Abr</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Río Rapel en Rapel</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Correlación con la suma de caudales de las estaciones del Río Cachapoal en Puente Arqueado, Río Tinguiririca en Los Olmos y Estero Alhué en Quilamuta (E).</w:t>
            </w:r>
          </w:p>
        </w:tc>
      </w:tr>
      <w:tr w:rsidR="00BA1DFE" w:rsidRPr="00CB6284">
        <w:trPr>
          <w:trHeight w:val="312"/>
        </w:trPr>
        <w:tc>
          <w:tcPr>
            <w:tcW w:w="1533" w:type="pct"/>
            <w:shd w:val="clear" w:color="auto" w:fill="auto"/>
            <w:noWrap/>
            <w:vAlign w:val="center"/>
          </w:tcPr>
          <w:p w:rsidR="00BA1DFE" w:rsidRPr="00CB6284" w:rsidRDefault="00BA1DFE" w:rsidP="00B51B51">
            <w:pPr>
              <w:widowControl w:val="0"/>
              <w:rPr>
                <w:sz w:val="20"/>
                <w:szCs w:val="20"/>
              </w:rPr>
            </w:pPr>
            <w:r w:rsidRPr="00CB6284">
              <w:rPr>
                <w:sz w:val="20"/>
                <w:szCs w:val="20"/>
              </w:rPr>
              <w:t>Río Angostura en Angostura</w:t>
            </w:r>
          </w:p>
        </w:tc>
        <w:tc>
          <w:tcPr>
            <w:tcW w:w="3467" w:type="pct"/>
            <w:shd w:val="clear" w:color="auto" w:fill="auto"/>
            <w:noWrap/>
            <w:vAlign w:val="center"/>
          </w:tcPr>
          <w:p w:rsidR="00BA1DFE" w:rsidRPr="00CB6284" w:rsidRDefault="00BA1DFE" w:rsidP="00B51B51">
            <w:pPr>
              <w:widowControl w:val="0"/>
              <w:rPr>
                <w:sz w:val="20"/>
                <w:szCs w:val="20"/>
              </w:rPr>
            </w:pPr>
            <w:r w:rsidRPr="00CB6284">
              <w:rPr>
                <w:sz w:val="20"/>
                <w:szCs w:val="20"/>
              </w:rPr>
              <w:t>Correlación con estación Río Claro en Los Queñes (R, E)</w:t>
            </w:r>
          </w:p>
        </w:tc>
      </w:tr>
    </w:tbl>
    <w:p w:rsidR="00BA1DFE" w:rsidRPr="00260360" w:rsidRDefault="00BA1DFE" w:rsidP="00B51B51">
      <w:pPr>
        <w:widowControl w:val="0"/>
        <w:jc w:val="center"/>
        <w:rPr>
          <w:sz w:val="18"/>
          <w:szCs w:val="18"/>
        </w:rPr>
      </w:pPr>
      <w:r w:rsidRPr="00260360">
        <w:rPr>
          <w:sz w:val="18"/>
          <w:szCs w:val="18"/>
        </w:rPr>
        <w:t>R: Relleno, E: Extensión</w:t>
      </w:r>
    </w:p>
    <w:p w:rsidR="00AD30D4" w:rsidRDefault="00AD30D4" w:rsidP="00B51B51">
      <w:pPr>
        <w:widowControl w:val="0"/>
      </w:pPr>
    </w:p>
    <w:p w:rsidR="00BD4364" w:rsidRDefault="007508CE" w:rsidP="00B51B51">
      <w:pPr>
        <w:pStyle w:val="Ttulo2"/>
        <w:keepNext w:val="0"/>
      </w:pPr>
      <w:bookmarkStart w:id="194" w:name="_Toc344391807"/>
      <w:r>
        <w:t>Aná</w:t>
      </w:r>
      <w:r w:rsidR="00937DE7">
        <w:t>lisis de Tendencias de Series Hidrometeorológica</w:t>
      </w:r>
      <w:r>
        <w:t>s</w:t>
      </w:r>
      <w:bookmarkEnd w:id="194"/>
    </w:p>
    <w:p w:rsidR="007508CE" w:rsidRDefault="007508CE" w:rsidP="00B51B51">
      <w:pPr>
        <w:widowControl w:val="0"/>
      </w:pPr>
    </w:p>
    <w:p w:rsidR="00937DE7" w:rsidRDefault="0014795E" w:rsidP="00B51B51">
      <w:pPr>
        <w:widowControl w:val="0"/>
      </w:pPr>
      <w:r>
        <w:t xml:space="preserve">Para estudiar el comportamiento que han tenido las variables hidrometeorológicas durante el período de análisis, se </w:t>
      </w:r>
      <w:r w:rsidR="00937DE7">
        <w:t xml:space="preserve">confeccionaron </w:t>
      </w:r>
      <w:r>
        <w:t xml:space="preserve">series anuales de precipitaciones y caudales en aquellas cuencas con mínima o nula intervención. Éstas corresponden a Río </w:t>
      </w:r>
      <w:r w:rsidR="00937DE7">
        <w:t>Cachapoal en Puente Termas de Cauquenes, Río Tinguiririca en Bajo Los Briones y Río Claro en El Valle.</w:t>
      </w:r>
    </w:p>
    <w:p w:rsidR="00937DE7" w:rsidRDefault="00937DE7" w:rsidP="00B51B51">
      <w:pPr>
        <w:widowControl w:val="0"/>
      </w:pPr>
    </w:p>
    <w:p w:rsidR="00937DE7" w:rsidRDefault="00937DE7" w:rsidP="00B51B51">
      <w:pPr>
        <w:widowControl w:val="0"/>
      </w:pPr>
      <w:r>
        <w:t>El an</w:t>
      </w:r>
      <w:r w:rsidR="00C353E7">
        <w:t>álisis</w:t>
      </w:r>
      <w:r>
        <w:t xml:space="preserve"> se realizó </w:t>
      </w:r>
      <w:r w:rsidR="00C353E7">
        <w:t>dividiendo</w:t>
      </w:r>
      <w:r>
        <w:t xml:space="preserve"> la serie de tiempo en 3 períodos: </w:t>
      </w:r>
      <w:r w:rsidR="005C6F14">
        <w:t>P1-</w:t>
      </w:r>
      <w:r>
        <w:t xml:space="preserve">1961/62-1969/70 (9 años), </w:t>
      </w:r>
      <w:r w:rsidR="005C6F14">
        <w:t>P2-</w:t>
      </w:r>
      <w:r>
        <w:t xml:space="preserve">1970/71-1987/88 (18 años) y </w:t>
      </w:r>
      <w:r w:rsidR="005C6F14">
        <w:t>P3-</w:t>
      </w:r>
      <w:r>
        <w:t>1988/89-2010/11</w:t>
      </w:r>
      <w:r w:rsidR="00C353E7">
        <w:t xml:space="preserve"> (23 años).</w:t>
      </w:r>
      <w:r w:rsidR="00E35688">
        <w:t xml:space="preserve"> Se </w:t>
      </w:r>
      <w:r w:rsidR="00F33857">
        <w:t>compararon los promedios de estas series</w:t>
      </w:r>
      <w:r w:rsidR="00E35688">
        <w:t xml:space="preserve"> mediante un test de Student. E</w:t>
      </w:r>
      <w:r w:rsidR="0018309E">
        <w:t>ste test permite evaluar</w:t>
      </w:r>
      <w:r w:rsidR="00F33857">
        <w:t xml:space="preserve"> si la diferencia de las</w:t>
      </w:r>
      <w:r w:rsidR="0018309E">
        <w:t xml:space="preserve"> medias es o no significativa, tomando como valor límite del test una probabilidad de excedencia de 0,1.</w:t>
      </w:r>
      <w:r w:rsidR="0034137F">
        <w:t xml:space="preserve"> Un valor menor permite rechazar la hipótesis de que ambas series provienen de la misma distribución y existiría evidencia significativa de que las series son diferentes.</w:t>
      </w:r>
    </w:p>
    <w:p w:rsidR="00807A7A" w:rsidRDefault="00807A7A" w:rsidP="00B51B51">
      <w:pPr>
        <w:widowControl w:val="0"/>
      </w:pPr>
    </w:p>
    <w:p w:rsidR="00807A7A" w:rsidRDefault="00807A7A" w:rsidP="00B51B51">
      <w:pPr>
        <w:widowControl w:val="0"/>
      </w:pPr>
    </w:p>
    <w:p w:rsidR="00807A7A" w:rsidRDefault="00807A7A" w:rsidP="00B51B51">
      <w:pPr>
        <w:widowControl w:val="0"/>
      </w:pPr>
    </w:p>
    <w:p w:rsidR="00937DE7" w:rsidRDefault="00937DE7" w:rsidP="00807A7A">
      <w:pPr>
        <w:pStyle w:val="Ttulo3"/>
      </w:pPr>
      <w:bookmarkStart w:id="195" w:name="_Toc344391808"/>
      <w:r>
        <w:lastRenderedPageBreak/>
        <w:t>Precipitaciones</w:t>
      </w:r>
      <w:bookmarkEnd w:id="195"/>
    </w:p>
    <w:p w:rsidR="007508CE" w:rsidRDefault="007508CE" w:rsidP="00B51B51">
      <w:pPr>
        <w:widowControl w:val="0"/>
      </w:pPr>
    </w:p>
    <w:p w:rsidR="0014795E" w:rsidRDefault="005C6F14" w:rsidP="00B51B51">
      <w:pPr>
        <w:widowControl w:val="0"/>
      </w:pPr>
      <w:r>
        <w:t>Las estaciones</w:t>
      </w:r>
      <w:r w:rsidR="0014795E">
        <w:t xml:space="preserve"> de pre</w:t>
      </w:r>
      <w:r w:rsidR="006F0AED">
        <w:t>cipitación</w:t>
      </w:r>
      <w:r w:rsidR="0014795E">
        <w:t xml:space="preserve"> representativas de las cuencas</w:t>
      </w:r>
      <w:r w:rsidR="00937DE7">
        <w:t xml:space="preserve"> antes mencionadas</w:t>
      </w:r>
      <w:r>
        <w:t xml:space="preserve"> corresponden a</w:t>
      </w:r>
      <w:r w:rsidR="0014795E">
        <w:t xml:space="preserve"> </w:t>
      </w:r>
      <w:r w:rsidR="00937DE7">
        <w:t>Sauzal</w:t>
      </w:r>
      <w:r w:rsidR="007400B6">
        <w:t>, ubicada en la cuenca del río Cachapoal,</w:t>
      </w:r>
      <w:r w:rsidR="00937DE7">
        <w:t xml:space="preserve"> y </w:t>
      </w:r>
      <w:smartTag w:uri="urn:schemas-microsoft-com:office:smarttags" w:element="PersonName">
        <w:smartTagPr>
          <w:attr w:name="ProductID" w:val="La Rufina"/>
        </w:smartTagPr>
        <w:r w:rsidR="00937DE7">
          <w:t>La Rufina</w:t>
        </w:r>
      </w:smartTag>
      <w:r w:rsidR="007400B6">
        <w:t>, ubicada próxima a la junta de los ríos Tinguiririca y Claro</w:t>
      </w:r>
      <w:r w:rsidR="0014795E">
        <w:t>.</w:t>
      </w:r>
      <w:r w:rsidR="00C353E7">
        <w:t xml:space="preserve"> Se</w:t>
      </w:r>
      <w:r>
        <w:t xml:space="preserve"> calcularon las medias de precipitación</w:t>
      </w:r>
      <w:r w:rsidR="00C353E7">
        <w:t xml:space="preserve"> para los 3 períodos en cuestión</w:t>
      </w:r>
      <w:r>
        <w:t xml:space="preserve"> y las medias móviles de 10, 15, 20 y 25 años. Los resultados se muestran en </w:t>
      </w:r>
      <w:r w:rsidR="00311A05">
        <w:t xml:space="preserve">las </w:t>
      </w:r>
      <w:r w:rsidR="006F0AED">
        <w:fldChar w:fldCharType="begin"/>
      </w:r>
      <w:r w:rsidR="006F0AED">
        <w:instrText xml:space="preserve"> REF _Ref338339990 \h </w:instrText>
      </w:r>
      <w:r w:rsidR="006F0AED">
        <w:fldChar w:fldCharType="separate"/>
      </w:r>
      <w:r w:rsidR="00264070">
        <w:t xml:space="preserve">Figura </w:t>
      </w:r>
      <w:r w:rsidR="00264070">
        <w:rPr>
          <w:noProof/>
        </w:rPr>
        <w:t>4</w:t>
      </w:r>
      <w:r w:rsidR="00264070">
        <w:t>.</w:t>
      </w:r>
      <w:r w:rsidR="00264070">
        <w:rPr>
          <w:noProof/>
        </w:rPr>
        <w:t>4</w:t>
      </w:r>
      <w:r w:rsidR="006F0AED">
        <w:fldChar w:fldCharType="end"/>
      </w:r>
      <w:r w:rsidR="006F0AED">
        <w:t xml:space="preserve"> y </w:t>
      </w:r>
      <w:r w:rsidR="006F0AED">
        <w:fldChar w:fldCharType="begin"/>
      </w:r>
      <w:r w:rsidR="006F0AED">
        <w:instrText xml:space="preserve"> REF _Ref338340003 \h </w:instrText>
      </w:r>
      <w:r w:rsidR="006F0AED">
        <w:fldChar w:fldCharType="separate"/>
      </w:r>
      <w:r w:rsidR="00264070">
        <w:t xml:space="preserve">Figura </w:t>
      </w:r>
      <w:r w:rsidR="00264070">
        <w:rPr>
          <w:noProof/>
        </w:rPr>
        <w:t>4</w:t>
      </w:r>
      <w:r w:rsidR="00264070">
        <w:t>.</w:t>
      </w:r>
      <w:r w:rsidR="00264070">
        <w:rPr>
          <w:noProof/>
        </w:rPr>
        <w:t>5</w:t>
      </w:r>
      <w:r w:rsidR="006F0AED">
        <w:fldChar w:fldCharType="end"/>
      </w:r>
      <w:r w:rsidR="006F0AED">
        <w:t>.</w:t>
      </w:r>
    </w:p>
    <w:p w:rsidR="00FC1828" w:rsidRDefault="00FC1828" w:rsidP="00B51B51">
      <w:pPr>
        <w:widowControl w:val="0"/>
      </w:pPr>
    </w:p>
    <w:p w:rsidR="00FC1828" w:rsidRDefault="00FC1828" w:rsidP="00FC1828">
      <w:pPr>
        <w:widowControl w:val="0"/>
      </w:pPr>
      <w:r>
        <w:t xml:space="preserve">De estas figuras se pueden apreciar 3 períodos distintos: P1 con precipitación menor al promedio, P2 con precipitación por sobre el promedio y P3 con precipitación menor al promedio, pero mayor a P1. En el caso de la estación Sauzal, las diferencias entre los períodos son mucho más marcados que en </w:t>
      </w:r>
      <w:smartTag w:uri="urn:schemas-microsoft-com:office:smarttags" w:element="PersonName">
        <w:smartTagPr>
          <w:attr w:name="ProductID" w:val="La Rufina. La"/>
        </w:smartTagPr>
        <w:r>
          <w:t>La Rufina. La</w:t>
        </w:r>
      </w:smartTag>
      <w:r>
        <w:t xml:space="preserve"> aplicación del test de Student indica que sólo para el caso de Sauzal existe una diferencia significativa entre las medias de precipitación de los periodos P1 y P2, mientras que para </w:t>
      </w:r>
      <w:smartTag w:uri="urn:schemas-microsoft-com:office:smarttags" w:element="PersonName">
        <w:smartTagPr>
          <w:attr w:name="ProductID" w:val="La Rufina"/>
        </w:smartTagPr>
        <w:r>
          <w:t>La Rufina</w:t>
        </w:r>
      </w:smartTag>
      <w:r>
        <w:t xml:space="preserve"> no hay argumentos para decir que se ha producido en el tiempo un cambio significativo en esta variable.</w:t>
      </w:r>
    </w:p>
    <w:p w:rsidR="00FC1828" w:rsidRDefault="00FC1828" w:rsidP="00B51B51">
      <w:pPr>
        <w:widowControl w:val="0"/>
      </w:pPr>
    </w:p>
    <w:p w:rsidR="006F0AED" w:rsidRDefault="006F0AED" w:rsidP="00B51B51">
      <w:pPr>
        <w:pStyle w:val="Epgrafe"/>
        <w:widowControl w:val="0"/>
      </w:pPr>
      <w:bookmarkStart w:id="196" w:name="_Ref338339990"/>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4</w:t>
      </w:r>
      <w:r w:rsidR="00951FEC">
        <w:fldChar w:fldCharType="end"/>
      </w:r>
      <w:bookmarkEnd w:id="196"/>
      <w:r>
        <w:t xml:space="preserve"> Análisis Estadístico Serie de Precipitación Anual Estación Sauzal</w:t>
      </w:r>
    </w:p>
    <w:p w:rsidR="005C6F14" w:rsidRDefault="00254CE2" w:rsidP="00B51B51">
      <w:pPr>
        <w:widowControl w:val="0"/>
      </w:pPr>
      <w:r>
        <w:rPr>
          <w:noProof/>
          <w:lang w:val="es-CL" w:eastAsia="es-CL"/>
        </w:rPr>
        <w:drawing>
          <wp:inline distT="0" distB="0" distL="0" distR="0">
            <wp:extent cx="5795010" cy="368935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5010" cy="3689350"/>
                    </a:xfrm>
                    <a:prstGeom prst="rect">
                      <a:avLst/>
                    </a:prstGeom>
                    <a:noFill/>
                    <a:ln>
                      <a:noFill/>
                    </a:ln>
                  </pic:spPr>
                </pic:pic>
              </a:graphicData>
            </a:graphic>
          </wp:inline>
        </w:drawing>
      </w:r>
    </w:p>
    <w:p w:rsidR="001E466F" w:rsidRDefault="001E466F"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6F0AED" w:rsidRDefault="006F0AED" w:rsidP="00B51B51">
      <w:pPr>
        <w:pStyle w:val="Epgrafe"/>
        <w:widowControl w:val="0"/>
      </w:pPr>
      <w:bookmarkStart w:id="197" w:name="_Ref338340003"/>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5</w:t>
      </w:r>
      <w:r w:rsidR="00951FEC">
        <w:fldChar w:fldCharType="end"/>
      </w:r>
      <w:bookmarkEnd w:id="197"/>
      <w:r>
        <w:t xml:space="preserve"> Análisis Estadístico Serie de Precipitación Anual Estación </w:t>
      </w:r>
      <w:smartTag w:uri="urn:schemas-microsoft-com:office:smarttags" w:element="PersonName">
        <w:smartTagPr>
          <w:attr w:name="ProductID" w:val="La Rufina"/>
        </w:smartTagPr>
        <w:r>
          <w:t>La Rufina</w:t>
        </w:r>
      </w:smartTag>
    </w:p>
    <w:p w:rsidR="001E466F" w:rsidRDefault="00254CE2" w:rsidP="00B51B51">
      <w:pPr>
        <w:widowControl w:val="0"/>
      </w:pPr>
      <w:r>
        <w:rPr>
          <w:noProof/>
          <w:lang w:val="es-CL" w:eastAsia="es-CL"/>
        </w:rPr>
        <w:drawing>
          <wp:inline distT="0" distB="0" distL="0" distR="0">
            <wp:extent cx="5795010" cy="3689350"/>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5010" cy="3689350"/>
                    </a:xfrm>
                    <a:prstGeom prst="rect">
                      <a:avLst/>
                    </a:prstGeom>
                    <a:noFill/>
                    <a:ln>
                      <a:noFill/>
                    </a:ln>
                  </pic:spPr>
                </pic:pic>
              </a:graphicData>
            </a:graphic>
          </wp:inline>
        </w:drawing>
      </w:r>
    </w:p>
    <w:p w:rsidR="005C6F14" w:rsidRDefault="005C6F14" w:rsidP="00B51B51">
      <w:pPr>
        <w:widowControl w:val="0"/>
      </w:pPr>
    </w:p>
    <w:p w:rsidR="007508CE" w:rsidRDefault="007508CE" w:rsidP="00FC1828">
      <w:pPr>
        <w:pStyle w:val="Ttulo3"/>
      </w:pPr>
      <w:bookmarkStart w:id="198" w:name="_Toc344391809"/>
      <w:r>
        <w:t>Caudales</w:t>
      </w:r>
      <w:bookmarkEnd w:id="198"/>
    </w:p>
    <w:p w:rsidR="0014795E" w:rsidRDefault="0014795E" w:rsidP="00B51B51">
      <w:pPr>
        <w:widowControl w:val="0"/>
      </w:pPr>
    </w:p>
    <w:p w:rsidR="00937DE7" w:rsidRDefault="00937DE7" w:rsidP="00B51B51">
      <w:pPr>
        <w:widowControl w:val="0"/>
      </w:pPr>
      <w:r>
        <w:t>Se analizaron las series de caudales medios anuales de las cuencas antes mencionadas. Adicionalmente se estudiaron las series de caudales medios pluviales</w:t>
      </w:r>
      <w:r w:rsidR="00D62A31">
        <w:t xml:space="preserve"> (abril – agosto)</w:t>
      </w:r>
      <w:r>
        <w:t xml:space="preserve"> y de deshielo</w:t>
      </w:r>
      <w:r w:rsidR="00D62A31">
        <w:t xml:space="preserve"> (septiembre – marzo)</w:t>
      </w:r>
      <w:r>
        <w:t>, con el objeto de detectar posibles cambios de regímenes hidrológicos en el tiempo.</w:t>
      </w:r>
      <w:r w:rsidR="00BE75F5">
        <w:t xml:space="preserve"> Las </w:t>
      </w:r>
      <w:r w:rsidR="006F0AED">
        <w:fldChar w:fldCharType="begin"/>
      </w:r>
      <w:r w:rsidR="006F0AED">
        <w:instrText xml:space="preserve"> REF _Ref338340329 \h </w:instrText>
      </w:r>
      <w:r w:rsidR="006F0AED">
        <w:fldChar w:fldCharType="separate"/>
      </w:r>
      <w:r w:rsidR="00264070">
        <w:t xml:space="preserve">Tabla </w:t>
      </w:r>
      <w:r w:rsidR="00264070">
        <w:rPr>
          <w:noProof/>
        </w:rPr>
        <w:t>4</w:t>
      </w:r>
      <w:r w:rsidR="00264070">
        <w:t>.</w:t>
      </w:r>
      <w:r w:rsidR="00264070">
        <w:rPr>
          <w:noProof/>
        </w:rPr>
        <w:t>5</w:t>
      </w:r>
      <w:r w:rsidR="006F0AED">
        <w:fldChar w:fldCharType="end"/>
      </w:r>
      <w:r w:rsidR="006F0AED">
        <w:t xml:space="preserve">, </w:t>
      </w:r>
      <w:r w:rsidR="006F0AED">
        <w:fldChar w:fldCharType="begin"/>
      </w:r>
      <w:r w:rsidR="006F0AED">
        <w:instrText xml:space="preserve"> REF _Ref338340338 \h </w:instrText>
      </w:r>
      <w:r w:rsidR="006F0AED">
        <w:fldChar w:fldCharType="separate"/>
      </w:r>
      <w:r w:rsidR="00264070">
        <w:t xml:space="preserve">Tabla </w:t>
      </w:r>
      <w:r w:rsidR="00264070">
        <w:rPr>
          <w:noProof/>
        </w:rPr>
        <w:t>4</w:t>
      </w:r>
      <w:r w:rsidR="00264070">
        <w:t>.</w:t>
      </w:r>
      <w:r w:rsidR="00264070">
        <w:rPr>
          <w:noProof/>
        </w:rPr>
        <w:t>6</w:t>
      </w:r>
      <w:r w:rsidR="006F0AED">
        <w:fldChar w:fldCharType="end"/>
      </w:r>
      <w:r w:rsidR="006F0AED">
        <w:t xml:space="preserve"> y </w:t>
      </w:r>
      <w:r w:rsidR="006F0AED">
        <w:fldChar w:fldCharType="begin"/>
      </w:r>
      <w:r w:rsidR="006F0AED">
        <w:instrText xml:space="preserve"> REF _Ref338340340 \h </w:instrText>
      </w:r>
      <w:r w:rsidR="006F0AED">
        <w:fldChar w:fldCharType="separate"/>
      </w:r>
      <w:r w:rsidR="00264070">
        <w:t xml:space="preserve">Tabla </w:t>
      </w:r>
      <w:r w:rsidR="00264070">
        <w:rPr>
          <w:noProof/>
        </w:rPr>
        <w:t>4</w:t>
      </w:r>
      <w:r w:rsidR="00264070">
        <w:t>.</w:t>
      </w:r>
      <w:r w:rsidR="00264070">
        <w:rPr>
          <w:noProof/>
        </w:rPr>
        <w:t>7</w:t>
      </w:r>
      <w:r w:rsidR="006F0AED">
        <w:fldChar w:fldCharType="end"/>
      </w:r>
      <w:r w:rsidR="00E6658A">
        <w:t xml:space="preserve"> </w:t>
      </w:r>
      <w:r w:rsidR="00BE75F5">
        <w:t>muestran los resultados</w:t>
      </w:r>
      <w:r w:rsidR="00E6658A">
        <w:t xml:space="preserve"> obtenidos</w:t>
      </w:r>
      <w:r w:rsidR="00BE75F5">
        <w:t xml:space="preserve"> para las distintas cuencas en estudio.</w:t>
      </w:r>
      <w:r w:rsidR="0034137F">
        <w:t xml:space="preserve"> En estas tablas se indican las medias y desviaciones estándar de cada una de las series y luego una comparación entre pares de series, indicando si se rechaza o no la hipótesis de que ambas series provienen de la misma población.</w:t>
      </w:r>
      <w:r w:rsidR="00BE75F5">
        <w:t xml:space="preserve"> Los gráficos asociados al an</w:t>
      </w:r>
      <w:r w:rsidR="00CB6284">
        <w:t>álisis se muestran en el Anexo 2</w:t>
      </w:r>
      <w:r w:rsidR="00BE75F5">
        <w:t>.10.</w:t>
      </w:r>
    </w:p>
    <w:p w:rsidR="00937DE7" w:rsidRDefault="00937DE7" w:rsidP="00B51B51">
      <w:pPr>
        <w:widowControl w:val="0"/>
      </w:pPr>
    </w:p>
    <w:p w:rsidR="006F0AED" w:rsidRDefault="006F0AED" w:rsidP="00B51B51">
      <w:pPr>
        <w:pStyle w:val="Epgrafe"/>
        <w:widowControl w:val="0"/>
      </w:pPr>
      <w:bookmarkStart w:id="199" w:name="_Ref338340329"/>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5</w:t>
      </w:r>
      <w:r w:rsidR="007F3102">
        <w:fldChar w:fldCharType="end"/>
      </w:r>
      <w:bookmarkEnd w:id="199"/>
      <w:r>
        <w:t xml:space="preserve"> Análisis Estadístico Series de Caudales Medios Anuales, Pluviales y Deshielo, Río Cachapoal en Puente Termas de Cauquenes</w:t>
      </w:r>
    </w:p>
    <w:tbl>
      <w:tblPr>
        <w:tblW w:w="8920" w:type="dxa"/>
        <w:jc w:val="center"/>
        <w:tblCellMar>
          <w:left w:w="70" w:type="dxa"/>
          <w:right w:w="70" w:type="dxa"/>
        </w:tblCellMar>
        <w:tblLook w:val="04A0" w:firstRow="1" w:lastRow="0" w:firstColumn="1" w:lastColumn="0" w:noHBand="0" w:noVBand="1"/>
      </w:tblPr>
      <w:tblGrid>
        <w:gridCol w:w="1540"/>
        <w:gridCol w:w="823"/>
        <w:gridCol w:w="815"/>
        <w:gridCol w:w="822"/>
        <w:gridCol w:w="823"/>
        <w:gridCol w:w="815"/>
        <w:gridCol w:w="822"/>
        <w:gridCol w:w="823"/>
        <w:gridCol w:w="815"/>
        <w:gridCol w:w="822"/>
      </w:tblGrid>
      <w:tr w:rsidR="00311A05" w:rsidRPr="00FC1828">
        <w:trPr>
          <w:jc w:val="center"/>
        </w:trPr>
        <w:tc>
          <w:tcPr>
            <w:tcW w:w="1540" w:type="dxa"/>
            <w:tcBorders>
              <w:top w:val="single" w:sz="8" w:space="0" w:color="auto"/>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 </w:t>
            </w:r>
          </w:p>
        </w:tc>
        <w:tc>
          <w:tcPr>
            <w:tcW w:w="246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Anual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Pluvial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Deshielo</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Período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N°Años</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Promedio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77,1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96,5</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89,6</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38,9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50,9</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52,4</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115,3</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142,2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126,8</w:t>
            </w:r>
          </w:p>
        </w:tc>
      </w:tr>
      <w:tr w:rsidR="00311A0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Desvest</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21,5</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24,8</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32,6</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9,2</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13,5</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16,9</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35,0</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37,5</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50,6</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Comparación</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Pexc</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0,028</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0,228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0,150</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0,013</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0,379</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0,016</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0,042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0,143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0,270</w:t>
            </w:r>
          </w:p>
        </w:tc>
      </w:tr>
      <w:tr w:rsidR="00311A0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Rechaza</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r>
    </w:tbl>
    <w:p w:rsidR="006F0AED" w:rsidRDefault="006F0AED"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FC1828" w:rsidRDefault="00FC1828" w:rsidP="00B51B51">
      <w:pPr>
        <w:widowControl w:val="0"/>
      </w:pPr>
    </w:p>
    <w:p w:rsidR="006F0AED" w:rsidRDefault="006F0AED" w:rsidP="00B51B51">
      <w:pPr>
        <w:pStyle w:val="Epgrafe"/>
        <w:widowControl w:val="0"/>
      </w:pPr>
      <w:bookmarkStart w:id="200" w:name="_Ref338340338"/>
      <w:r>
        <w:lastRenderedPageBreak/>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bookmarkEnd w:id="200"/>
      <w:r>
        <w:t xml:space="preserve"> Análisis Estadístico Series de Caudales Medios Anuales, Pluviales y Deshielo, Río Tinguiririca en Bajo Los Briones</w:t>
      </w:r>
    </w:p>
    <w:tbl>
      <w:tblPr>
        <w:tblW w:w="8920" w:type="dxa"/>
        <w:jc w:val="center"/>
        <w:tblCellMar>
          <w:left w:w="70" w:type="dxa"/>
          <w:right w:w="70" w:type="dxa"/>
        </w:tblCellMar>
        <w:tblLook w:val="04A0" w:firstRow="1" w:lastRow="0" w:firstColumn="1" w:lastColumn="0" w:noHBand="0" w:noVBand="1"/>
      </w:tblPr>
      <w:tblGrid>
        <w:gridCol w:w="1540"/>
        <w:gridCol w:w="823"/>
        <w:gridCol w:w="815"/>
        <w:gridCol w:w="822"/>
        <w:gridCol w:w="823"/>
        <w:gridCol w:w="815"/>
        <w:gridCol w:w="822"/>
        <w:gridCol w:w="823"/>
        <w:gridCol w:w="815"/>
        <w:gridCol w:w="822"/>
      </w:tblGrid>
      <w:tr w:rsidR="00311A05" w:rsidRPr="00FC1828">
        <w:trPr>
          <w:jc w:val="center"/>
        </w:trPr>
        <w:tc>
          <w:tcPr>
            <w:tcW w:w="1540" w:type="dxa"/>
            <w:tcBorders>
              <w:top w:val="single" w:sz="8" w:space="0" w:color="auto"/>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 </w:t>
            </w:r>
          </w:p>
        </w:tc>
        <w:tc>
          <w:tcPr>
            <w:tcW w:w="246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Anual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Pluvial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Deshielo</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Período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N°Años</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Promedio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41,5</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55,2</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51,7</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23,4</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34,0</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33,6</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59,6</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76,4</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69,9</w:t>
            </w:r>
          </w:p>
        </w:tc>
      </w:tr>
      <w:tr w:rsidR="00311A0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Desvest</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13,4</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16,5</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16,1</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9,0</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13,9</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12,8</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20,5</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21,0</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20,1</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Comparación</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bCs/>
                <w:color w:val="000000"/>
                <w:sz w:val="18"/>
                <w:szCs w:val="18"/>
                <w:lang w:val="es-CL" w:eastAsia="es-CL"/>
              </w:rPr>
            </w:pPr>
            <w:r w:rsidRPr="00FC1828">
              <w:rPr>
                <w:rFonts w:cs="Arial"/>
                <w:bCs/>
                <w:color w:val="000000"/>
                <w:sz w:val="18"/>
                <w:szCs w:val="18"/>
                <w:lang w:val="es-CL" w:eastAsia="es-CL"/>
              </w:rPr>
              <w:t>P1-P3</w:t>
            </w:r>
          </w:p>
        </w:tc>
      </w:tr>
      <w:tr w:rsidR="00311A0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Pexc</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0,021</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0,254</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0,051</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0,025</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0,466</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0,019</w:t>
            </w:r>
          </w:p>
        </w:tc>
        <w:tc>
          <w:tcPr>
            <w:tcW w:w="823"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0,030</w:t>
            </w:r>
          </w:p>
        </w:tc>
        <w:tc>
          <w:tcPr>
            <w:tcW w:w="815" w:type="dxa"/>
            <w:tcBorders>
              <w:top w:val="nil"/>
              <w:left w:val="nil"/>
              <w:bottom w:val="single" w:sz="4"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0,160</w:t>
            </w:r>
          </w:p>
        </w:tc>
        <w:tc>
          <w:tcPr>
            <w:tcW w:w="822" w:type="dxa"/>
            <w:tcBorders>
              <w:top w:val="nil"/>
              <w:left w:val="nil"/>
              <w:bottom w:val="single" w:sz="4"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0,104</w:t>
            </w:r>
          </w:p>
        </w:tc>
      </w:tr>
      <w:tr w:rsidR="00311A0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Rechaza</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23"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311A05" w:rsidRPr="00FC1828" w:rsidRDefault="00311A05" w:rsidP="00B51B51">
            <w:pPr>
              <w:widowControl w:val="0"/>
              <w:jc w:val="center"/>
              <w:rPr>
                <w:rFonts w:cs="Arial"/>
                <w:color w:val="000000"/>
                <w:sz w:val="18"/>
                <w:szCs w:val="18"/>
                <w:lang w:val="es-CL" w:eastAsia="es-CL"/>
              </w:rPr>
            </w:pPr>
            <w:r w:rsidRPr="00FC1828">
              <w:rPr>
                <w:rFonts w:cs="Arial"/>
                <w:color w:val="000000"/>
                <w:sz w:val="18"/>
                <w:szCs w:val="18"/>
                <w:lang w:val="es-CL" w:eastAsia="es-CL"/>
              </w:rPr>
              <w:t>NO</w:t>
            </w:r>
          </w:p>
        </w:tc>
      </w:tr>
    </w:tbl>
    <w:p w:rsidR="006F0AED" w:rsidRDefault="006F0AED" w:rsidP="00B51B51">
      <w:pPr>
        <w:widowControl w:val="0"/>
      </w:pPr>
    </w:p>
    <w:p w:rsidR="006F0AED" w:rsidRDefault="006F0AED" w:rsidP="00B51B51">
      <w:pPr>
        <w:pStyle w:val="Epgrafe"/>
        <w:widowControl w:val="0"/>
      </w:pPr>
      <w:bookmarkStart w:id="201" w:name="_Ref338340340"/>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bookmarkEnd w:id="201"/>
      <w:r>
        <w:t xml:space="preserve"> Análisis Estadístico Series de Caudales Medios Anuales, Pluviales y Deshielo, Río Claro en El Valle</w:t>
      </w:r>
    </w:p>
    <w:tbl>
      <w:tblPr>
        <w:tblW w:w="8920" w:type="dxa"/>
        <w:jc w:val="center"/>
        <w:tblCellMar>
          <w:left w:w="70" w:type="dxa"/>
          <w:right w:w="70" w:type="dxa"/>
        </w:tblCellMar>
        <w:tblLook w:val="04A0" w:firstRow="1" w:lastRow="0" w:firstColumn="1" w:lastColumn="0" w:noHBand="0" w:noVBand="1"/>
      </w:tblPr>
      <w:tblGrid>
        <w:gridCol w:w="1540"/>
        <w:gridCol w:w="823"/>
        <w:gridCol w:w="815"/>
        <w:gridCol w:w="822"/>
        <w:gridCol w:w="823"/>
        <w:gridCol w:w="815"/>
        <w:gridCol w:w="822"/>
        <w:gridCol w:w="823"/>
        <w:gridCol w:w="815"/>
        <w:gridCol w:w="822"/>
      </w:tblGrid>
      <w:tr w:rsidR="00BE75F5" w:rsidRPr="00FC1828">
        <w:trPr>
          <w:jc w:val="center"/>
        </w:trPr>
        <w:tc>
          <w:tcPr>
            <w:tcW w:w="1540" w:type="dxa"/>
            <w:tcBorders>
              <w:top w:val="single" w:sz="8" w:space="0" w:color="auto"/>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 </w:t>
            </w:r>
          </w:p>
        </w:tc>
        <w:tc>
          <w:tcPr>
            <w:tcW w:w="246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tcPr>
          <w:p w:rsidR="00BE75F5" w:rsidRPr="00FC1828" w:rsidRDefault="00BE75F5" w:rsidP="00B51B51">
            <w:pPr>
              <w:widowControl w:val="0"/>
              <w:jc w:val="center"/>
              <w:rPr>
                <w:rFonts w:cs="Arial"/>
                <w:b/>
                <w:bCs/>
                <w:color w:val="000000"/>
                <w:sz w:val="18"/>
                <w:szCs w:val="20"/>
                <w:lang w:val="es-CL" w:eastAsia="es-CL"/>
              </w:rPr>
            </w:pPr>
            <w:r w:rsidRPr="00FC1828">
              <w:rPr>
                <w:rFonts w:cs="Arial"/>
                <w:b/>
                <w:bCs/>
                <w:color w:val="000000"/>
                <w:sz w:val="18"/>
                <w:szCs w:val="20"/>
                <w:lang w:val="es-CL" w:eastAsia="es-CL"/>
              </w:rPr>
              <w:t>Anual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BE75F5" w:rsidRPr="00FC1828" w:rsidRDefault="00BE75F5" w:rsidP="00B51B51">
            <w:pPr>
              <w:widowControl w:val="0"/>
              <w:jc w:val="center"/>
              <w:rPr>
                <w:rFonts w:cs="Arial"/>
                <w:b/>
                <w:bCs/>
                <w:color w:val="000000"/>
                <w:sz w:val="18"/>
                <w:szCs w:val="20"/>
                <w:lang w:val="es-CL" w:eastAsia="es-CL"/>
              </w:rPr>
            </w:pPr>
            <w:r w:rsidRPr="00FC1828">
              <w:rPr>
                <w:rFonts w:cs="Arial"/>
                <w:b/>
                <w:bCs/>
                <w:color w:val="000000"/>
                <w:sz w:val="18"/>
                <w:szCs w:val="20"/>
                <w:lang w:val="es-CL" w:eastAsia="es-CL"/>
              </w:rPr>
              <w:t>Pluvial</w:t>
            </w:r>
          </w:p>
        </w:tc>
        <w:tc>
          <w:tcPr>
            <w:tcW w:w="2460" w:type="dxa"/>
            <w:gridSpan w:val="3"/>
            <w:tcBorders>
              <w:top w:val="single" w:sz="8" w:space="0" w:color="auto"/>
              <w:left w:val="nil"/>
              <w:bottom w:val="single" w:sz="4" w:space="0" w:color="auto"/>
              <w:right w:val="single" w:sz="8" w:space="0" w:color="000000"/>
            </w:tcBorders>
            <w:shd w:val="clear" w:color="auto" w:fill="auto"/>
            <w:noWrap/>
            <w:vAlign w:val="bottom"/>
          </w:tcPr>
          <w:p w:rsidR="00BE75F5" w:rsidRPr="00FC1828" w:rsidRDefault="00BE75F5" w:rsidP="00B51B51">
            <w:pPr>
              <w:widowControl w:val="0"/>
              <w:jc w:val="center"/>
              <w:rPr>
                <w:rFonts w:cs="Arial"/>
                <w:b/>
                <w:bCs/>
                <w:color w:val="000000"/>
                <w:sz w:val="18"/>
                <w:szCs w:val="20"/>
                <w:lang w:val="es-CL" w:eastAsia="es-CL"/>
              </w:rPr>
            </w:pPr>
            <w:r w:rsidRPr="00FC1828">
              <w:rPr>
                <w:rFonts w:cs="Arial"/>
                <w:b/>
                <w:bCs/>
                <w:color w:val="000000"/>
                <w:sz w:val="18"/>
                <w:szCs w:val="20"/>
                <w:lang w:val="es-CL" w:eastAsia="es-CL"/>
              </w:rPr>
              <w:t>Deshielo</w:t>
            </w:r>
          </w:p>
        </w:tc>
      </w:tr>
      <w:tr w:rsidR="00BE75F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Período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P1</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P2</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P3</w:t>
            </w:r>
          </w:p>
        </w:tc>
      </w:tr>
      <w:tr w:rsidR="00BE75F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N°Años</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23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9</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18</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23</w:t>
            </w:r>
          </w:p>
        </w:tc>
      </w:tr>
      <w:tr w:rsidR="00BE75F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Promedio</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9,0</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11,9</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10,5</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8,6</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13,2</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12,7</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9,4</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10,7</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8,3</w:t>
            </w:r>
          </w:p>
        </w:tc>
      </w:tr>
      <w:tr w:rsidR="00BE75F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Desvest</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5,0</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5,0</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5,4</w:t>
            </w:r>
          </w:p>
        </w:tc>
        <w:tc>
          <w:tcPr>
            <w:tcW w:w="823"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5,1</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6,6</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7,0</w:t>
            </w:r>
          </w:p>
        </w:tc>
        <w:tc>
          <w:tcPr>
            <w:tcW w:w="823"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5,6</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4,7</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4,2</w:t>
            </w:r>
          </w:p>
        </w:tc>
      </w:tr>
      <w:tr w:rsidR="00BE75F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Comparación</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P1-P3</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P1-P2</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P2-P3</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bCs/>
                <w:color w:val="000000"/>
                <w:sz w:val="18"/>
                <w:szCs w:val="20"/>
                <w:lang w:val="es-CL" w:eastAsia="es-CL"/>
              </w:rPr>
            </w:pPr>
            <w:r w:rsidRPr="00FC1828">
              <w:rPr>
                <w:rFonts w:cs="Arial"/>
                <w:bCs/>
                <w:color w:val="000000"/>
                <w:sz w:val="18"/>
                <w:szCs w:val="20"/>
                <w:lang w:val="es-CL" w:eastAsia="es-CL"/>
              </w:rPr>
              <w:t>P1-P3</w:t>
            </w:r>
          </w:p>
        </w:tc>
      </w:tr>
      <w:tr w:rsidR="00BE75F5" w:rsidRPr="00FC1828">
        <w:trPr>
          <w:jc w:val="center"/>
        </w:trPr>
        <w:tc>
          <w:tcPr>
            <w:tcW w:w="1540" w:type="dxa"/>
            <w:tcBorders>
              <w:top w:val="nil"/>
              <w:left w:val="single" w:sz="8" w:space="0" w:color="auto"/>
              <w:bottom w:val="single" w:sz="4"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Pexc</w:t>
            </w:r>
          </w:p>
        </w:tc>
        <w:tc>
          <w:tcPr>
            <w:tcW w:w="823" w:type="dxa"/>
            <w:tcBorders>
              <w:top w:val="nil"/>
              <w:left w:val="single" w:sz="8" w:space="0" w:color="auto"/>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0,082</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0,195</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0,239</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0,040</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0,412</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0,061</w:t>
            </w:r>
          </w:p>
        </w:tc>
        <w:tc>
          <w:tcPr>
            <w:tcW w:w="823"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0,272</w:t>
            </w:r>
          </w:p>
        </w:tc>
        <w:tc>
          <w:tcPr>
            <w:tcW w:w="815" w:type="dxa"/>
            <w:tcBorders>
              <w:top w:val="nil"/>
              <w:left w:val="nil"/>
              <w:bottom w:val="single" w:sz="4"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0,048</w:t>
            </w:r>
          </w:p>
        </w:tc>
        <w:tc>
          <w:tcPr>
            <w:tcW w:w="822" w:type="dxa"/>
            <w:tcBorders>
              <w:top w:val="nil"/>
              <w:left w:val="nil"/>
              <w:bottom w:val="single" w:sz="4"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0,272</w:t>
            </w:r>
          </w:p>
        </w:tc>
      </w:tr>
      <w:tr w:rsidR="00BE75F5" w:rsidRPr="00FC1828">
        <w:trPr>
          <w:jc w:val="center"/>
        </w:trPr>
        <w:tc>
          <w:tcPr>
            <w:tcW w:w="1540" w:type="dxa"/>
            <w:tcBorders>
              <w:top w:val="nil"/>
              <w:left w:val="single" w:sz="8" w:space="0" w:color="auto"/>
              <w:bottom w:val="single" w:sz="8" w:space="0" w:color="auto"/>
              <w:right w:val="nil"/>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Rechaza</w:t>
            </w:r>
          </w:p>
        </w:tc>
        <w:tc>
          <w:tcPr>
            <w:tcW w:w="823" w:type="dxa"/>
            <w:tcBorders>
              <w:top w:val="nil"/>
              <w:left w:val="single" w:sz="8" w:space="0" w:color="auto"/>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NO</w:t>
            </w:r>
          </w:p>
        </w:tc>
        <w:tc>
          <w:tcPr>
            <w:tcW w:w="823"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SI</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NO</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SI</w:t>
            </w:r>
          </w:p>
        </w:tc>
        <w:tc>
          <w:tcPr>
            <w:tcW w:w="823"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NO</w:t>
            </w:r>
          </w:p>
        </w:tc>
        <w:tc>
          <w:tcPr>
            <w:tcW w:w="815" w:type="dxa"/>
            <w:tcBorders>
              <w:top w:val="nil"/>
              <w:left w:val="nil"/>
              <w:bottom w:val="single" w:sz="8" w:space="0" w:color="auto"/>
              <w:right w:val="single" w:sz="4"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SI</w:t>
            </w:r>
          </w:p>
        </w:tc>
        <w:tc>
          <w:tcPr>
            <w:tcW w:w="822" w:type="dxa"/>
            <w:tcBorders>
              <w:top w:val="nil"/>
              <w:left w:val="nil"/>
              <w:bottom w:val="single" w:sz="8" w:space="0" w:color="auto"/>
              <w:right w:val="single" w:sz="8" w:space="0" w:color="auto"/>
            </w:tcBorders>
            <w:shd w:val="clear" w:color="auto" w:fill="auto"/>
            <w:noWrap/>
            <w:vAlign w:val="bottom"/>
          </w:tcPr>
          <w:p w:rsidR="00BE75F5" w:rsidRPr="00FC1828" w:rsidRDefault="00BE75F5" w:rsidP="00B51B51">
            <w:pPr>
              <w:widowControl w:val="0"/>
              <w:jc w:val="center"/>
              <w:rPr>
                <w:rFonts w:cs="Arial"/>
                <w:color w:val="000000"/>
                <w:sz w:val="18"/>
                <w:szCs w:val="20"/>
                <w:lang w:val="es-CL" w:eastAsia="es-CL"/>
              </w:rPr>
            </w:pPr>
            <w:r w:rsidRPr="00FC1828">
              <w:rPr>
                <w:rFonts w:cs="Arial"/>
                <w:color w:val="000000"/>
                <w:sz w:val="18"/>
                <w:szCs w:val="20"/>
                <w:lang w:val="es-CL" w:eastAsia="es-CL"/>
              </w:rPr>
              <w:t>NO</w:t>
            </w:r>
          </w:p>
        </w:tc>
      </w:tr>
    </w:tbl>
    <w:p w:rsidR="00311A05" w:rsidRDefault="00311A05" w:rsidP="00B51B51">
      <w:pPr>
        <w:widowControl w:val="0"/>
      </w:pPr>
    </w:p>
    <w:p w:rsidR="00C05258" w:rsidRDefault="00C05258" w:rsidP="00B51B51">
      <w:pPr>
        <w:widowControl w:val="0"/>
      </w:pPr>
      <w:r>
        <w:t>Analizando las series de caudales</w:t>
      </w:r>
      <w:r w:rsidR="00BE75F5">
        <w:t xml:space="preserve"> anual</w:t>
      </w:r>
      <w:r>
        <w:t>es</w:t>
      </w:r>
      <w:r w:rsidR="00BE75F5">
        <w:t xml:space="preserve">, </w:t>
      </w:r>
      <w:r>
        <w:t>para las 3 cuencas en estudio se tiene</w:t>
      </w:r>
      <w:r w:rsidR="00E6658A">
        <w:t xml:space="preserve"> un comportamiento similar a las precipitaciones</w:t>
      </w:r>
      <w:r>
        <w:t>: un período P1 de caudales bajos, un período P2 de caudales altos y un período P3 de caudales medios. El análisis estadístico indica que el período P1 es significativamente distinto a P2 y en el caso particular de Río Claro en el Valle, P1 también es significativamente distinto a P3.</w:t>
      </w:r>
    </w:p>
    <w:p w:rsidR="00C05258" w:rsidRDefault="00C05258" w:rsidP="00B51B51">
      <w:pPr>
        <w:widowControl w:val="0"/>
      </w:pPr>
    </w:p>
    <w:p w:rsidR="00BE75F5" w:rsidRDefault="00C05258" w:rsidP="00B51B51">
      <w:pPr>
        <w:widowControl w:val="0"/>
      </w:pPr>
      <w:r>
        <w:t>En cua</w:t>
      </w:r>
      <w:r w:rsidR="00C619A7">
        <w:t>nto a las series p</w:t>
      </w:r>
      <w:r w:rsidR="0011055C">
        <w:t xml:space="preserve">luviales, el período P1 es el que presenta un menor caudal promedio, lo que está acorde al análisis realizado </w:t>
      </w:r>
      <w:r w:rsidR="00E6658A">
        <w:t>a nivel</w:t>
      </w:r>
      <w:r w:rsidR="0011055C">
        <w:t xml:space="preserve"> anual, mientras que los períodos P2 y P3 presentan medias similares, a pesar de que a </w:t>
      </w:r>
      <w:r w:rsidR="00E6658A">
        <w:t>este nivel</w:t>
      </w:r>
      <w:r w:rsidR="0011055C">
        <w:t xml:space="preserve"> la media de P2 es mayor que P3. Esto </w:t>
      </w:r>
      <w:r w:rsidR="00D62A31">
        <w:t xml:space="preserve">es </w:t>
      </w:r>
      <w:r w:rsidR="0011055C">
        <w:t xml:space="preserve">explicado por un incremento en los caudales </w:t>
      </w:r>
      <w:r w:rsidR="00D62A31">
        <w:t>pluviales, y por consecuencia una disminución de los caudales de deshielo. El análisis estadístico indica que para todas las cuencas el período P1 es significativamente distinto al período P2 y P3.</w:t>
      </w:r>
    </w:p>
    <w:p w:rsidR="00D62A31" w:rsidRDefault="00D62A31" w:rsidP="00B51B51">
      <w:pPr>
        <w:widowControl w:val="0"/>
      </w:pPr>
    </w:p>
    <w:p w:rsidR="00D62A31" w:rsidRDefault="00D62A31" w:rsidP="00B51B51">
      <w:pPr>
        <w:widowControl w:val="0"/>
      </w:pPr>
      <w:r>
        <w:t>Para la</w:t>
      </w:r>
      <w:r w:rsidR="00C619A7">
        <w:t xml:space="preserve"> serie de deshielo se aprecian dos</w:t>
      </w:r>
      <w:r>
        <w:t xml:space="preserve"> comportamientos diferentes: Río Cachapoal en Puente Termas</w:t>
      </w:r>
      <w:r w:rsidR="00E6658A">
        <w:t xml:space="preserve"> de Cauquenes</w:t>
      </w:r>
      <w:r>
        <w:t xml:space="preserve"> y Río Tinguiririca en Bajo Los Briones </w:t>
      </w:r>
      <w:r w:rsidR="00C619A7">
        <w:t>presentan caudales menores en el período P1, una media mayor en P2 y un valor intermed</w:t>
      </w:r>
      <w:r w:rsidR="006F0AED">
        <w:t>io en P3. Río Claro en El Valle</w:t>
      </w:r>
      <w:r w:rsidR="00E6658A">
        <w:t>,</w:t>
      </w:r>
      <w:r w:rsidR="00C619A7">
        <w:t xml:space="preserve"> en cambio, presenta los menores caudal</w:t>
      </w:r>
      <w:r w:rsidR="006F0AED">
        <w:t>es en P3. Esto se explica por</w:t>
      </w:r>
      <w:r w:rsidR="00C619A7">
        <w:t xml:space="preserve"> el </w:t>
      </w:r>
      <w:r w:rsidR="00E6658A">
        <w:t xml:space="preserve">gran </w:t>
      </w:r>
      <w:r w:rsidR="00C619A7">
        <w:t xml:space="preserve">incremento de </w:t>
      </w:r>
      <w:r w:rsidR="006F0AED">
        <w:t xml:space="preserve">los caudales pluviales </w:t>
      </w:r>
      <w:r w:rsidR="00C619A7">
        <w:t>en esta cuenca</w:t>
      </w:r>
      <w:r w:rsidR="006F0AED">
        <w:t xml:space="preserve"> </w:t>
      </w:r>
      <w:r w:rsidR="00E6658A">
        <w:t>durante</w:t>
      </w:r>
      <w:r w:rsidR="006F0AED">
        <w:t xml:space="preserve"> el último período, lo que trae como consecuencia una disminución</w:t>
      </w:r>
      <w:r w:rsidR="00E6658A">
        <w:t xml:space="preserve"> significativa</w:t>
      </w:r>
      <w:r w:rsidR="006F0AED">
        <w:t xml:space="preserve"> en los caudales de deshielo.</w:t>
      </w:r>
    </w:p>
    <w:p w:rsidR="00BD4364" w:rsidRDefault="00BD4364" w:rsidP="00B51B51">
      <w:pPr>
        <w:widowControl w:val="0"/>
      </w:pPr>
    </w:p>
    <w:p w:rsidR="00BA1DFE" w:rsidRPr="00515729" w:rsidRDefault="00BA1DFE" w:rsidP="00B51B51">
      <w:pPr>
        <w:pStyle w:val="Ttulo2"/>
        <w:keepNext w:val="0"/>
      </w:pPr>
      <w:bookmarkStart w:id="202" w:name="_Toc344391810"/>
      <w:r>
        <w:t xml:space="preserve">Generación de </w:t>
      </w:r>
      <w:r w:rsidR="00E6658A">
        <w:t>C</w:t>
      </w:r>
      <w:r w:rsidR="007508CE">
        <w:t>audales en</w:t>
      </w:r>
      <w:r w:rsidR="00E6658A">
        <w:t xml:space="preserve"> Cuencas con Control F</w:t>
      </w:r>
      <w:r>
        <w:t>luviométrico</w:t>
      </w:r>
      <w:bookmarkEnd w:id="202"/>
      <w:r>
        <w:t xml:space="preserve"> </w:t>
      </w:r>
    </w:p>
    <w:p w:rsidR="00BA1DFE" w:rsidRPr="005A3FD9" w:rsidRDefault="00BA1DFE" w:rsidP="00B51B51">
      <w:pPr>
        <w:widowControl w:val="0"/>
        <w:rPr>
          <w:color w:val="FF0000"/>
        </w:rPr>
      </w:pPr>
    </w:p>
    <w:p w:rsidR="00BA1DFE" w:rsidRPr="0001249C" w:rsidRDefault="00BA1DFE" w:rsidP="00B51B51">
      <w:pPr>
        <w:widowControl w:val="0"/>
      </w:pPr>
      <w:r w:rsidRPr="0001249C">
        <w:t xml:space="preserve">Para estimar los caudales de una subcuenca en la que el control fluviométrico no se encuentra a la salida de ésta, se emplea el método de transposición de </w:t>
      </w:r>
      <w:r>
        <w:t>caudale</w:t>
      </w:r>
      <w:r w:rsidRPr="0001249C">
        <w:t>s. La expresión a aplicar es la siguiente:</w:t>
      </w:r>
    </w:p>
    <w:p w:rsidR="00BA1DFE" w:rsidRPr="0001249C" w:rsidRDefault="00BA1DFE" w:rsidP="00B51B51">
      <w:pPr>
        <w:widowControl w:val="0"/>
        <w:jc w:val="center"/>
      </w:pPr>
      <w:r w:rsidRPr="0001249C">
        <w:rPr>
          <w:position w:val="-30"/>
        </w:rPr>
        <w:object w:dxaOrig="202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01.3pt;height:35.15pt" o:ole="" fillcolor="window">
            <v:imagedata r:id="rId28" o:title=""/>
          </v:shape>
          <o:OLEObject Type="Embed" ProgID="Equation.3" ShapeID="_x0000_i1043" DrawAspect="Content" ObjectID="_1522049010" r:id="rId29"/>
        </w:object>
      </w:r>
    </w:p>
    <w:p w:rsidR="00CB6284" w:rsidRDefault="00CB6284" w:rsidP="00B51B51">
      <w:pPr>
        <w:widowControl w:val="0"/>
      </w:pPr>
    </w:p>
    <w:p w:rsidR="00CB6284" w:rsidRDefault="00CB6284" w:rsidP="00B51B51">
      <w:pPr>
        <w:widowControl w:val="0"/>
      </w:pPr>
    </w:p>
    <w:p w:rsidR="00BA1DFE" w:rsidRPr="0001249C" w:rsidRDefault="00BA1DFE" w:rsidP="00B51B51">
      <w:pPr>
        <w:widowControl w:val="0"/>
      </w:pPr>
      <w:r w:rsidRPr="0001249C">
        <w:lastRenderedPageBreak/>
        <w:t>Donde:</w:t>
      </w:r>
    </w:p>
    <w:p w:rsidR="00BA1DFE" w:rsidRPr="0001249C" w:rsidRDefault="00BA1DFE" w:rsidP="00B51B51">
      <w:pPr>
        <w:widowControl w:val="0"/>
      </w:pPr>
      <w:r w:rsidRPr="0001249C">
        <w:t>Q</w:t>
      </w:r>
      <w:r w:rsidRPr="0001249C">
        <w:rPr>
          <w:vertAlign w:val="subscript"/>
        </w:rPr>
        <w:t>SSC</w:t>
      </w:r>
      <w:r w:rsidRPr="0001249C">
        <w:tab/>
        <w:t>: caudal aportado por una subcuenca</w:t>
      </w:r>
    </w:p>
    <w:p w:rsidR="00BA1DFE" w:rsidRPr="0001249C" w:rsidRDefault="00BA1DFE" w:rsidP="00B51B51">
      <w:pPr>
        <w:widowControl w:val="0"/>
      </w:pPr>
      <w:r w:rsidRPr="0001249C">
        <w:t>Q</w:t>
      </w:r>
      <w:r w:rsidRPr="0001249C">
        <w:rPr>
          <w:vertAlign w:val="subscript"/>
        </w:rPr>
        <w:t>EF</w:t>
      </w:r>
      <w:r w:rsidRPr="0001249C">
        <w:tab/>
        <w:t>: caudal controlado en estación fluviométrica</w:t>
      </w:r>
    </w:p>
    <w:p w:rsidR="00BA1DFE" w:rsidRPr="0001249C" w:rsidRDefault="00BA1DFE" w:rsidP="00B51B51">
      <w:pPr>
        <w:widowControl w:val="0"/>
      </w:pPr>
      <w:r w:rsidRPr="0001249C">
        <w:t>A</w:t>
      </w:r>
      <w:r w:rsidRPr="0001249C">
        <w:rPr>
          <w:vertAlign w:val="subscript"/>
        </w:rPr>
        <w:t>SSC</w:t>
      </w:r>
      <w:r w:rsidRPr="0001249C">
        <w:tab/>
        <w:t>: área aportante de la subcuenca</w:t>
      </w:r>
    </w:p>
    <w:p w:rsidR="00BA1DFE" w:rsidRPr="0001249C" w:rsidRDefault="00BA1DFE" w:rsidP="00B51B51">
      <w:pPr>
        <w:widowControl w:val="0"/>
      </w:pPr>
      <w:r w:rsidRPr="0001249C">
        <w:t>A</w:t>
      </w:r>
      <w:r w:rsidRPr="0001249C">
        <w:rPr>
          <w:vertAlign w:val="subscript"/>
        </w:rPr>
        <w:t>EF</w:t>
      </w:r>
      <w:r w:rsidRPr="0001249C">
        <w:tab/>
        <w:t>: área aportante a la estación fluviométrica</w:t>
      </w:r>
    </w:p>
    <w:p w:rsidR="00BA1DFE" w:rsidRPr="0001249C" w:rsidRDefault="00BA1DFE" w:rsidP="00FC1828">
      <w:pPr>
        <w:widowControl w:val="0"/>
        <w:tabs>
          <w:tab w:val="left" w:pos="720"/>
        </w:tabs>
        <w:ind w:left="900" w:hanging="900"/>
      </w:pPr>
      <w:r w:rsidRPr="0001249C">
        <w:t>P</w:t>
      </w:r>
      <w:r w:rsidRPr="0001249C">
        <w:rPr>
          <w:vertAlign w:val="subscript"/>
        </w:rPr>
        <w:t>SSC</w:t>
      </w:r>
      <w:r w:rsidRPr="0001249C">
        <w:tab/>
        <w:t>: precipitación media estimada en  la subcuenca, obtenida del Balance Hídrico de Chile</w:t>
      </w:r>
    </w:p>
    <w:p w:rsidR="00BA1DFE" w:rsidRPr="0001249C" w:rsidRDefault="00BA1DFE" w:rsidP="00FC1828">
      <w:pPr>
        <w:widowControl w:val="0"/>
        <w:tabs>
          <w:tab w:val="left" w:pos="720"/>
        </w:tabs>
        <w:ind w:left="900" w:hanging="900"/>
      </w:pPr>
      <w:r w:rsidRPr="0001249C">
        <w:t>P</w:t>
      </w:r>
      <w:r w:rsidRPr="0001249C">
        <w:rPr>
          <w:vertAlign w:val="subscript"/>
        </w:rPr>
        <w:t>EF</w:t>
      </w:r>
      <w:r w:rsidRPr="0001249C">
        <w:tab/>
        <w:t>: precipitación media estimada para la cuenca aportante al control fluviométrico, obtenida del Balance Hídrico de Chile</w:t>
      </w:r>
    </w:p>
    <w:p w:rsidR="00BA1DFE" w:rsidRDefault="00BA1DFE" w:rsidP="00B51B51">
      <w:pPr>
        <w:widowControl w:val="0"/>
      </w:pPr>
      <w:r w:rsidRPr="0001249C">
        <w:t>P</w:t>
      </w:r>
      <w:r w:rsidRPr="0001249C">
        <w:rPr>
          <w:vertAlign w:val="subscript"/>
        </w:rPr>
        <w:t>EF</w:t>
      </w:r>
      <w:r w:rsidRPr="0001249C">
        <w:tab/>
        <w:t>: precipitación media estimada para la estación fluviométrica</w:t>
      </w:r>
    </w:p>
    <w:p w:rsidR="00BA1DFE" w:rsidRDefault="00BA1DFE" w:rsidP="00B51B51">
      <w:pPr>
        <w:widowControl w:val="0"/>
      </w:pPr>
    </w:p>
    <w:p w:rsidR="00BA1DFE" w:rsidRDefault="00BA1DFE" w:rsidP="00B51B51">
      <w:pPr>
        <w:widowControl w:val="0"/>
      </w:pPr>
      <w:r>
        <w:t xml:space="preserve">En </w:t>
      </w:r>
      <w:smartTag w:uri="urn:schemas-microsoft-com:office:smarttags" w:element="PersonName">
        <w:smartTagPr>
          <w:attr w:name="ProductID" w:val="la ￼￼￼￼￼￼￼￼￼￼￼￼￼￼￼￼￼￼￼￼￼￼￼￼￼￼￼￼￼￼￼￼￼￼￼￼￼￼￼￼￼Tabla"/>
        </w:smartTagPr>
        <w:r>
          <w:t xml:space="preserve">la </w:t>
        </w:r>
        <w:r>
          <w:rPr>
            <w:color w:val="FF0000"/>
          </w:rPr>
          <w:fldChar w:fldCharType="begin"/>
        </w:r>
        <w:r>
          <w:instrText xml:space="preserve"> REF _Ref336813292 \h </w:instrText>
        </w:r>
        <w:r>
          <w:rPr>
            <w:color w:val="FF0000"/>
          </w:rPr>
        </w:r>
        <w:r>
          <w:rPr>
            <w:color w:val="FF0000"/>
          </w:rPr>
          <w:fldChar w:fldCharType="separate"/>
        </w:r>
        <w:r w:rsidR="00264070">
          <w:t>Tabla</w:t>
        </w:r>
      </w:smartTag>
      <w:r w:rsidR="00264070">
        <w:t xml:space="preserve"> </w:t>
      </w:r>
      <w:r w:rsidR="00264070">
        <w:rPr>
          <w:noProof/>
        </w:rPr>
        <w:t>4</w:t>
      </w:r>
      <w:r w:rsidR="00264070">
        <w:t>.</w:t>
      </w:r>
      <w:r w:rsidR="00264070">
        <w:rPr>
          <w:noProof/>
        </w:rPr>
        <w:t>8</w:t>
      </w:r>
      <w:r>
        <w:rPr>
          <w:color w:val="FF0000"/>
        </w:rPr>
        <w:fldChar w:fldCharType="end"/>
      </w:r>
      <w:r>
        <w:rPr>
          <w:color w:val="FF0000"/>
        </w:rPr>
        <w:t xml:space="preserve"> </w:t>
      </w:r>
      <w:r>
        <w:t>se presenta un resumen donde se indica las áreas aportantes y precipitaciones asociadas a ésta, tanto para las subcuencas en estudio como para las estaciones fluviométricas consideradas, para la aplicación de la transposición de caudales.</w:t>
      </w:r>
    </w:p>
    <w:p w:rsidR="00E6658A" w:rsidRPr="004C7F38" w:rsidRDefault="00E6658A" w:rsidP="00B51B51">
      <w:pPr>
        <w:widowControl w:val="0"/>
      </w:pPr>
    </w:p>
    <w:p w:rsidR="00BA1DFE" w:rsidRDefault="00BA1DFE" w:rsidP="00B51B51">
      <w:pPr>
        <w:pStyle w:val="Epgrafe"/>
        <w:widowControl w:val="0"/>
      </w:pPr>
      <w:bookmarkStart w:id="203" w:name="_Ref336813292"/>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bookmarkEnd w:id="203"/>
      <w:r>
        <w:t xml:space="preserve"> Subcuencas en Análisis y Estaciones Base</w:t>
      </w:r>
    </w:p>
    <w:tbl>
      <w:tblPr>
        <w:tblW w:w="9422" w:type="dxa"/>
        <w:jc w:val="center"/>
        <w:tblCellMar>
          <w:left w:w="70" w:type="dxa"/>
          <w:right w:w="70" w:type="dxa"/>
        </w:tblCellMar>
        <w:tblLook w:val="04A0" w:firstRow="1" w:lastRow="0" w:firstColumn="1" w:lastColumn="0" w:noHBand="0" w:noVBand="1"/>
      </w:tblPr>
      <w:tblGrid>
        <w:gridCol w:w="1041"/>
        <w:gridCol w:w="1449"/>
        <w:gridCol w:w="1620"/>
        <w:gridCol w:w="2385"/>
        <w:gridCol w:w="1560"/>
        <w:gridCol w:w="1367"/>
      </w:tblGrid>
      <w:tr w:rsidR="00BA1DFE" w:rsidRPr="00FC1828">
        <w:trPr>
          <w:trHeight w:val="230"/>
          <w:jc w:val="center"/>
        </w:trPr>
        <w:tc>
          <w:tcPr>
            <w:tcW w:w="10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eastAsia="es-CL"/>
              </w:rPr>
              <w:t>Código Subcuenca</w:t>
            </w:r>
          </w:p>
        </w:tc>
        <w:tc>
          <w:tcPr>
            <w:tcW w:w="144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val="es-CL" w:eastAsia="es-CL"/>
              </w:rPr>
              <w:t>Área Aportante Subcuenca [km2]</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val="es-CL" w:eastAsia="es-CL"/>
              </w:rPr>
              <w:t>Pp Área Aportante Subcuenca [mm]</w:t>
            </w:r>
          </w:p>
        </w:tc>
        <w:tc>
          <w:tcPr>
            <w:tcW w:w="23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eastAsia="es-CL"/>
              </w:rPr>
              <w:t xml:space="preserve">Estaciones </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val="es-CL" w:eastAsia="es-CL"/>
              </w:rPr>
              <w:t>Área Aportante Estación [km2]</w:t>
            </w:r>
          </w:p>
        </w:tc>
        <w:tc>
          <w:tcPr>
            <w:tcW w:w="13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bCs/>
                <w:color w:val="000000"/>
                <w:sz w:val="18"/>
                <w:szCs w:val="20"/>
                <w:lang w:val="es-CL" w:eastAsia="es-CL"/>
              </w:rPr>
            </w:pPr>
            <w:r w:rsidRPr="00FC1828">
              <w:rPr>
                <w:bCs/>
                <w:color w:val="000000"/>
                <w:sz w:val="18"/>
                <w:szCs w:val="20"/>
                <w:lang w:val="es-CL" w:eastAsia="es-CL"/>
              </w:rPr>
              <w:t>Pp Área Aportante Estación [mm]</w:t>
            </w:r>
          </w:p>
        </w:tc>
      </w:tr>
      <w:tr w:rsidR="00BA1DFE" w:rsidRPr="00FC1828">
        <w:trPr>
          <w:trHeight w:val="230"/>
          <w:jc w:val="center"/>
        </w:trPr>
        <w:tc>
          <w:tcPr>
            <w:tcW w:w="1041"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449"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620"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2385"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367"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r>
      <w:tr w:rsidR="00BA1DFE" w:rsidRPr="00FC1828">
        <w:trPr>
          <w:trHeight w:val="230"/>
          <w:jc w:val="center"/>
        </w:trPr>
        <w:tc>
          <w:tcPr>
            <w:tcW w:w="1041"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449"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620"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2385"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c>
          <w:tcPr>
            <w:tcW w:w="1367" w:type="dxa"/>
            <w:vMerge/>
            <w:tcBorders>
              <w:top w:val="single" w:sz="4" w:space="0" w:color="auto"/>
              <w:left w:val="single" w:sz="4" w:space="0" w:color="auto"/>
              <w:bottom w:val="single" w:sz="4" w:space="0" w:color="auto"/>
              <w:right w:val="single" w:sz="4" w:space="0" w:color="auto"/>
            </w:tcBorders>
            <w:vAlign w:val="center"/>
          </w:tcPr>
          <w:p w:rsidR="00BA1DFE" w:rsidRPr="00FC1828" w:rsidRDefault="00BA1DFE" w:rsidP="00B51B51">
            <w:pPr>
              <w:widowControl w:val="0"/>
              <w:jc w:val="left"/>
              <w:rPr>
                <w:b/>
                <w:bCs/>
                <w:color w:val="000000"/>
                <w:sz w:val="18"/>
                <w:szCs w:val="20"/>
                <w:lang w:val="es-CL" w:eastAsia="es-CL"/>
              </w:rPr>
            </w:pPr>
          </w:p>
        </w:tc>
      </w:tr>
      <w:tr w:rsidR="00BA1DFE" w:rsidRPr="00FC1828">
        <w:trPr>
          <w:trHeight w:val="230"/>
          <w:jc w:val="center"/>
        </w:trPr>
        <w:tc>
          <w:tcPr>
            <w:tcW w:w="1041"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571</w:t>
            </w:r>
          </w:p>
        </w:tc>
        <w:tc>
          <w:tcPr>
            <w:tcW w:w="1449"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707,6</w:t>
            </w:r>
          </w:p>
        </w:tc>
        <w:tc>
          <w:tcPr>
            <w:tcW w:w="162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752</w:t>
            </w:r>
          </w:p>
        </w:tc>
        <w:tc>
          <w:tcPr>
            <w:tcW w:w="2385" w:type="dxa"/>
            <w:vMerge w:val="restart"/>
            <w:tcBorders>
              <w:top w:val="nil"/>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Angostura en Angostura</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712,9</w:t>
            </w:r>
          </w:p>
        </w:tc>
        <w:tc>
          <w:tcPr>
            <w:tcW w:w="1367"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752</w:t>
            </w:r>
          </w:p>
        </w:tc>
      </w:tr>
      <w:tr w:rsidR="00BA1DFE" w:rsidRPr="00FC1828">
        <w:trPr>
          <w:trHeight w:val="230"/>
          <w:jc w:val="center"/>
        </w:trPr>
        <w:tc>
          <w:tcPr>
            <w:tcW w:w="1041"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449"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62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2385"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56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367"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r>
      <w:tr w:rsidR="00BA1DFE" w:rsidRPr="00FC1828">
        <w:trPr>
          <w:trHeight w:val="230"/>
          <w:jc w:val="center"/>
        </w:trPr>
        <w:tc>
          <w:tcPr>
            <w:tcW w:w="1041"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600</w:t>
            </w:r>
          </w:p>
        </w:tc>
        <w:tc>
          <w:tcPr>
            <w:tcW w:w="1449"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2705</w:t>
            </w:r>
          </w:p>
        </w:tc>
        <w:tc>
          <w:tcPr>
            <w:tcW w:w="162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1595</w:t>
            </w:r>
          </w:p>
        </w:tc>
        <w:tc>
          <w:tcPr>
            <w:tcW w:w="2385" w:type="dxa"/>
            <w:vMerge w:val="restart"/>
            <w:tcBorders>
              <w:top w:val="nil"/>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Cachapoal en Puente Termas de Cauquenes. Río Cachapoal en Puente Arqueado</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2462,1</w:t>
            </w:r>
          </w:p>
        </w:tc>
        <w:tc>
          <w:tcPr>
            <w:tcW w:w="1367"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1595</w:t>
            </w:r>
          </w:p>
        </w:tc>
      </w:tr>
      <w:tr w:rsidR="00BA1DFE" w:rsidRPr="00FC1828">
        <w:trPr>
          <w:trHeight w:val="230"/>
          <w:jc w:val="center"/>
        </w:trPr>
        <w:tc>
          <w:tcPr>
            <w:tcW w:w="1041"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449"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62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2385"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56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367"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r>
      <w:tr w:rsidR="00BA1DFE" w:rsidRPr="00FC1828">
        <w:trPr>
          <w:trHeight w:val="230"/>
          <w:jc w:val="center"/>
        </w:trPr>
        <w:tc>
          <w:tcPr>
            <w:tcW w:w="1041"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601</w:t>
            </w:r>
          </w:p>
        </w:tc>
        <w:tc>
          <w:tcPr>
            <w:tcW w:w="1449"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6298,7</w:t>
            </w:r>
          </w:p>
        </w:tc>
        <w:tc>
          <w:tcPr>
            <w:tcW w:w="162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DE7551" w:rsidP="00B51B51">
            <w:pPr>
              <w:widowControl w:val="0"/>
              <w:jc w:val="center"/>
              <w:rPr>
                <w:color w:val="000000"/>
                <w:sz w:val="18"/>
                <w:szCs w:val="20"/>
                <w:lang w:val="es-CL" w:eastAsia="es-CL"/>
              </w:rPr>
            </w:pPr>
            <w:r>
              <w:rPr>
                <w:color w:val="000000"/>
                <w:sz w:val="18"/>
                <w:szCs w:val="20"/>
                <w:lang w:val="es-CL" w:eastAsia="es-CL"/>
              </w:rPr>
              <w:t>1086</w:t>
            </w:r>
          </w:p>
        </w:tc>
        <w:tc>
          <w:tcPr>
            <w:tcW w:w="2385" w:type="dxa"/>
            <w:vMerge w:val="restart"/>
            <w:tcBorders>
              <w:top w:val="nil"/>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Cachapoal en Puente Arqueado</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6230,1</w:t>
            </w:r>
          </w:p>
        </w:tc>
        <w:tc>
          <w:tcPr>
            <w:tcW w:w="1367"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DE7551" w:rsidP="00B51B51">
            <w:pPr>
              <w:widowControl w:val="0"/>
              <w:jc w:val="center"/>
              <w:rPr>
                <w:color w:val="000000"/>
                <w:sz w:val="18"/>
                <w:szCs w:val="20"/>
                <w:lang w:val="es-CL" w:eastAsia="es-CL"/>
              </w:rPr>
            </w:pPr>
            <w:r>
              <w:rPr>
                <w:color w:val="000000"/>
                <w:sz w:val="18"/>
                <w:szCs w:val="20"/>
                <w:lang w:val="es-CL" w:eastAsia="es-CL"/>
              </w:rPr>
              <w:t>1086</w:t>
            </w:r>
          </w:p>
        </w:tc>
      </w:tr>
      <w:tr w:rsidR="00BA1DFE" w:rsidRPr="00FC1828">
        <w:trPr>
          <w:trHeight w:val="230"/>
          <w:jc w:val="center"/>
        </w:trPr>
        <w:tc>
          <w:tcPr>
            <w:tcW w:w="1041"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449"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62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2385"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56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367"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r>
      <w:tr w:rsidR="00BA1DFE" w:rsidRPr="00FC1828">
        <w:trPr>
          <w:trHeight w:val="230"/>
          <w:jc w:val="center"/>
        </w:trPr>
        <w:tc>
          <w:tcPr>
            <w:tcW w:w="1041"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602</w:t>
            </w:r>
          </w:p>
        </w:tc>
        <w:tc>
          <w:tcPr>
            <w:tcW w:w="1449"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1843,2</w:t>
            </w:r>
          </w:p>
        </w:tc>
        <w:tc>
          <w:tcPr>
            <w:tcW w:w="162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1531</w:t>
            </w:r>
          </w:p>
        </w:tc>
        <w:tc>
          <w:tcPr>
            <w:tcW w:w="2385" w:type="dxa"/>
            <w:vMerge w:val="restart"/>
            <w:tcBorders>
              <w:top w:val="nil"/>
              <w:left w:val="single" w:sz="4" w:space="0" w:color="auto"/>
              <w:bottom w:val="single" w:sz="4" w:space="0" w:color="auto"/>
              <w:right w:val="single" w:sz="4" w:space="0" w:color="auto"/>
            </w:tcBorders>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Claro en el Valle. Río Tuingiririca en Bajo Los Briones</w:t>
            </w: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1807</w:t>
            </w:r>
            <w:r w:rsidR="00AF463C">
              <w:rPr>
                <w:color w:val="000000"/>
                <w:sz w:val="18"/>
                <w:szCs w:val="20"/>
                <w:lang w:val="es-CL" w:eastAsia="es-CL"/>
              </w:rPr>
              <w:t>,0</w:t>
            </w:r>
          </w:p>
        </w:tc>
        <w:tc>
          <w:tcPr>
            <w:tcW w:w="1367" w:type="dxa"/>
            <w:vMerge w:val="restart"/>
            <w:tcBorders>
              <w:top w:val="nil"/>
              <w:left w:val="single" w:sz="4" w:space="0" w:color="auto"/>
              <w:bottom w:val="single" w:sz="4" w:space="0" w:color="auto"/>
              <w:right w:val="single" w:sz="4" w:space="0" w:color="auto"/>
            </w:tcBorders>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1648</w:t>
            </w:r>
          </w:p>
        </w:tc>
      </w:tr>
      <w:tr w:rsidR="00BA1DFE" w:rsidRPr="00FC1828">
        <w:trPr>
          <w:trHeight w:val="230"/>
          <w:jc w:val="center"/>
        </w:trPr>
        <w:tc>
          <w:tcPr>
            <w:tcW w:w="1041"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449"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62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2385"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560"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c>
          <w:tcPr>
            <w:tcW w:w="1367" w:type="dxa"/>
            <w:vMerge/>
            <w:tcBorders>
              <w:top w:val="nil"/>
              <w:left w:val="single" w:sz="4" w:space="0" w:color="auto"/>
              <w:bottom w:val="single" w:sz="4" w:space="0" w:color="auto"/>
              <w:right w:val="single" w:sz="4" w:space="0" w:color="auto"/>
            </w:tcBorders>
            <w:vAlign w:val="center"/>
          </w:tcPr>
          <w:p w:rsidR="00BA1DFE" w:rsidRPr="00FC1828" w:rsidRDefault="00BA1DFE" w:rsidP="00B51B51">
            <w:pPr>
              <w:widowControl w:val="0"/>
              <w:jc w:val="left"/>
              <w:rPr>
                <w:color w:val="000000"/>
                <w:sz w:val="18"/>
                <w:szCs w:val="20"/>
                <w:lang w:val="es-CL" w:eastAsia="es-CL"/>
              </w:rPr>
            </w:pP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603</w:t>
            </w:r>
          </w:p>
        </w:tc>
        <w:tc>
          <w:tcPr>
            <w:tcW w:w="1449"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3932,5</w:t>
            </w:r>
          </w:p>
        </w:tc>
        <w:tc>
          <w:tcPr>
            <w:tcW w:w="1620" w:type="dxa"/>
            <w:vMerge w:val="restart"/>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1110</w:t>
            </w:r>
          </w:p>
        </w:tc>
        <w:tc>
          <w:tcPr>
            <w:tcW w:w="2385" w:type="dxa"/>
            <w:vMerge w:val="restart"/>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Tinguiririca en Los Olmos</w:t>
            </w:r>
          </w:p>
        </w:tc>
        <w:tc>
          <w:tcPr>
            <w:tcW w:w="156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3088,3</w:t>
            </w:r>
          </w:p>
        </w:tc>
        <w:tc>
          <w:tcPr>
            <w:tcW w:w="1367" w:type="dxa"/>
            <w:vMerge w:val="restart"/>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1219</w:t>
            </w: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ign w:val="center"/>
          </w:tcPr>
          <w:p w:rsidR="00BA1DFE" w:rsidRPr="00FC1828" w:rsidRDefault="00BA1DFE" w:rsidP="00B51B51">
            <w:pPr>
              <w:widowControl w:val="0"/>
              <w:jc w:val="left"/>
              <w:rPr>
                <w:color w:val="000000"/>
                <w:sz w:val="18"/>
                <w:szCs w:val="20"/>
                <w:lang w:val="es-CL" w:eastAsia="es-CL"/>
              </w:rPr>
            </w:pPr>
          </w:p>
        </w:tc>
        <w:tc>
          <w:tcPr>
            <w:tcW w:w="1449" w:type="dxa"/>
            <w:vMerge/>
            <w:vAlign w:val="center"/>
          </w:tcPr>
          <w:p w:rsidR="00BA1DFE" w:rsidRPr="00FC1828" w:rsidRDefault="00BA1DFE" w:rsidP="00B51B51">
            <w:pPr>
              <w:widowControl w:val="0"/>
              <w:jc w:val="left"/>
              <w:rPr>
                <w:color w:val="000000"/>
                <w:sz w:val="18"/>
                <w:szCs w:val="20"/>
                <w:lang w:val="es-CL" w:eastAsia="es-CL"/>
              </w:rPr>
            </w:pPr>
          </w:p>
        </w:tc>
        <w:tc>
          <w:tcPr>
            <w:tcW w:w="1620" w:type="dxa"/>
            <w:vMerge/>
            <w:vAlign w:val="center"/>
          </w:tcPr>
          <w:p w:rsidR="00BA1DFE" w:rsidRPr="00FC1828" w:rsidRDefault="00BA1DFE" w:rsidP="00B51B51">
            <w:pPr>
              <w:widowControl w:val="0"/>
              <w:jc w:val="left"/>
              <w:rPr>
                <w:color w:val="000000"/>
                <w:sz w:val="18"/>
                <w:szCs w:val="20"/>
                <w:lang w:val="es-CL" w:eastAsia="es-CL"/>
              </w:rPr>
            </w:pPr>
          </w:p>
        </w:tc>
        <w:tc>
          <w:tcPr>
            <w:tcW w:w="2385" w:type="dxa"/>
            <w:vMerge/>
            <w:vAlign w:val="center"/>
          </w:tcPr>
          <w:p w:rsidR="00BA1DFE" w:rsidRPr="00FC1828" w:rsidRDefault="00BA1DFE" w:rsidP="00B51B51">
            <w:pPr>
              <w:widowControl w:val="0"/>
              <w:jc w:val="left"/>
              <w:rPr>
                <w:color w:val="000000"/>
                <w:sz w:val="18"/>
                <w:szCs w:val="20"/>
                <w:lang w:val="es-CL" w:eastAsia="es-CL"/>
              </w:rPr>
            </w:pPr>
          </w:p>
        </w:tc>
        <w:tc>
          <w:tcPr>
            <w:tcW w:w="1560" w:type="dxa"/>
            <w:vMerge/>
            <w:vAlign w:val="center"/>
          </w:tcPr>
          <w:p w:rsidR="00BA1DFE" w:rsidRPr="00FC1828" w:rsidRDefault="00BA1DFE" w:rsidP="00B51B51">
            <w:pPr>
              <w:widowControl w:val="0"/>
              <w:jc w:val="left"/>
              <w:rPr>
                <w:color w:val="000000"/>
                <w:sz w:val="18"/>
                <w:szCs w:val="20"/>
                <w:lang w:val="es-CL" w:eastAsia="es-CL"/>
              </w:rPr>
            </w:pPr>
          </w:p>
        </w:tc>
        <w:tc>
          <w:tcPr>
            <w:tcW w:w="1367" w:type="dxa"/>
            <w:vMerge/>
            <w:vAlign w:val="center"/>
          </w:tcPr>
          <w:p w:rsidR="00BA1DFE" w:rsidRPr="00FC1828" w:rsidRDefault="00BA1DFE" w:rsidP="00B51B51">
            <w:pPr>
              <w:widowControl w:val="0"/>
              <w:jc w:val="left"/>
              <w:rPr>
                <w:color w:val="000000"/>
                <w:sz w:val="18"/>
                <w:szCs w:val="20"/>
                <w:lang w:val="es-CL" w:eastAsia="es-CL"/>
              </w:rPr>
            </w:pP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604</w:t>
            </w:r>
          </w:p>
        </w:tc>
        <w:tc>
          <w:tcPr>
            <w:tcW w:w="1449"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1423,9</w:t>
            </w:r>
          </w:p>
        </w:tc>
        <w:tc>
          <w:tcPr>
            <w:tcW w:w="1620" w:type="dxa"/>
            <w:vMerge w:val="restart"/>
            <w:shd w:val="clear" w:color="auto" w:fill="auto"/>
            <w:noWrap/>
            <w:vAlign w:val="center"/>
          </w:tcPr>
          <w:p w:rsidR="00BA1DFE" w:rsidRPr="00FC1828" w:rsidRDefault="00BA1DFE" w:rsidP="00AF463C">
            <w:pPr>
              <w:widowControl w:val="0"/>
              <w:jc w:val="center"/>
              <w:rPr>
                <w:color w:val="000000"/>
                <w:sz w:val="18"/>
                <w:szCs w:val="20"/>
                <w:lang w:val="es-CL" w:eastAsia="es-CL"/>
              </w:rPr>
            </w:pPr>
            <w:r w:rsidRPr="00FC1828">
              <w:rPr>
                <w:color w:val="000000"/>
                <w:sz w:val="18"/>
                <w:szCs w:val="20"/>
                <w:lang w:val="es-CL" w:eastAsia="es-CL"/>
              </w:rPr>
              <w:t>5</w:t>
            </w:r>
            <w:r w:rsidR="00AF463C">
              <w:rPr>
                <w:color w:val="000000"/>
                <w:sz w:val="18"/>
                <w:szCs w:val="20"/>
                <w:lang w:val="es-CL" w:eastAsia="es-CL"/>
              </w:rPr>
              <w:t>60</w:t>
            </w:r>
          </w:p>
        </w:tc>
        <w:tc>
          <w:tcPr>
            <w:tcW w:w="2385" w:type="dxa"/>
            <w:vMerge w:val="restart"/>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Estero Alhué en Quilamuta</w:t>
            </w:r>
          </w:p>
        </w:tc>
        <w:tc>
          <w:tcPr>
            <w:tcW w:w="156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813,3</w:t>
            </w:r>
          </w:p>
        </w:tc>
        <w:tc>
          <w:tcPr>
            <w:tcW w:w="1367" w:type="dxa"/>
            <w:vMerge w:val="restart"/>
            <w:shd w:val="clear" w:color="auto" w:fill="auto"/>
            <w:noWrap/>
            <w:vAlign w:val="center"/>
          </w:tcPr>
          <w:p w:rsidR="00BA1DFE" w:rsidRPr="00FC1828" w:rsidRDefault="00BA1DFE" w:rsidP="00AF463C">
            <w:pPr>
              <w:widowControl w:val="0"/>
              <w:jc w:val="center"/>
              <w:rPr>
                <w:color w:val="000000"/>
                <w:sz w:val="18"/>
                <w:szCs w:val="20"/>
                <w:lang w:val="es-CL" w:eastAsia="es-CL"/>
              </w:rPr>
            </w:pPr>
            <w:r w:rsidRPr="00FC1828">
              <w:rPr>
                <w:color w:val="000000"/>
                <w:sz w:val="18"/>
                <w:szCs w:val="20"/>
                <w:lang w:val="es-CL" w:eastAsia="es-CL"/>
              </w:rPr>
              <w:t>5</w:t>
            </w:r>
            <w:r w:rsidR="00AF463C">
              <w:rPr>
                <w:color w:val="000000"/>
                <w:sz w:val="18"/>
                <w:szCs w:val="20"/>
                <w:lang w:val="es-CL" w:eastAsia="es-CL"/>
              </w:rPr>
              <w:t>60</w:t>
            </w: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ign w:val="center"/>
          </w:tcPr>
          <w:p w:rsidR="00BA1DFE" w:rsidRPr="00FC1828" w:rsidRDefault="00BA1DFE" w:rsidP="00B51B51">
            <w:pPr>
              <w:widowControl w:val="0"/>
              <w:jc w:val="left"/>
              <w:rPr>
                <w:color w:val="000000"/>
                <w:sz w:val="18"/>
                <w:szCs w:val="20"/>
                <w:lang w:val="es-CL" w:eastAsia="es-CL"/>
              </w:rPr>
            </w:pPr>
          </w:p>
        </w:tc>
        <w:tc>
          <w:tcPr>
            <w:tcW w:w="1449" w:type="dxa"/>
            <w:vMerge/>
            <w:vAlign w:val="center"/>
          </w:tcPr>
          <w:p w:rsidR="00BA1DFE" w:rsidRPr="00FC1828" w:rsidRDefault="00BA1DFE" w:rsidP="00B51B51">
            <w:pPr>
              <w:widowControl w:val="0"/>
              <w:jc w:val="left"/>
              <w:rPr>
                <w:color w:val="000000"/>
                <w:sz w:val="18"/>
                <w:szCs w:val="20"/>
                <w:lang w:val="es-CL" w:eastAsia="es-CL"/>
              </w:rPr>
            </w:pPr>
          </w:p>
        </w:tc>
        <w:tc>
          <w:tcPr>
            <w:tcW w:w="1620" w:type="dxa"/>
            <w:vMerge/>
            <w:vAlign w:val="center"/>
          </w:tcPr>
          <w:p w:rsidR="00BA1DFE" w:rsidRPr="00FC1828" w:rsidRDefault="00BA1DFE" w:rsidP="00B51B51">
            <w:pPr>
              <w:widowControl w:val="0"/>
              <w:jc w:val="left"/>
              <w:rPr>
                <w:color w:val="000000"/>
                <w:sz w:val="18"/>
                <w:szCs w:val="20"/>
                <w:lang w:val="es-CL" w:eastAsia="es-CL"/>
              </w:rPr>
            </w:pPr>
          </w:p>
        </w:tc>
        <w:tc>
          <w:tcPr>
            <w:tcW w:w="2385" w:type="dxa"/>
            <w:vMerge/>
            <w:vAlign w:val="center"/>
          </w:tcPr>
          <w:p w:rsidR="00BA1DFE" w:rsidRPr="00FC1828" w:rsidRDefault="00BA1DFE" w:rsidP="00B51B51">
            <w:pPr>
              <w:widowControl w:val="0"/>
              <w:jc w:val="left"/>
              <w:rPr>
                <w:color w:val="000000"/>
                <w:sz w:val="18"/>
                <w:szCs w:val="20"/>
                <w:lang w:val="es-CL" w:eastAsia="es-CL"/>
              </w:rPr>
            </w:pPr>
          </w:p>
        </w:tc>
        <w:tc>
          <w:tcPr>
            <w:tcW w:w="1560" w:type="dxa"/>
            <w:vMerge/>
            <w:vAlign w:val="center"/>
          </w:tcPr>
          <w:p w:rsidR="00BA1DFE" w:rsidRPr="00FC1828" w:rsidRDefault="00BA1DFE" w:rsidP="00B51B51">
            <w:pPr>
              <w:widowControl w:val="0"/>
              <w:jc w:val="left"/>
              <w:rPr>
                <w:color w:val="000000"/>
                <w:sz w:val="18"/>
                <w:szCs w:val="20"/>
                <w:lang w:val="es-CL" w:eastAsia="es-CL"/>
              </w:rPr>
            </w:pPr>
          </w:p>
        </w:tc>
        <w:tc>
          <w:tcPr>
            <w:tcW w:w="1367" w:type="dxa"/>
            <w:vMerge/>
            <w:vAlign w:val="center"/>
          </w:tcPr>
          <w:p w:rsidR="00BA1DFE" w:rsidRPr="00FC1828" w:rsidRDefault="00BA1DFE" w:rsidP="00B51B51">
            <w:pPr>
              <w:widowControl w:val="0"/>
              <w:jc w:val="left"/>
              <w:rPr>
                <w:color w:val="000000"/>
                <w:sz w:val="18"/>
                <w:szCs w:val="20"/>
                <w:lang w:val="es-CL" w:eastAsia="es-CL"/>
              </w:rPr>
            </w:pP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605</w:t>
            </w:r>
          </w:p>
        </w:tc>
        <w:tc>
          <w:tcPr>
            <w:tcW w:w="1449"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13765,8</w:t>
            </w:r>
          </w:p>
        </w:tc>
        <w:tc>
          <w:tcPr>
            <w:tcW w:w="162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1001</w:t>
            </w:r>
          </w:p>
        </w:tc>
        <w:tc>
          <w:tcPr>
            <w:tcW w:w="2385" w:type="dxa"/>
            <w:vMerge w:val="restart"/>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Río Rapel en Rapel</w:t>
            </w:r>
          </w:p>
        </w:tc>
        <w:tc>
          <w:tcPr>
            <w:tcW w:w="156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13641,2</w:t>
            </w:r>
          </w:p>
        </w:tc>
        <w:tc>
          <w:tcPr>
            <w:tcW w:w="1367"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1001</w:t>
            </w: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ign w:val="center"/>
          </w:tcPr>
          <w:p w:rsidR="00BA1DFE" w:rsidRPr="00FC1828" w:rsidRDefault="00BA1DFE" w:rsidP="00B51B51">
            <w:pPr>
              <w:widowControl w:val="0"/>
              <w:jc w:val="left"/>
              <w:rPr>
                <w:color w:val="000000"/>
                <w:sz w:val="18"/>
                <w:szCs w:val="20"/>
                <w:lang w:val="es-CL" w:eastAsia="es-CL"/>
              </w:rPr>
            </w:pPr>
          </w:p>
        </w:tc>
        <w:tc>
          <w:tcPr>
            <w:tcW w:w="1449" w:type="dxa"/>
            <w:vMerge/>
            <w:vAlign w:val="center"/>
          </w:tcPr>
          <w:p w:rsidR="00BA1DFE" w:rsidRPr="00FC1828" w:rsidRDefault="00BA1DFE" w:rsidP="00B51B51">
            <w:pPr>
              <w:widowControl w:val="0"/>
              <w:jc w:val="left"/>
              <w:rPr>
                <w:color w:val="000000"/>
                <w:sz w:val="18"/>
                <w:szCs w:val="20"/>
                <w:lang w:val="es-CL" w:eastAsia="es-CL"/>
              </w:rPr>
            </w:pPr>
          </w:p>
        </w:tc>
        <w:tc>
          <w:tcPr>
            <w:tcW w:w="1620" w:type="dxa"/>
            <w:vMerge/>
            <w:vAlign w:val="center"/>
          </w:tcPr>
          <w:p w:rsidR="00BA1DFE" w:rsidRPr="00FC1828" w:rsidRDefault="00BA1DFE" w:rsidP="00B51B51">
            <w:pPr>
              <w:widowControl w:val="0"/>
              <w:jc w:val="left"/>
              <w:rPr>
                <w:color w:val="000000"/>
                <w:sz w:val="18"/>
                <w:szCs w:val="20"/>
                <w:lang w:val="es-CL" w:eastAsia="es-CL"/>
              </w:rPr>
            </w:pPr>
          </w:p>
        </w:tc>
        <w:tc>
          <w:tcPr>
            <w:tcW w:w="2385" w:type="dxa"/>
            <w:vMerge/>
            <w:vAlign w:val="center"/>
          </w:tcPr>
          <w:p w:rsidR="00BA1DFE" w:rsidRPr="00FC1828" w:rsidRDefault="00BA1DFE" w:rsidP="00B51B51">
            <w:pPr>
              <w:widowControl w:val="0"/>
              <w:jc w:val="left"/>
              <w:rPr>
                <w:color w:val="000000"/>
                <w:sz w:val="18"/>
                <w:szCs w:val="20"/>
                <w:lang w:val="es-CL" w:eastAsia="es-CL"/>
              </w:rPr>
            </w:pPr>
          </w:p>
        </w:tc>
        <w:tc>
          <w:tcPr>
            <w:tcW w:w="1560" w:type="dxa"/>
            <w:vMerge/>
            <w:vAlign w:val="center"/>
          </w:tcPr>
          <w:p w:rsidR="00BA1DFE" w:rsidRPr="00FC1828" w:rsidRDefault="00BA1DFE" w:rsidP="00B51B51">
            <w:pPr>
              <w:widowControl w:val="0"/>
              <w:jc w:val="left"/>
              <w:rPr>
                <w:color w:val="000000"/>
                <w:sz w:val="18"/>
                <w:szCs w:val="20"/>
                <w:lang w:val="es-CL" w:eastAsia="es-CL"/>
              </w:rPr>
            </w:pPr>
          </w:p>
        </w:tc>
        <w:tc>
          <w:tcPr>
            <w:tcW w:w="1367" w:type="dxa"/>
            <w:vMerge/>
            <w:vAlign w:val="center"/>
          </w:tcPr>
          <w:p w:rsidR="00BA1DFE" w:rsidRPr="00FC1828" w:rsidRDefault="00BA1DFE" w:rsidP="00B51B51">
            <w:pPr>
              <w:widowControl w:val="0"/>
              <w:jc w:val="left"/>
              <w:rPr>
                <w:color w:val="000000"/>
                <w:sz w:val="18"/>
                <w:szCs w:val="20"/>
                <w:lang w:val="es-CL" w:eastAsia="es-CL"/>
              </w:rPr>
            </w:pP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613</w:t>
            </w:r>
          </w:p>
        </w:tc>
        <w:tc>
          <w:tcPr>
            <w:tcW w:w="1449"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1776,4</w:t>
            </w:r>
          </w:p>
        </w:tc>
        <w:tc>
          <w:tcPr>
            <w:tcW w:w="162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685</w:t>
            </w:r>
          </w:p>
        </w:tc>
        <w:tc>
          <w:tcPr>
            <w:tcW w:w="2385" w:type="dxa"/>
            <w:vMerge w:val="restart"/>
            <w:shd w:val="clear" w:color="auto" w:fill="auto"/>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Estero Nilahue en Santa Teresa</w:t>
            </w:r>
          </w:p>
        </w:tc>
        <w:tc>
          <w:tcPr>
            <w:tcW w:w="1560" w:type="dxa"/>
            <w:vMerge w:val="restart"/>
            <w:shd w:val="clear" w:color="auto" w:fill="auto"/>
            <w:noWrap/>
            <w:vAlign w:val="center"/>
          </w:tcPr>
          <w:p w:rsidR="00BA1DFE" w:rsidRPr="00FC1828" w:rsidRDefault="00BA1DFE" w:rsidP="00B51B51">
            <w:pPr>
              <w:widowControl w:val="0"/>
              <w:jc w:val="center"/>
              <w:rPr>
                <w:color w:val="000000"/>
                <w:sz w:val="18"/>
                <w:szCs w:val="20"/>
                <w:lang w:val="es-CL" w:eastAsia="es-CL"/>
              </w:rPr>
            </w:pPr>
            <w:r w:rsidRPr="00FC1828">
              <w:rPr>
                <w:color w:val="000000"/>
                <w:sz w:val="18"/>
                <w:szCs w:val="20"/>
                <w:lang w:val="es-CL" w:eastAsia="es-CL"/>
              </w:rPr>
              <w:t>1441,7</w:t>
            </w:r>
          </w:p>
        </w:tc>
        <w:tc>
          <w:tcPr>
            <w:tcW w:w="1367" w:type="dxa"/>
            <w:vMerge w:val="restart"/>
            <w:shd w:val="clear" w:color="auto" w:fill="auto"/>
            <w:noWrap/>
            <w:vAlign w:val="center"/>
          </w:tcPr>
          <w:p w:rsidR="00BA1DFE" w:rsidRPr="00FC1828" w:rsidRDefault="00AF463C" w:rsidP="00B51B51">
            <w:pPr>
              <w:widowControl w:val="0"/>
              <w:jc w:val="center"/>
              <w:rPr>
                <w:color w:val="000000"/>
                <w:sz w:val="18"/>
                <w:szCs w:val="20"/>
                <w:lang w:val="es-CL" w:eastAsia="es-CL"/>
              </w:rPr>
            </w:pPr>
            <w:r>
              <w:rPr>
                <w:color w:val="000000"/>
                <w:sz w:val="18"/>
                <w:szCs w:val="20"/>
                <w:lang w:val="es-CL" w:eastAsia="es-CL"/>
              </w:rPr>
              <w:t>700</w:t>
            </w:r>
          </w:p>
        </w:tc>
      </w:tr>
      <w:tr w:rsidR="00BA1DFE" w:rsidRPr="00FC18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0"/>
          <w:jc w:val="center"/>
        </w:trPr>
        <w:tc>
          <w:tcPr>
            <w:tcW w:w="1041" w:type="dxa"/>
            <w:vMerge/>
            <w:vAlign w:val="center"/>
          </w:tcPr>
          <w:p w:rsidR="00BA1DFE" w:rsidRPr="00FC1828" w:rsidRDefault="00BA1DFE" w:rsidP="00B51B51">
            <w:pPr>
              <w:widowControl w:val="0"/>
              <w:jc w:val="left"/>
              <w:rPr>
                <w:color w:val="000000"/>
                <w:sz w:val="18"/>
                <w:szCs w:val="20"/>
                <w:lang w:val="es-CL" w:eastAsia="es-CL"/>
              </w:rPr>
            </w:pPr>
          </w:p>
        </w:tc>
        <w:tc>
          <w:tcPr>
            <w:tcW w:w="1449" w:type="dxa"/>
            <w:vMerge/>
            <w:vAlign w:val="center"/>
          </w:tcPr>
          <w:p w:rsidR="00BA1DFE" w:rsidRPr="00FC1828" w:rsidRDefault="00BA1DFE" w:rsidP="00B51B51">
            <w:pPr>
              <w:widowControl w:val="0"/>
              <w:jc w:val="left"/>
              <w:rPr>
                <w:color w:val="000000"/>
                <w:sz w:val="18"/>
                <w:szCs w:val="20"/>
                <w:lang w:val="es-CL" w:eastAsia="es-CL"/>
              </w:rPr>
            </w:pPr>
          </w:p>
        </w:tc>
        <w:tc>
          <w:tcPr>
            <w:tcW w:w="1620" w:type="dxa"/>
            <w:vMerge/>
            <w:vAlign w:val="center"/>
          </w:tcPr>
          <w:p w:rsidR="00BA1DFE" w:rsidRPr="00FC1828" w:rsidRDefault="00BA1DFE" w:rsidP="00B51B51">
            <w:pPr>
              <w:widowControl w:val="0"/>
              <w:jc w:val="left"/>
              <w:rPr>
                <w:color w:val="000000"/>
                <w:sz w:val="18"/>
                <w:szCs w:val="20"/>
                <w:lang w:val="es-CL" w:eastAsia="es-CL"/>
              </w:rPr>
            </w:pPr>
          </w:p>
        </w:tc>
        <w:tc>
          <w:tcPr>
            <w:tcW w:w="2385" w:type="dxa"/>
            <w:vMerge/>
            <w:vAlign w:val="center"/>
          </w:tcPr>
          <w:p w:rsidR="00BA1DFE" w:rsidRPr="00FC1828" w:rsidRDefault="00BA1DFE" w:rsidP="00B51B51">
            <w:pPr>
              <w:widowControl w:val="0"/>
              <w:jc w:val="left"/>
              <w:rPr>
                <w:color w:val="000000"/>
                <w:sz w:val="18"/>
                <w:szCs w:val="20"/>
                <w:lang w:val="es-CL" w:eastAsia="es-CL"/>
              </w:rPr>
            </w:pPr>
          </w:p>
        </w:tc>
        <w:tc>
          <w:tcPr>
            <w:tcW w:w="1560" w:type="dxa"/>
            <w:vMerge/>
            <w:vAlign w:val="center"/>
          </w:tcPr>
          <w:p w:rsidR="00BA1DFE" w:rsidRPr="00FC1828" w:rsidRDefault="00BA1DFE" w:rsidP="00B51B51">
            <w:pPr>
              <w:widowControl w:val="0"/>
              <w:jc w:val="left"/>
              <w:rPr>
                <w:color w:val="000000"/>
                <w:sz w:val="18"/>
                <w:szCs w:val="20"/>
                <w:lang w:val="es-CL" w:eastAsia="es-CL"/>
              </w:rPr>
            </w:pPr>
          </w:p>
        </w:tc>
        <w:tc>
          <w:tcPr>
            <w:tcW w:w="1367" w:type="dxa"/>
            <w:vMerge/>
            <w:vAlign w:val="center"/>
          </w:tcPr>
          <w:p w:rsidR="00BA1DFE" w:rsidRPr="00FC1828" w:rsidRDefault="00BA1DFE" w:rsidP="00B51B51">
            <w:pPr>
              <w:widowControl w:val="0"/>
              <w:jc w:val="left"/>
              <w:rPr>
                <w:color w:val="000000"/>
                <w:sz w:val="18"/>
                <w:szCs w:val="20"/>
                <w:lang w:val="es-CL" w:eastAsia="es-CL"/>
              </w:rPr>
            </w:pPr>
          </w:p>
        </w:tc>
      </w:tr>
    </w:tbl>
    <w:p w:rsidR="00BA1DFE" w:rsidRPr="00FC1828" w:rsidRDefault="00BA1DFE" w:rsidP="00B51B51">
      <w:pPr>
        <w:widowControl w:val="0"/>
        <w:rPr>
          <w:sz w:val="30"/>
        </w:rPr>
      </w:pPr>
    </w:p>
    <w:p w:rsidR="00BA1DFE" w:rsidRDefault="00E6658A" w:rsidP="00B51B51">
      <w:pPr>
        <w:pStyle w:val="Ttulo2"/>
        <w:keepNext w:val="0"/>
      </w:pPr>
      <w:bookmarkStart w:id="204" w:name="_Toc344391811"/>
      <w:r>
        <w:t>Generación de Información en Cuencas Pluviales sin Control F</w:t>
      </w:r>
      <w:r w:rsidR="00BA1DFE">
        <w:t>luviométrico</w:t>
      </w:r>
      <w:bookmarkEnd w:id="204"/>
    </w:p>
    <w:p w:rsidR="00BA1DFE" w:rsidRDefault="00BA1DFE" w:rsidP="00B51B51">
      <w:pPr>
        <w:widowControl w:val="0"/>
      </w:pPr>
    </w:p>
    <w:p w:rsidR="00BA1DFE" w:rsidRPr="00AD30D4" w:rsidRDefault="00BA1DFE" w:rsidP="00145762">
      <w:pPr>
        <w:widowControl w:val="0"/>
        <w:numPr>
          <w:ilvl w:val="0"/>
          <w:numId w:val="20"/>
        </w:numPr>
        <w:ind w:hanging="720"/>
        <w:rPr>
          <w:b/>
        </w:rPr>
      </w:pPr>
      <w:r w:rsidRPr="00AD30D4">
        <w:rPr>
          <w:b/>
        </w:rPr>
        <w:t xml:space="preserve">Aspectos Metodológicos </w:t>
      </w:r>
    </w:p>
    <w:p w:rsidR="00BA1DFE" w:rsidRDefault="00BA1DFE" w:rsidP="00B51B51">
      <w:pPr>
        <w:widowControl w:val="0"/>
        <w:ind w:left="360"/>
      </w:pPr>
    </w:p>
    <w:p w:rsidR="0007465B" w:rsidRDefault="00BA1DFE" w:rsidP="00B51B51">
      <w:pPr>
        <w:widowControl w:val="0"/>
      </w:pPr>
      <w:r>
        <w:t xml:space="preserve">Para la síntesis de caudales en cuencas pluviales sin control fluviométrico, se utilizó un modelo del tipo precipitación – escorrentía, conocido como MPL. Dicho modelo emplea como base antecedentes de precipitación, evapotranspiración y el área de la cuenca, en combinación con una serie de parámetros de almacenamiento del suelo, según el esquema que se presenta en </w:t>
      </w:r>
      <w:smartTag w:uri="urn:schemas-microsoft-com:office:smarttags" w:element="PersonName">
        <w:smartTagPr>
          <w:attr w:name="ProductID" w:val="la ￼￼￼￼￼￼￼￼￼￼￼￼￼￼￼￼￼￼￼￼￼￼￼￼￼Figura"/>
        </w:smartTagPr>
        <w:r>
          <w:t xml:space="preserve">la </w:t>
        </w:r>
        <w:r w:rsidR="00AF463C">
          <w:t>Figura</w:t>
        </w:r>
      </w:smartTag>
      <w:r w:rsidR="00AF463C">
        <w:t xml:space="preserve"> 4</w:t>
      </w:r>
      <w:r w:rsidR="0007465B">
        <w:t>.6.</w:t>
      </w:r>
    </w:p>
    <w:p w:rsidR="00AF463C" w:rsidRDefault="00AF463C" w:rsidP="00B51B51">
      <w:pPr>
        <w:widowControl w:val="0"/>
      </w:pPr>
    </w:p>
    <w:p w:rsidR="00AF463C" w:rsidRDefault="00AF463C" w:rsidP="00B51B51">
      <w:pPr>
        <w:widowControl w:val="0"/>
      </w:pPr>
    </w:p>
    <w:p w:rsidR="00FC1828" w:rsidRDefault="00FC1828" w:rsidP="00B51B51">
      <w:pPr>
        <w:widowControl w:val="0"/>
      </w:pPr>
    </w:p>
    <w:p w:rsidR="00BA1DFE" w:rsidRDefault="00BA1DFE" w:rsidP="00B51B51">
      <w:pPr>
        <w:pStyle w:val="Epgrafe"/>
        <w:widowControl w:val="0"/>
        <w:rPr>
          <w:noProof/>
        </w:rPr>
      </w:pPr>
      <w:bookmarkStart w:id="205" w:name="_Ref336884097"/>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6</w:t>
      </w:r>
      <w:r w:rsidR="00951FEC">
        <w:fldChar w:fldCharType="end"/>
      </w:r>
      <w:bookmarkEnd w:id="205"/>
      <w:r>
        <w:t xml:space="preserve"> Esquema Modelo Pluviométrico</w:t>
      </w:r>
    </w:p>
    <w:p w:rsidR="00BA1DFE" w:rsidRDefault="00BA1DFE" w:rsidP="00B51B51">
      <w:pPr>
        <w:widowControl w:val="0"/>
      </w:pPr>
    </w:p>
    <w:p w:rsidR="00BA1DFE" w:rsidRDefault="00254CE2" w:rsidP="00B51B51">
      <w:pPr>
        <w:widowControl w:val="0"/>
      </w:pPr>
      <w:r>
        <w:rPr>
          <w:noProof/>
          <w:lang w:val="es-CL" w:eastAsia="es-CL"/>
        </w:rPr>
        <mc:AlternateContent>
          <mc:Choice Requires="wpg">
            <w:drawing>
              <wp:anchor distT="0" distB="0" distL="114300" distR="114300" simplePos="0" relativeHeight="251650560" behindDoc="0" locked="0" layoutInCell="1" allowOverlap="1">
                <wp:simplePos x="0" y="0"/>
                <wp:positionH relativeFrom="column">
                  <wp:posOffset>690880</wp:posOffset>
                </wp:positionH>
                <wp:positionV relativeFrom="paragraph">
                  <wp:posOffset>21590</wp:posOffset>
                </wp:positionV>
                <wp:extent cx="4675505" cy="5549265"/>
                <wp:effectExtent l="5080" t="2540" r="0" b="1270"/>
                <wp:wrapNone/>
                <wp:docPr id="27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5505" cy="5549265"/>
                          <a:chOff x="2580" y="4265"/>
                          <a:chExt cx="7363" cy="9737"/>
                        </a:xfrm>
                      </wpg:grpSpPr>
                      <pic:pic xmlns:pic="http://schemas.openxmlformats.org/drawingml/2006/picture">
                        <pic:nvPicPr>
                          <pic:cNvPr id="277" name="Imagen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580" y="4265"/>
                            <a:ext cx="7363" cy="9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Text Box 39"/>
                        <wps:cNvSpPr txBox="1">
                          <a:spLocks noChangeArrowheads="1"/>
                        </wps:cNvSpPr>
                        <wps:spPr bwMode="auto">
                          <a:xfrm>
                            <a:off x="5482" y="13401"/>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102" w:rsidRDefault="007F310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left:0;text-align:left;margin-left:54.4pt;margin-top:1.7pt;width:368.15pt;height:436.95pt;z-index:251650560" coordorigin="2580,4265" coordsize="7363,9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">
                <v:shape id="Imagen 31" o:spid="_x0000_s1027" type="#_x0000_t75" style="position:absolute;left:2580;top:4265;width:7363;height:9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RwCXDAAAA3AAAAA8AAABkcnMvZG93bnJldi54bWxEj0+LwjAUxO+C3yE8wYtoahe2Uo3iH4T1&#10;uK7g9dE822rzUptY67c3Cwt7HGbmN8xi1ZlKtNS40rKC6SQCQZxZXXKu4PSzH89AOI+ssbJMCl7k&#10;YLXs9xaYavvkb2qPPhcBwi5FBYX3dSqlywoy6Ca2Jg7exTYGfZBNLnWDzwA3lYyj6FMaLDksFFjT&#10;tqDsdnwYBXgdRa298/TAm/OtrT92ryq+KjUcdOs5CE+d/w//tb+0gjhJ4PdMOAJ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HAJcMAAADcAAAADwAAAAAAAAAAAAAAAACf&#10;AgAAZHJzL2Rvd25yZXYueG1sUEsFBgAAAAAEAAQA9wAAAI8DAAAAAA==&#10;">
                  <v:imagedata r:id="rId31" o:title=""/>
                </v:shape>
                <v:shapetype id="_x0000_t202" coordsize="21600,21600" o:spt="202" path="m,l,21600r21600,l21600,xe">
                  <v:stroke joinstyle="miter"/>
                  <v:path gradientshapeok="t" o:connecttype="rect"/>
                </v:shapetype>
                <v:shape id="Text Box 39" o:spid="_x0000_s1028" type="#_x0000_t202" style="position:absolute;left:5482;top:13401;width:14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RFsEA&#10;AADcAAAADwAAAGRycy9kb3ducmV2LnhtbERPS27CMBDdV+IO1iB1U4EDogkEDGorUbFN4ABDPCQR&#10;8TiK3XxuXy8qdfn0/ofTaBrRU+dqywpWywgEcWF1zaWC2/W82IJwHlljY5kUTOTgdJy9HDDVduCM&#10;+tyXIoSwS1FB5X2bSumKigy6pW2JA/ewnUEfYFdK3eEQwk0j11EUS4M1h4YKW/qqqHjmP0bB4zK8&#10;ve+G+7e/Jdkm/sQ6udtJqdf5+LEH4Wn0/+I/90UrWCdhbT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JURbBAAAA3AAAAA8AAAAAAAAAAAAAAAAAmAIAAGRycy9kb3du&#10;cmV2LnhtbFBLBQYAAAAABAAEAPUAAACGAwAAAAA=&#10;" stroked="f">
                  <v:textbox>
                    <w:txbxContent>
                      <w:p w:rsidR="007F3102" w:rsidRDefault="007F3102"/>
                    </w:txbxContent>
                  </v:textbox>
                </v:shape>
              </v:group>
            </w:pict>
          </mc:Fallback>
        </mc:AlternateContent>
      </w: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BA1DFE" w:rsidRDefault="00BA1DFE" w:rsidP="00B51B51">
      <w:pPr>
        <w:widowControl w:val="0"/>
      </w:pPr>
    </w:p>
    <w:p w:rsidR="00AF463C" w:rsidRDefault="00AF463C" w:rsidP="00FC1828">
      <w:pPr>
        <w:widowControl w:val="0"/>
      </w:pPr>
    </w:p>
    <w:p w:rsidR="00AF463C" w:rsidRPr="0007465B" w:rsidRDefault="00AF463C" w:rsidP="00145762">
      <w:pPr>
        <w:widowControl w:val="0"/>
        <w:numPr>
          <w:ilvl w:val="0"/>
          <w:numId w:val="20"/>
        </w:numPr>
        <w:ind w:hanging="720"/>
        <w:rPr>
          <w:b/>
        </w:rPr>
      </w:pPr>
      <w:r w:rsidRPr="0007465B">
        <w:rPr>
          <w:b/>
        </w:rPr>
        <w:t>Calibración del Modelo</w:t>
      </w:r>
    </w:p>
    <w:p w:rsidR="00AF463C" w:rsidRDefault="00AF463C" w:rsidP="00AF463C">
      <w:pPr>
        <w:widowControl w:val="0"/>
      </w:pPr>
    </w:p>
    <w:p w:rsidR="00AF463C" w:rsidRDefault="00AF463C" w:rsidP="00AF463C">
      <w:pPr>
        <w:widowControl w:val="0"/>
      </w:pPr>
      <w:r>
        <w:t>Los parámetros del modelo deben ser calibrados, con el fin de que efectivamente represente la escorrentía a nivel medio mensual de las subcuencas en cuestión.</w:t>
      </w:r>
    </w:p>
    <w:p w:rsidR="00AF463C" w:rsidRDefault="00AF463C" w:rsidP="00AF463C">
      <w:pPr>
        <w:widowControl w:val="0"/>
      </w:pPr>
    </w:p>
    <w:p w:rsidR="00FC1828" w:rsidRDefault="00FC1828" w:rsidP="00FC1828">
      <w:pPr>
        <w:widowControl w:val="0"/>
      </w:pPr>
      <w:r>
        <w:t xml:space="preserve">Se procedió a calibrar el MPL con las estadísticas de precipitaciones mensuales disponibles (Nilahue Barahona, Ranguili y El Membrillo) y los caudales medios mensuales de la estación Estero Nilahue en Santa Teresa, para el período comprendido entre abril de 1986 y marzo de 2003. </w:t>
      </w:r>
    </w:p>
    <w:p w:rsidR="00FC1828" w:rsidRDefault="00FC1828" w:rsidP="00FC1828">
      <w:pPr>
        <w:widowControl w:val="0"/>
      </w:pPr>
    </w:p>
    <w:p w:rsidR="00FC1828" w:rsidRDefault="00FC1828" w:rsidP="00FC1828">
      <w:pPr>
        <w:widowControl w:val="0"/>
      </w:pPr>
      <w:r>
        <w:lastRenderedPageBreak/>
        <w:t>Para escoger la mejor calibración se utilizó el índice Nash Sutcliffe (NS), cuya expresión es la siguiente:</w:t>
      </w:r>
    </w:p>
    <w:p w:rsidR="00AD30D4" w:rsidRPr="00254CE2" w:rsidRDefault="00254CE2" w:rsidP="00B51B51">
      <w:pPr>
        <w:pStyle w:val="NormalSangra"/>
        <w:jc w:val="center"/>
      </w:pPr>
      <m:oMathPara>
        <m:oMath>
          <m:r>
            <w:rPr>
              <w:rFonts w:ascii="Cambria Math" w:hAnsi="Cambria Math"/>
            </w:rPr>
            <m:t>NS=1-</m:t>
          </m:r>
          <m:f>
            <m:fPr>
              <m:ctrlPr>
                <w:rPr>
                  <w:rFonts w:ascii="Cambria Math" w:eastAsia="Calibri" w:hAnsi="Cambria Math"/>
                  <w:i/>
                  <w:szCs w:val="22"/>
                  <w:lang w:eastAsia="en-US"/>
                </w:rPr>
              </m:ctrlPr>
            </m:fPr>
            <m:num>
              <m:nary>
                <m:naryPr>
                  <m:chr m:val="∑"/>
                  <m:limLoc m:val="undOvr"/>
                  <m:ctrlPr>
                    <w:rPr>
                      <w:rFonts w:ascii="Cambria Math" w:eastAsia="Calibri" w:hAnsi="Cambria Math"/>
                      <w:i/>
                      <w:szCs w:val="22"/>
                      <w:lang w:eastAsia="en-US"/>
                    </w:rPr>
                  </m:ctrlPr>
                </m:naryPr>
                <m:sub>
                  <m:r>
                    <w:rPr>
                      <w:rFonts w:ascii="Cambria Math" w:hAnsi="Cambria Math"/>
                    </w:rPr>
                    <m:t>i=1</m:t>
                  </m:r>
                </m:sub>
                <m:sup>
                  <m:r>
                    <w:rPr>
                      <w:rFonts w:ascii="Cambria Math" w:hAnsi="Cambria Math"/>
                    </w:rPr>
                    <m:t>n</m:t>
                  </m:r>
                </m:sup>
                <m:e>
                  <m:sSup>
                    <m:sSupPr>
                      <m:ctrlPr>
                        <w:rPr>
                          <w:rFonts w:ascii="Cambria Math" w:eastAsia="Calibri" w:hAnsi="Cambria Math"/>
                          <w:i/>
                          <w:szCs w:val="22"/>
                          <w:lang w:eastAsia="en-US"/>
                        </w:rPr>
                      </m:ctrlPr>
                    </m:sSupPr>
                    <m:e>
                      <m:r>
                        <w:rPr>
                          <w:rFonts w:ascii="Cambria Math" w:hAnsi="Cambria Math"/>
                        </w:rPr>
                        <m:t>(</m:t>
                      </m:r>
                      <m:sSub>
                        <m:sSubPr>
                          <m:ctrlPr>
                            <w:rPr>
                              <w:rFonts w:ascii="Cambria Math" w:eastAsia="Calibri" w:hAnsi="Cambria Math"/>
                              <w:i/>
                              <w:szCs w:val="22"/>
                              <w:lang w:eastAsia="en-US"/>
                            </w:rPr>
                          </m:ctrlPr>
                        </m:sSubPr>
                        <m:e>
                          <m:r>
                            <w:rPr>
                              <w:rFonts w:ascii="Cambria Math" w:hAnsi="Cambria Math"/>
                            </w:rPr>
                            <m:t>Qobs</m:t>
                          </m:r>
                        </m:e>
                        <m:sub>
                          <m:r>
                            <w:rPr>
                              <w:rFonts w:ascii="Cambria Math" w:hAnsi="Cambria Math"/>
                            </w:rPr>
                            <m:t>i</m:t>
                          </m:r>
                        </m:sub>
                      </m:sSub>
                      <m:r>
                        <w:rPr>
                          <w:rFonts w:ascii="Cambria Math" w:hAnsi="Cambria Math"/>
                        </w:rPr>
                        <m:t>-</m:t>
                      </m:r>
                      <m:sSub>
                        <m:sSubPr>
                          <m:ctrlPr>
                            <w:rPr>
                              <w:rFonts w:ascii="Cambria Math" w:eastAsia="Calibri" w:hAnsi="Cambria Math"/>
                              <w:i/>
                              <w:szCs w:val="22"/>
                              <w:lang w:eastAsia="en-US"/>
                            </w:rPr>
                          </m:ctrlPr>
                        </m:sSubPr>
                        <m:e>
                          <m:r>
                            <w:rPr>
                              <w:rFonts w:ascii="Cambria Math" w:hAnsi="Cambria Math"/>
                            </w:rPr>
                            <m:t>Qsim</m:t>
                          </m:r>
                        </m:e>
                        <m:sub>
                          <m:r>
                            <w:rPr>
                              <w:rFonts w:ascii="Cambria Math" w:hAnsi="Cambria Math"/>
                            </w:rPr>
                            <m:t>i</m:t>
                          </m:r>
                        </m:sub>
                      </m:sSub>
                      <m:r>
                        <w:rPr>
                          <w:rFonts w:ascii="Cambria Math" w:hAnsi="Cambria Math"/>
                        </w:rPr>
                        <m:t>)</m:t>
                      </m:r>
                    </m:e>
                    <m:sup>
                      <m:r>
                        <w:rPr>
                          <w:rFonts w:ascii="Cambria Math" w:hAnsi="Cambria Math"/>
                        </w:rPr>
                        <m:t>2</m:t>
                      </m:r>
                    </m:sup>
                  </m:sSup>
                </m:e>
              </m:nary>
            </m:num>
            <m:den>
              <m:nary>
                <m:naryPr>
                  <m:chr m:val="∑"/>
                  <m:limLoc m:val="undOvr"/>
                  <m:ctrlPr>
                    <w:rPr>
                      <w:rFonts w:ascii="Cambria Math" w:eastAsia="Calibri" w:hAnsi="Cambria Math"/>
                      <w:i/>
                      <w:szCs w:val="22"/>
                      <w:lang w:eastAsia="en-US"/>
                    </w:rPr>
                  </m:ctrlPr>
                </m:naryPr>
                <m:sub>
                  <m:r>
                    <w:rPr>
                      <w:rFonts w:ascii="Cambria Math" w:hAnsi="Cambria Math"/>
                    </w:rPr>
                    <m:t>i=1</m:t>
                  </m:r>
                </m:sub>
                <m:sup>
                  <m:r>
                    <w:rPr>
                      <w:rFonts w:ascii="Cambria Math" w:hAnsi="Cambria Math"/>
                    </w:rPr>
                    <m:t>n</m:t>
                  </m:r>
                </m:sup>
                <m:e>
                  <m:sSup>
                    <m:sSupPr>
                      <m:ctrlPr>
                        <w:rPr>
                          <w:rFonts w:ascii="Cambria Math" w:eastAsia="Calibri" w:hAnsi="Cambria Math"/>
                          <w:i/>
                          <w:szCs w:val="22"/>
                          <w:lang w:eastAsia="en-US"/>
                        </w:rPr>
                      </m:ctrlPr>
                    </m:sSupPr>
                    <m:e>
                      <m:r>
                        <w:rPr>
                          <w:rFonts w:ascii="Cambria Math" w:hAnsi="Cambria Math"/>
                        </w:rPr>
                        <m:t>(</m:t>
                      </m:r>
                      <m:sSub>
                        <m:sSubPr>
                          <m:ctrlPr>
                            <w:rPr>
                              <w:rFonts w:ascii="Cambria Math" w:eastAsia="Calibri" w:hAnsi="Cambria Math"/>
                              <w:i/>
                              <w:szCs w:val="22"/>
                              <w:lang w:eastAsia="en-US"/>
                            </w:rPr>
                          </m:ctrlPr>
                        </m:sSubPr>
                        <m:e>
                          <m:r>
                            <w:rPr>
                              <w:rFonts w:ascii="Cambria Math" w:hAnsi="Cambria Math"/>
                            </w:rPr>
                            <m:t>Qob</m:t>
                          </m:r>
                          <m:r>
                            <w:rPr>
                              <w:rFonts w:ascii="Cambria Math" w:hAnsi="Cambria Math"/>
                            </w:rPr>
                            <m:t>s</m:t>
                          </m:r>
                        </m:e>
                        <m:sub>
                          <m:r>
                            <w:rPr>
                              <w:rFonts w:ascii="Cambria Math" w:hAnsi="Cambria Math"/>
                            </w:rPr>
                            <m:t>i</m:t>
                          </m:r>
                        </m:sub>
                      </m:sSub>
                      <m:r>
                        <w:rPr>
                          <w:rFonts w:ascii="Cambria Math" w:hAnsi="Cambria Math"/>
                        </w:rPr>
                        <m:t>-Qprom)</m:t>
                      </m:r>
                    </m:e>
                    <m:sup>
                      <m:r>
                        <w:rPr>
                          <w:rFonts w:ascii="Cambria Math" w:hAnsi="Cambria Math"/>
                        </w:rPr>
                        <m:t>2</m:t>
                      </m:r>
                    </m:sup>
                  </m:sSup>
                </m:e>
              </m:nary>
            </m:den>
          </m:f>
        </m:oMath>
      </m:oMathPara>
    </w:p>
    <w:p w:rsidR="00AD30D4" w:rsidRDefault="00AD30D4" w:rsidP="00B51B51">
      <w:pPr>
        <w:widowControl w:val="0"/>
      </w:pPr>
    </w:p>
    <w:p w:rsidR="00AD30D4" w:rsidRPr="00CA4EA1" w:rsidRDefault="00AD30D4" w:rsidP="00B51B51">
      <w:pPr>
        <w:widowControl w:val="0"/>
      </w:pPr>
      <w:r w:rsidRPr="00CA4EA1">
        <w:t>Donde:</w:t>
      </w:r>
    </w:p>
    <w:p w:rsidR="00AD30D4" w:rsidRPr="00D9483C" w:rsidRDefault="00AD30D4" w:rsidP="00B51B51">
      <w:pPr>
        <w:widowControl w:val="0"/>
        <w:ind w:left="1410" w:hanging="1410"/>
      </w:pPr>
      <w:r w:rsidRPr="00D9483C">
        <w:fldChar w:fldCharType="begin"/>
      </w:r>
      <w:r w:rsidRPr="00D9483C">
        <w:instrText xml:space="preserve"> QUOTE </w:instrText>
      </w:r>
      <w:r w:rsidR="00254CE2">
        <w:rPr>
          <w:noProof/>
          <w:lang w:val="es-CL" w:eastAsia="es-CL"/>
        </w:rPr>
        <w:drawing>
          <wp:inline distT="0" distB="0" distL="0" distR="0">
            <wp:extent cx="414655" cy="170180"/>
            <wp:effectExtent l="0" t="0" r="4445"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4655" cy="170180"/>
                    </a:xfrm>
                    <a:prstGeom prst="rect">
                      <a:avLst/>
                    </a:prstGeom>
                    <a:noFill/>
                    <a:ln>
                      <a:noFill/>
                    </a:ln>
                  </pic:spPr>
                </pic:pic>
              </a:graphicData>
            </a:graphic>
          </wp:inline>
        </w:drawing>
      </w:r>
      <w:r w:rsidRPr="00D9483C">
        <w:instrText xml:space="preserve"> </w:instrText>
      </w:r>
      <w:r w:rsidRPr="00D9483C">
        <w:fldChar w:fldCharType="separate"/>
      </w:r>
      <w:r w:rsidR="00254CE2">
        <w:rPr>
          <w:noProof/>
          <w:lang w:val="es-CL" w:eastAsia="es-CL"/>
        </w:rPr>
        <w:drawing>
          <wp:inline distT="0" distB="0" distL="0" distR="0">
            <wp:extent cx="414655" cy="170180"/>
            <wp:effectExtent l="0" t="0" r="444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4655" cy="170180"/>
                    </a:xfrm>
                    <a:prstGeom prst="rect">
                      <a:avLst/>
                    </a:prstGeom>
                    <a:noFill/>
                    <a:ln>
                      <a:noFill/>
                    </a:ln>
                  </pic:spPr>
                </pic:pic>
              </a:graphicData>
            </a:graphic>
          </wp:inline>
        </w:drawing>
      </w:r>
      <w:r w:rsidRPr="00D9483C">
        <w:fldChar w:fldCharType="end"/>
      </w:r>
      <w:r w:rsidRPr="00D9483C">
        <w:t xml:space="preserve">: </w:t>
      </w:r>
      <w:r w:rsidRPr="00D9483C">
        <w:tab/>
        <w:t>Caudal observado en la est</w:t>
      </w:r>
      <w:r>
        <w:t>ación Estero Nilahue en Santa Teresa</w:t>
      </w:r>
      <w:r w:rsidR="00AF463C">
        <w:t xml:space="preserve"> para el mes i (m</w:t>
      </w:r>
      <w:r w:rsidR="00AF463C">
        <w:rPr>
          <w:vertAlign w:val="superscript"/>
        </w:rPr>
        <w:t>3</w:t>
      </w:r>
      <w:r w:rsidRPr="00D9483C">
        <w:t>/s).</w:t>
      </w:r>
    </w:p>
    <w:p w:rsidR="00AD30D4" w:rsidRPr="00D9483C" w:rsidRDefault="00AD30D4" w:rsidP="00B51B51">
      <w:pPr>
        <w:widowControl w:val="0"/>
      </w:pPr>
      <w:r w:rsidRPr="00D9483C">
        <w:fldChar w:fldCharType="begin"/>
      </w:r>
      <w:r w:rsidRPr="00D9483C">
        <w:instrText xml:space="preserve"> QUOTE </w:instrText>
      </w:r>
      <w:r w:rsidR="00254CE2">
        <w:rPr>
          <w:noProof/>
          <w:lang w:val="es-CL" w:eastAsia="es-CL"/>
        </w:rPr>
        <w:drawing>
          <wp:inline distT="0" distB="0" distL="0" distR="0">
            <wp:extent cx="436245" cy="170180"/>
            <wp:effectExtent l="0" t="0" r="1905"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245" cy="170180"/>
                    </a:xfrm>
                    <a:prstGeom prst="rect">
                      <a:avLst/>
                    </a:prstGeom>
                    <a:noFill/>
                    <a:ln>
                      <a:noFill/>
                    </a:ln>
                  </pic:spPr>
                </pic:pic>
              </a:graphicData>
            </a:graphic>
          </wp:inline>
        </w:drawing>
      </w:r>
      <w:r w:rsidRPr="00D9483C">
        <w:instrText xml:space="preserve"> </w:instrText>
      </w:r>
      <w:r w:rsidRPr="00D9483C">
        <w:fldChar w:fldCharType="separate"/>
      </w:r>
      <w:r w:rsidR="00254CE2">
        <w:rPr>
          <w:noProof/>
          <w:lang w:val="es-CL" w:eastAsia="es-CL"/>
        </w:rPr>
        <w:drawing>
          <wp:inline distT="0" distB="0" distL="0" distR="0">
            <wp:extent cx="436245" cy="170180"/>
            <wp:effectExtent l="0" t="0" r="190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245" cy="170180"/>
                    </a:xfrm>
                    <a:prstGeom prst="rect">
                      <a:avLst/>
                    </a:prstGeom>
                    <a:noFill/>
                    <a:ln>
                      <a:noFill/>
                    </a:ln>
                  </pic:spPr>
                </pic:pic>
              </a:graphicData>
            </a:graphic>
          </wp:inline>
        </w:drawing>
      </w:r>
      <w:r w:rsidRPr="00D9483C">
        <w:fldChar w:fldCharType="end"/>
      </w:r>
      <w:r w:rsidRPr="00D9483C">
        <w:t xml:space="preserve">: </w:t>
      </w:r>
      <w:r w:rsidRPr="00D9483C">
        <w:tab/>
        <w:t>Caudal si</w:t>
      </w:r>
      <w:r w:rsidR="00AF463C">
        <w:t>mulado por MPL para el mes i (m</w:t>
      </w:r>
      <w:r w:rsidR="00AF463C">
        <w:rPr>
          <w:vertAlign w:val="superscript"/>
        </w:rPr>
        <w:t>3</w:t>
      </w:r>
      <w:r w:rsidRPr="00D9483C">
        <w:t>/s)</w:t>
      </w:r>
    </w:p>
    <w:p w:rsidR="00AD30D4" w:rsidRPr="00D9483C" w:rsidRDefault="00254CE2" w:rsidP="00B51B51">
      <w:pPr>
        <w:widowControl w:val="0"/>
        <w:rPr>
          <w:lang w:val="es-CL"/>
        </w:rPr>
      </w:pPr>
      <w:r>
        <w:rPr>
          <w:noProof/>
          <w:lang w:val="es-CL" w:eastAsia="es-CL"/>
        </w:rPr>
        <w:drawing>
          <wp:inline distT="0" distB="0" distL="0" distR="0">
            <wp:extent cx="425450" cy="191135"/>
            <wp:effectExtent l="0" t="0" r="0" b="0"/>
            <wp:docPr id="25"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5450" cy="191135"/>
                    </a:xfrm>
                    <a:prstGeom prst="rect">
                      <a:avLst/>
                    </a:prstGeom>
                    <a:noFill/>
                    <a:ln>
                      <a:noFill/>
                    </a:ln>
                  </pic:spPr>
                </pic:pic>
              </a:graphicData>
            </a:graphic>
          </wp:inline>
        </w:drawing>
      </w:r>
      <w:r w:rsidR="00AD30D4">
        <w:rPr>
          <w:lang w:val="es-CL"/>
        </w:rPr>
        <w:t xml:space="preserve">       </w:t>
      </w:r>
      <w:r w:rsidR="00AD30D4" w:rsidRPr="00D9483C">
        <w:rPr>
          <w:lang w:val="es-CL"/>
        </w:rPr>
        <w:t xml:space="preserve">     Caudal promedio de la serie </w:t>
      </w:r>
      <w:r w:rsidR="00AF463C">
        <w:t>(m</w:t>
      </w:r>
      <w:r w:rsidR="00AF463C">
        <w:rPr>
          <w:vertAlign w:val="superscript"/>
        </w:rPr>
        <w:t>3</w:t>
      </w:r>
      <w:r w:rsidR="00AD30D4" w:rsidRPr="00D9483C">
        <w:t>/s)</w:t>
      </w:r>
    </w:p>
    <w:p w:rsidR="00AD30D4" w:rsidRPr="00C24EB2" w:rsidRDefault="00AD30D4" w:rsidP="00B51B51">
      <w:pPr>
        <w:widowControl w:val="0"/>
      </w:pPr>
      <w:r w:rsidRPr="00D9483C">
        <w:fldChar w:fldCharType="begin"/>
      </w:r>
      <w:r w:rsidRPr="00D9483C">
        <w:instrText xml:space="preserve"> QUOTE </w:instrText>
      </w:r>
      <w:r w:rsidR="00254CE2">
        <w:rPr>
          <w:noProof/>
          <w:lang w:val="es-CL" w:eastAsia="es-CL"/>
        </w:rPr>
        <w:drawing>
          <wp:inline distT="0" distB="0" distL="0" distR="0">
            <wp:extent cx="138430" cy="17018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430" cy="170180"/>
                    </a:xfrm>
                    <a:prstGeom prst="rect">
                      <a:avLst/>
                    </a:prstGeom>
                    <a:noFill/>
                    <a:ln>
                      <a:noFill/>
                    </a:ln>
                  </pic:spPr>
                </pic:pic>
              </a:graphicData>
            </a:graphic>
          </wp:inline>
        </w:drawing>
      </w:r>
      <w:r w:rsidRPr="00D9483C">
        <w:instrText xml:space="preserve"> </w:instrText>
      </w:r>
      <w:r w:rsidRPr="00D9483C">
        <w:fldChar w:fldCharType="separate"/>
      </w:r>
      <w:r w:rsidR="00254CE2">
        <w:rPr>
          <w:noProof/>
          <w:lang w:val="es-CL" w:eastAsia="es-CL"/>
        </w:rPr>
        <w:drawing>
          <wp:inline distT="0" distB="0" distL="0" distR="0">
            <wp:extent cx="138430" cy="17018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430" cy="170180"/>
                    </a:xfrm>
                    <a:prstGeom prst="rect">
                      <a:avLst/>
                    </a:prstGeom>
                    <a:noFill/>
                    <a:ln>
                      <a:noFill/>
                    </a:ln>
                  </pic:spPr>
                </pic:pic>
              </a:graphicData>
            </a:graphic>
          </wp:inline>
        </w:drawing>
      </w:r>
      <w:r w:rsidRPr="00D9483C">
        <w:fldChar w:fldCharType="end"/>
      </w:r>
      <w:r>
        <w:t xml:space="preserve">: </w:t>
      </w:r>
      <w:r>
        <w:tab/>
      </w:r>
      <w:r>
        <w:tab/>
      </w:r>
      <w:r w:rsidRPr="00D9483C">
        <w:t>Número de meses</w:t>
      </w:r>
    </w:p>
    <w:p w:rsidR="00AD30D4" w:rsidRDefault="00AD30D4" w:rsidP="00B51B51">
      <w:pPr>
        <w:widowControl w:val="0"/>
      </w:pPr>
    </w:p>
    <w:p w:rsidR="002937C9" w:rsidRPr="00563F36" w:rsidRDefault="00BA1DFE" w:rsidP="002937C9">
      <w:pPr>
        <w:widowControl w:val="0"/>
      </w:pPr>
      <w:r w:rsidRPr="00C24EB2">
        <w:t>De acuerdo con lo señalado anteriormente, el valor del coeficiente de N</w:t>
      </w:r>
      <w:r w:rsidR="002937C9">
        <w:t>S es de 0,89</w:t>
      </w:r>
      <w:r w:rsidRPr="00C24EB2">
        <w:t xml:space="preserve"> lo que se cataloga como bueno.</w:t>
      </w:r>
      <w:r>
        <w:t xml:space="preserve"> </w:t>
      </w:r>
      <w:smartTag w:uri="urn:schemas-microsoft-com:office:smarttags" w:element="PersonName">
        <w:smartTagPr>
          <w:attr w:name="ProductID" w:val="la ￼￼￼￼￼￼￼￼￼￼￼￼￼￼￼￼￼￼￼￼￼￼￼￼￼Figura"/>
        </w:smartTagPr>
        <w:r>
          <w:t>La</w:t>
        </w:r>
        <w:r w:rsidRPr="00C24EB2">
          <w:t xml:space="preserve"> </w:t>
        </w:r>
        <w:r w:rsidRPr="00C24EB2">
          <w:fldChar w:fldCharType="begin"/>
        </w:r>
        <w:r w:rsidRPr="00C24EB2">
          <w:instrText xml:space="preserve"> REF _Ref336541427 \h </w:instrText>
        </w:r>
        <w:r w:rsidRPr="00C24EB2">
          <w:instrText xml:space="preserve"> \* MERGEFORMAT </w:instrText>
        </w:r>
        <w:r w:rsidRPr="00C24EB2">
          <w:fldChar w:fldCharType="separate"/>
        </w:r>
        <w:r w:rsidR="00264070" w:rsidRPr="00563F36">
          <w:t>Figura</w:t>
        </w:r>
      </w:smartTag>
      <w:r w:rsidR="00264070" w:rsidRPr="00563F36">
        <w:t xml:space="preserve"> </w:t>
      </w:r>
      <w:r w:rsidR="00264070">
        <w:rPr>
          <w:noProof/>
        </w:rPr>
        <w:t>4.7</w:t>
      </w:r>
      <w:r w:rsidRPr="00C24EB2">
        <w:fldChar w:fldCharType="end"/>
      </w:r>
      <w:r w:rsidRPr="00C24EB2">
        <w:t xml:space="preserve"> muestra la serie completa de caudales simulados versus los observados.</w:t>
      </w:r>
      <w:r>
        <w:t xml:space="preserve"> </w:t>
      </w:r>
      <w:r w:rsidR="002937C9">
        <w:t>En ésta s</w:t>
      </w:r>
      <w:r w:rsidR="002937C9" w:rsidRPr="00563F36">
        <w:t>e aprecia que el modelo reproduce en términos generales de buena forma el ciclo anual de caudales. Existe un gran ajuste de los caudales medios y bajos, y un buen ajuste para los caudales peaks.</w:t>
      </w:r>
    </w:p>
    <w:p w:rsidR="00BA1DFE" w:rsidRPr="00563F36" w:rsidRDefault="00BA1DFE" w:rsidP="00B51B51">
      <w:pPr>
        <w:widowControl w:val="0"/>
      </w:pPr>
    </w:p>
    <w:p w:rsidR="00BA1DFE" w:rsidRPr="00563F36" w:rsidRDefault="00BA1DFE" w:rsidP="00B51B51">
      <w:pPr>
        <w:pStyle w:val="Epgrafe"/>
        <w:widowControl w:val="0"/>
        <w:jc w:val="both"/>
      </w:pPr>
      <w:bookmarkStart w:id="206" w:name="_Ref336541427"/>
      <w:r w:rsidRPr="00563F36">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7</w:t>
      </w:r>
      <w:r w:rsidR="00951FEC">
        <w:fldChar w:fldCharType="end"/>
      </w:r>
      <w:bookmarkEnd w:id="206"/>
      <w:r w:rsidRPr="00563F36">
        <w:t xml:space="preserve"> Calibración del Modelo Pluvial, Estación Estero Nilahue en Santa Teresa</w:t>
      </w:r>
    </w:p>
    <w:p w:rsidR="00BA1DFE" w:rsidRDefault="00254CE2" w:rsidP="0019465E">
      <w:pPr>
        <w:widowControl w:val="0"/>
        <w:jc w:val="center"/>
      </w:pPr>
      <w:r>
        <w:rPr>
          <w:noProof/>
          <w:lang w:val="es-CL" w:eastAsia="es-CL"/>
        </w:rPr>
        <w:drawing>
          <wp:inline distT="0" distB="0" distL="0" distR="0">
            <wp:extent cx="5795010" cy="290258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5010" cy="2902585"/>
                    </a:xfrm>
                    <a:prstGeom prst="rect">
                      <a:avLst/>
                    </a:prstGeom>
                    <a:noFill/>
                    <a:ln>
                      <a:noFill/>
                    </a:ln>
                  </pic:spPr>
                </pic:pic>
              </a:graphicData>
            </a:graphic>
          </wp:inline>
        </w:drawing>
      </w:r>
    </w:p>
    <w:p w:rsidR="00BA1DFE" w:rsidRDefault="00BA1DFE" w:rsidP="00B51B51">
      <w:pPr>
        <w:widowControl w:val="0"/>
      </w:pPr>
    </w:p>
    <w:p w:rsidR="00BA1DFE" w:rsidRPr="00AD30D4" w:rsidRDefault="00BA1DFE" w:rsidP="00145762">
      <w:pPr>
        <w:widowControl w:val="0"/>
        <w:numPr>
          <w:ilvl w:val="0"/>
          <w:numId w:val="20"/>
        </w:numPr>
        <w:ind w:hanging="720"/>
        <w:rPr>
          <w:b/>
        </w:rPr>
      </w:pPr>
      <w:r w:rsidRPr="00AD30D4">
        <w:rPr>
          <w:b/>
        </w:rPr>
        <w:t>Validación del Modelo</w:t>
      </w:r>
    </w:p>
    <w:p w:rsidR="00BA1DFE" w:rsidRDefault="00BA1DFE" w:rsidP="00B51B51">
      <w:pPr>
        <w:widowControl w:val="0"/>
      </w:pPr>
    </w:p>
    <w:p w:rsidR="00BA1DFE" w:rsidRDefault="00BA1DFE" w:rsidP="00B51B51">
      <w:pPr>
        <w:widowControl w:val="0"/>
      </w:pPr>
      <w:r>
        <w:t xml:space="preserve">Para validar </w:t>
      </w:r>
      <w:r w:rsidRPr="00563F36">
        <w:t xml:space="preserve">el modelo, se realizó la simulación con los parámetros obtenidos en la calibración para el período comprendido entre abril de 2003 y marzo de 2011. Los resultados obtenidos se aprecian en </w:t>
      </w:r>
      <w:smartTag w:uri="urn:schemas-microsoft-com:office:smarttags" w:element="PersonName">
        <w:smartTagPr>
          <w:attr w:name="ProductID" w:val="la ￼￼￼￼￼￼￼￼￼￼￼￼￼￼￼￼￼￼￼￼￼￼￼￼￼Figura"/>
        </w:smartTagPr>
        <w:r w:rsidRPr="00563F36">
          <w:t xml:space="preserve">la </w:t>
        </w:r>
        <w:r w:rsidRPr="00563F36">
          <w:fldChar w:fldCharType="begin"/>
        </w:r>
        <w:r w:rsidRPr="00563F36">
          <w:instrText xml:space="preserve"> REF _Ref336541745 \h </w:instrText>
        </w:r>
        <w:r w:rsidRPr="00563F36">
          <w:instrText xml:space="preserve"> \* MERGEFORMAT </w:instrText>
        </w:r>
        <w:r w:rsidRPr="00563F36">
          <w:fldChar w:fldCharType="separate"/>
        </w:r>
        <w:r w:rsidR="00264070" w:rsidRPr="00563F36">
          <w:t>Figura</w:t>
        </w:r>
      </w:smartTag>
      <w:r w:rsidR="00264070" w:rsidRPr="00563F36">
        <w:t xml:space="preserve"> </w:t>
      </w:r>
      <w:r w:rsidR="00264070">
        <w:rPr>
          <w:noProof/>
        </w:rPr>
        <w:t>4.8</w:t>
      </w:r>
      <w:r w:rsidRPr="00563F36">
        <w:fldChar w:fldCharType="end"/>
      </w:r>
      <w:r w:rsidRPr="00563F36">
        <w:t xml:space="preserve"> (para ver el detalle de los caudales, ver Anexo </w:t>
      </w:r>
      <w:r w:rsidR="002937C9">
        <w:t>2</w:t>
      </w:r>
      <w:r>
        <w:t>.</w:t>
      </w:r>
      <w:r w:rsidR="00537747">
        <w:t>8</w:t>
      </w:r>
      <w:r w:rsidRPr="00563F36">
        <w:t>):</w:t>
      </w:r>
    </w:p>
    <w:p w:rsidR="0019465E" w:rsidRDefault="0019465E" w:rsidP="00B51B51">
      <w:pPr>
        <w:widowControl w:val="0"/>
      </w:pPr>
    </w:p>
    <w:p w:rsidR="00FF1CA9" w:rsidRDefault="00FF1CA9" w:rsidP="00FF1CA9">
      <w:pPr>
        <w:widowControl w:val="0"/>
      </w:pPr>
      <w:r w:rsidRPr="00563F36">
        <w:t xml:space="preserve">De esta forma, se </w:t>
      </w:r>
      <w:r>
        <w:t>aplicarán</w:t>
      </w:r>
      <w:r w:rsidRPr="00563F36">
        <w:t xml:space="preserve"> los parámetros obtenidos en el proceso calibración-validación para generar la serie de caudales medios mensuales por espacio de 50 años (1961/62 a 2010/11) en los puntos de interés. </w:t>
      </w:r>
    </w:p>
    <w:p w:rsidR="00BA1DFE" w:rsidRPr="00563F36" w:rsidRDefault="00BA1DFE" w:rsidP="00B51B51">
      <w:pPr>
        <w:widowControl w:val="0"/>
      </w:pPr>
    </w:p>
    <w:p w:rsidR="00BA1DFE" w:rsidRDefault="00BA1DFE" w:rsidP="00B51B51">
      <w:pPr>
        <w:pStyle w:val="Epgrafe"/>
        <w:widowControl w:val="0"/>
      </w:pPr>
      <w:bookmarkStart w:id="207" w:name="_Ref336541745"/>
      <w:r w:rsidRPr="00563F36">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8</w:t>
      </w:r>
      <w:r w:rsidR="00951FEC">
        <w:fldChar w:fldCharType="end"/>
      </w:r>
      <w:bookmarkEnd w:id="207"/>
      <w:r w:rsidRPr="00563F36">
        <w:t xml:space="preserve"> Validación del Modelo Pluvial, Estero Nilahue en Santa Teresa</w:t>
      </w:r>
    </w:p>
    <w:p w:rsidR="00BA1DFE" w:rsidRPr="00976D90" w:rsidRDefault="00254CE2" w:rsidP="00B51B51">
      <w:pPr>
        <w:widowControl w:val="0"/>
      </w:pPr>
      <w:r>
        <w:rPr>
          <w:noProof/>
          <w:lang w:val="es-CL" w:eastAsia="es-CL"/>
        </w:rPr>
        <w:drawing>
          <wp:inline distT="0" distB="0" distL="0" distR="0">
            <wp:extent cx="5795010" cy="289179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95010" cy="2891790"/>
                    </a:xfrm>
                    <a:prstGeom prst="rect">
                      <a:avLst/>
                    </a:prstGeom>
                    <a:noFill/>
                    <a:ln>
                      <a:noFill/>
                    </a:ln>
                  </pic:spPr>
                </pic:pic>
              </a:graphicData>
            </a:graphic>
          </wp:inline>
        </w:drawing>
      </w:r>
    </w:p>
    <w:p w:rsidR="00BA1DFE" w:rsidRPr="00563F36" w:rsidRDefault="00BA1DFE" w:rsidP="00B51B51">
      <w:pPr>
        <w:widowControl w:val="0"/>
      </w:pPr>
    </w:p>
    <w:p w:rsidR="00BA1DFE" w:rsidRDefault="00BA1DFE" w:rsidP="00B51B51">
      <w:pPr>
        <w:widowControl w:val="0"/>
      </w:pPr>
    </w:p>
    <w:p w:rsidR="00BA1DFE" w:rsidRPr="00AD30D4" w:rsidRDefault="00BA1DFE" w:rsidP="00145762">
      <w:pPr>
        <w:widowControl w:val="0"/>
        <w:numPr>
          <w:ilvl w:val="0"/>
          <w:numId w:val="20"/>
        </w:numPr>
        <w:ind w:hanging="720"/>
        <w:rPr>
          <w:b/>
        </w:rPr>
      </w:pPr>
      <w:r w:rsidRPr="00AD30D4">
        <w:rPr>
          <w:b/>
        </w:rPr>
        <w:t xml:space="preserve"> Resultados</w:t>
      </w:r>
    </w:p>
    <w:p w:rsidR="00BA1DFE" w:rsidRDefault="00BA1DFE" w:rsidP="00B51B51">
      <w:pPr>
        <w:widowControl w:val="0"/>
      </w:pPr>
    </w:p>
    <w:p w:rsidR="00BA1DFE" w:rsidRDefault="00BA1DFE" w:rsidP="00B51B51">
      <w:pPr>
        <w:widowControl w:val="0"/>
      </w:pPr>
      <w:r>
        <w:t xml:space="preserve">El modelo fue utilizado para generar caudales en las subcuencas que se presentan en </w:t>
      </w:r>
      <w:smartTag w:uri="urn:schemas-microsoft-com:office:smarttags" w:element="PersonName">
        <w:smartTagPr>
          <w:attr w:name="ProductID" w:val="la ￼￼￼￼￼￼￼￼￼￼￼￼￼￼￼￼￼￼￼￼￼￼￼￼￼￼￼￼￼￼￼￼￼￼￼￼￼￼￼￼￼Tabla"/>
        </w:smartTagPr>
        <w:r>
          <w:t xml:space="preserve">la </w:t>
        </w:r>
        <w:r>
          <w:fldChar w:fldCharType="begin"/>
        </w:r>
        <w:r>
          <w:instrText xml:space="preserve"> REF _Ref336813432 \h </w:instrText>
        </w:r>
        <w:r>
          <w:fldChar w:fldCharType="separate"/>
        </w:r>
        <w:r w:rsidR="00264070">
          <w:t>Tabla</w:t>
        </w:r>
      </w:smartTag>
      <w:r w:rsidR="00264070">
        <w:t xml:space="preserve"> </w:t>
      </w:r>
      <w:r w:rsidR="00264070">
        <w:rPr>
          <w:noProof/>
        </w:rPr>
        <w:t>4</w:t>
      </w:r>
      <w:r w:rsidR="00264070">
        <w:t>.</w:t>
      </w:r>
      <w:r w:rsidR="00264070">
        <w:rPr>
          <w:noProof/>
        </w:rPr>
        <w:t>9</w:t>
      </w:r>
      <w:r>
        <w:fldChar w:fldCharType="end"/>
      </w:r>
      <w:r>
        <w:t>. Los resultados con las series gener</w:t>
      </w:r>
      <w:r w:rsidR="002937C9">
        <w:t>adas, se presentan en el Anexo 2</w:t>
      </w:r>
      <w:r>
        <w:t>.</w:t>
      </w:r>
      <w:r w:rsidR="00537747">
        <w:t>9</w:t>
      </w:r>
      <w:r>
        <w:t>.</w:t>
      </w:r>
    </w:p>
    <w:p w:rsidR="00BA1DFE" w:rsidRDefault="00BA1DFE" w:rsidP="00B51B51">
      <w:pPr>
        <w:widowControl w:val="0"/>
      </w:pPr>
    </w:p>
    <w:p w:rsidR="00BA1DFE" w:rsidRDefault="00BA1DFE" w:rsidP="00B51B51">
      <w:pPr>
        <w:pStyle w:val="Epgrafe"/>
        <w:widowControl w:val="0"/>
      </w:pPr>
      <w:bookmarkStart w:id="208" w:name="_Ref336813432"/>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bookmarkEnd w:id="208"/>
      <w:r>
        <w:t xml:space="preserve"> Subcuencas sin Control Fluviométrico</w:t>
      </w:r>
    </w:p>
    <w:tbl>
      <w:tblPr>
        <w:tblW w:w="0" w:type="auto"/>
        <w:jc w:val="center"/>
        <w:tblCellMar>
          <w:left w:w="70" w:type="dxa"/>
          <w:right w:w="70" w:type="dxa"/>
        </w:tblCellMar>
        <w:tblLook w:val="04A0" w:firstRow="1" w:lastRow="0" w:firstColumn="1" w:lastColumn="0" w:noHBand="0" w:noVBand="1"/>
      </w:tblPr>
      <w:tblGrid>
        <w:gridCol w:w="1321"/>
        <w:gridCol w:w="1369"/>
        <w:gridCol w:w="3334"/>
        <w:gridCol w:w="1984"/>
        <w:gridCol w:w="1254"/>
      </w:tblGrid>
      <w:tr w:rsidR="00BA1DFE" w:rsidRPr="00663DB9">
        <w:trPr>
          <w:trHeight w:val="253"/>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663DB9" w:rsidRDefault="00BA1DFE" w:rsidP="002937C9">
            <w:pPr>
              <w:widowControl w:val="0"/>
              <w:jc w:val="center"/>
              <w:rPr>
                <w:bCs/>
                <w:color w:val="000000"/>
                <w:sz w:val="20"/>
                <w:szCs w:val="20"/>
                <w:lang w:val="es-CL" w:eastAsia="es-CL"/>
              </w:rPr>
            </w:pPr>
            <w:r w:rsidRPr="00663DB9">
              <w:rPr>
                <w:bCs/>
                <w:color w:val="000000"/>
                <w:sz w:val="20"/>
                <w:szCs w:val="20"/>
                <w:lang w:eastAsia="es-CL"/>
              </w:rPr>
              <w:t>Código Subcuenca</w:t>
            </w:r>
          </w:p>
        </w:tc>
        <w:tc>
          <w:tcPr>
            <w:tcW w:w="13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663DB9" w:rsidRDefault="00BA1DFE" w:rsidP="002937C9">
            <w:pPr>
              <w:widowControl w:val="0"/>
              <w:jc w:val="center"/>
              <w:rPr>
                <w:bCs/>
                <w:color w:val="000000"/>
                <w:sz w:val="20"/>
                <w:szCs w:val="20"/>
                <w:lang w:val="es-CL" w:eastAsia="es-CL"/>
              </w:rPr>
            </w:pPr>
            <w:r w:rsidRPr="00663DB9">
              <w:rPr>
                <w:bCs/>
                <w:color w:val="000000"/>
                <w:sz w:val="20"/>
                <w:szCs w:val="20"/>
                <w:lang w:val="es-CL" w:eastAsia="es-CL"/>
              </w:rPr>
              <w:t>Área Subcuenca [km2]</w:t>
            </w:r>
          </w:p>
        </w:tc>
        <w:tc>
          <w:tcPr>
            <w:tcW w:w="33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663DB9" w:rsidRDefault="00BA1DFE" w:rsidP="002937C9">
            <w:pPr>
              <w:widowControl w:val="0"/>
              <w:jc w:val="center"/>
              <w:rPr>
                <w:bCs/>
                <w:color w:val="000000"/>
                <w:sz w:val="20"/>
                <w:szCs w:val="20"/>
                <w:lang w:val="es-CL" w:eastAsia="es-CL"/>
              </w:rPr>
            </w:pPr>
            <w:r w:rsidRPr="00663DB9">
              <w:rPr>
                <w:bCs/>
                <w:color w:val="000000"/>
                <w:sz w:val="20"/>
                <w:szCs w:val="20"/>
                <w:lang w:eastAsia="es-CL"/>
              </w:rPr>
              <w:t>Estaciones de Precipitación Representativas</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663DB9" w:rsidRDefault="00BA1DFE" w:rsidP="002937C9">
            <w:pPr>
              <w:widowControl w:val="0"/>
              <w:jc w:val="center"/>
              <w:rPr>
                <w:bCs/>
                <w:color w:val="000000"/>
                <w:sz w:val="20"/>
                <w:szCs w:val="20"/>
                <w:lang w:val="es-CL" w:eastAsia="es-CL"/>
              </w:rPr>
            </w:pPr>
            <w:r w:rsidRPr="00663DB9">
              <w:rPr>
                <w:bCs/>
                <w:color w:val="000000"/>
                <w:sz w:val="20"/>
                <w:szCs w:val="20"/>
                <w:lang w:eastAsia="es-CL"/>
              </w:rPr>
              <w:t>Pp Media Estaciones [mm]</w:t>
            </w:r>
          </w:p>
        </w:tc>
        <w:tc>
          <w:tcPr>
            <w:tcW w:w="12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A1DFE" w:rsidRPr="00663DB9" w:rsidRDefault="00BA1DFE" w:rsidP="002937C9">
            <w:pPr>
              <w:widowControl w:val="0"/>
              <w:jc w:val="center"/>
              <w:rPr>
                <w:bCs/>
                <w:color w:val="000000"/>
                <w:sz w:val="20"/>
                <w:szCs w:val="20"/>
                <w:lang w:val="es-CL" w:eastAsia="es-CL"/>
              </w:rPr>
            </w:pPr>
            <w:r w:rsidRPr="00663DB9">
              <w:rPr>
                <w:bCs/>
                <w:color w:val="000000"/>
                <w:sz w:val="20"/>
                <w:szCs w:val="20"/>
                <w:lang w:val="es-CL" w:eastAsia="es-CL"/>
              </w:rPr>
              <w:t>Pp Media Cuenca [mm]</w:t>
            </w:r>
          </w:p>
        </w:tc>
      </w:tr>
      <w:tr w:rsidR="00BA1DFE" w:rsidRPr="00663DB9">
        <w:trPr>
          <w:trHeight w:val="2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Cs/>
                <w:color w:val="000000"/>
                <w:sz w:val="20"/>
                <w:szCs w:val="20"/>
                <w:lang w:val="es-CL" w:eastAsia="es-CL"/>
              </w:rPr>
            </w:pPr>
          </w:p>
        </w:tc>
        <w:tc>
          <w:tcPr>
            <w:tcW w:w="1369"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Cs/>
                <w:color w:val="000000"/>
                <w:sz w:val="20"/>
                <w:szCs w:val="20"/>
                <w:lang w:val="es-CL" w:eastAsia="es-CL"/>
              </w:rPr>
            </w:pPr>
          </w:p>
        </w:tc>
        <w:tc>
          <w:tcPr>
            <w:tcW w:w="333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Cs/>
                <w:color w:val="000000"/>
                <w:sz w:val="20"/>
                <w:szCs w:val="20"/>
                <w:lang w:val="es-CL" w:eastAsia="es-CL"/>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Cs/>
                <w:color w:val="000000"/>
                <w:sz w:val="20"/>
                <w:szCs w:val="20"/>
                <w:lang w:val="es-CL" w:eastAsia="es-CL"/>
              </w:rPr>
            </w:pPr>
          </w:p>
        </w:tc>
        <w:tc>
          <w:tcPr>
            <w:tcW w:w="125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Cs/>
                <w:color w:val="000000"/>
                <w:sz w:val="20"/>
                <w:szCs w:val="20"/>
                <w:lang w:val="es-CL" w:eastAsia="es-CL"/>
              </w:rPr>
            </w:pPr>
          </w:p>
        </w:tc>
      </w:tr>
      <w:tr w:rsidR="00BA1DFE" w:rsidRPr="00663DB9">
        <w:trPr>
          <w:trHeight w:val="253"/>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
                <w:bCs/>
                <w:color w:val="000000"/>
                <w:sz w:val="20"/>
                <w:szCs w:val="20"/>
                <w:lang w:val="es-CL" w:eastAsia="es-CL"/>
              </w:rPr>
            </w:pPr>
          </w:p>
        </w:tc>
        <w:tc>
          <w:tcPr>
            <w:tcW w:w="1369"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
                <w:bCs/>
                <w:color w:val="000000"/>
                <w:sz w:val="20"/>
                <w:szCs w:val="20"/>
                <w:lang w:val="es-CL" w:eastAsia="es-CL"/>
              </w:rPr>
            </w:pPr>
          </w:p>
        </w:tc>
        <w:tc>
          <w:tcPr>
            <w:tcW w:w="333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
                <w:bCs/>
                <w:color w:val="000000"/>
                <w:sz w:val="20"/>
                <w:szCs w:val="20"/>
                <w:lang w:val="es-CL" w:eastAsia="es-CL"/>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
                <w:bCs/>
                <w:color w:val="000000"/>
                <w:sz w:val="20"/>
                <w:szCs w:val="20"/>
                <w:lang w:val="es-CL" w:eastAsia="es-CL"/>
              </w:rPr>
            </w:pPr>
          </w:p>
        </w:tc>
        <w:tc>
          <w:tcPr>
            <w:tcW w:w="1254" w:type="dxa"/>
            <w:vMerge/>
            <w:tcBorders>
              <w:top w:val="single" w:sz="4" w:space="0" w:color="auto"/>
              <w:left w:val="single" w:sz="4" w:space="0" w:color="auto"/>
              <w:bottom w:val="single" w:sz="4" w:space="0" w:color="auto"/>
              <w:right w:val="single" w:sz="4" w:space="0" w:color="auto"/>
            </w:tcBorders>
            <w:vAlign w:val="center"/>
          </w:tcPr>
          <w:p w:rsidR="00BA1DFE" w:rsidRPr="00663DB9" w:rsidRDefault="00BA1DFE" w:rsidP="002937C9">
            <w:pPr>
              <w:widowControl w:val="0"/>
              <w:jc w:val="center"/>
              <w:rPr>
                <w:b/>
                <w:bCs/>
                <w:color w:val="000000"/>
                <w:sz w:val="20"/>
                <w:szCs w:val="20"/>
                <w:lang w:val="es-CL" w:eastAsia="es-CL"/>
              </w:rPr>
            </w:pPr>
          </w:p>
        </w:tc>
      </w:tr>
      <w:tr w:rsidR="00BA1DFE" w:rsidRPr="00663DB9">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610</w:t>
            </w:r>
          </w:p>
        </w:tc>
        <w:tc>
          <w:tcPr>
            <w:tcW w:w="1369"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106,4</w:t>
            </w:r>
          </w:p>
        </w:tc>
        <w:tc>
          <w:tcPr>
            <w:tcW w:w="333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Rapel</w:t>
            </w:r>
          </w:p>
        </w:tc>
        <w:tc>
          <w:tcPr>
            <w:tcW w:w="198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556</w:t>
            </w:r>
          </w:p>
        </w:tc>
        <w:tc>
          <w:tcPr>
            <w:tcW w:w="125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556</w:t>
            </w:r>
          </w:p>
        </w:tc>
      </w:tr>
      <w:tr w:rsidR="00BA1DFE" w:rsidRPr="00663DB9">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611</w:t>
            </w:r>
          </w:p>
        </w:tc>
        <w:tc>
          <w:tcPr>
            <w:tcW w:w="1369"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545,3</w:t>
            </w:r>
          </w:p>
        </w:tc>
        <w:tc>
          <w:tcPr>
            <w:tcW w:w="3334" w:type="dxa"/>
            <w:tcBorders>
              <w:top w:val="nil"/>
              <w:left w:val="nil"/>
              <w:bottom w:val="single" w:sz="4" w:space="0" w:color="auto"/>
              <w:right w:val="single" w:sz="4" w:space="0" w:color="auto"/>
            </w:tcBorders>
            <w:shd w:val="clear" w:color="auto" w:fill="auto"/>
            <w:noWrap/>
            <w:vAlign w:val="center"/>
          </w:tcPr>
          <w:p w:rsidR="00BA1DFE" w:rsidRPr="00663DB9" w:rsidRDefault="002937C9" w:rsidP="002937C9">
            <w:pPr>
              <w:widowControl w:val="0"/>
              <w:jc w:val="center"/>
              <w:rPr>
                <w:color w:val="000000"/>
                <w:sz w:val="20"/>
                <w:szCs w:val="20"/>
                <w:lang w:val="es-CL" w:eastAsia="es-CL"/>
              </w:rPr>
            </w:pPr>
            <w:r w:rsidRPr="00663DB9">
              <w:rPr>
                <w:color w:val="000000"/>
                <w:sz w:val="20"/>
                <w:szCs w:val="20"/>
                <w:lang w:val="es-CL" w:eastAsia="es-CL"/>
              </w:rPr>
              <w:t>Pichilemu</w:t>
            </w:r>
          </w:p>
        </w:tc>
        <w:tc>
          <w:tcPr>
            <w:tcW w:w="1984" w:type="dxa"/>
            <w:tcBorders>
              <w:top w:val="nil"/>
              <w:left w:val="nil"/>
              <w:bottom w:val="single" w:sz="4" w:space="0" w:color="auto"/>
              <w:right w:val="single" w:sz="4" w:space="0" w:color="auto"/>
            </w:tcBorders>
            <w:shd w:val="clear" w:color="auto" w:fill="auto"/>
            <w:noWrap/>
            <w:vAlign w:val="center"/>
          </w:tcPr>
          <w:p w:rsidR="00BA1DFE" w:rsidRPr="00663DB9" w:rsidRDefault="002937C9" w:rsidP="002937C9">
            <w:pPr>
              <w:widowControl w:val="0"/>
              <w:jc w:val="center"/>
              <w:rPr>
                <w:color w:val="000000"/>
                <w:sz w:val="20"/>
                <w:szCs w:val="20"/>
                <w:lang w:val="es-CL" w:eastAsia="es-CL"/>
              </w:rPr>
            </w:pPr>
            <w:r w:rsidRPr="00663DB9">
              <w:rPr>
                <w:color w:val="000000"/>
                <w:sz w:val="20"/>
                <w:szCs w:val="20"/>
                <w:lang w:val="es-CL" w:eastAsia="es-CL"/>
              </w:rPr>
              <w:t>526</w:t>
            </w:r>
          </w:p>
        </w:tc>
        <w:tc>
          <w:tcPr>
            <w:tcW w:w="1254" w:type="dxa"/>
            <w:tcBorders>
              <w:top w:val="nil"/>
              <w:left w:val="nil"/>
              <w:bottom w:val="single" w:sz="4" w:space="0" w:color="auto"/>
              <w:right w:val="single" w:sz="4" w:space="0" w:color="auto"/>
            </w:tcBorders>
            <w:shd w:val="clear" w:color="auto" w:fill="auto"/>
            <w:noWrap/>
            <w:vAlign w:val="center"/>
          </w:tcPr>
          <w:p w:rsidR="00BA1DFE" w:rsidRPr="00663DB9" w:rsidRDefault="002937C9" w:rsidP="002937C9">
            <w:pPr>
              <w:widowControl w:val="0"/>
              <w:jc w:val="center"/>
              <w:rPr>
                <w:color w:val="000000"/>
                <w:sz w:val="20"/>
                <w:szCs w:val="20"/>
                <w:lang w:val="es-CL" w:eastAsia="es-CL"/>
              </w:rPr>
            </w:pPr>
            <w:r w:rsidRPr="00663DB9">
              <w:rPr>
                <w:color w:val="000000"/>
                <w:sz w:val="20"/>
                <w:szCs w:val="20"/>
                <w:lang w:val="es-CL" w:eastAsia="es-CL"/>
              </w:rPr>
              <w:t>617</w:t>
            </w:r>
          </w:p>
        </w:tc>
      </w:tr>
      <w:tr w:rsidR="00BA1DFE" w:rsidRPr="00663DB9">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612</w:t>
            </w:r>
          </w:p>
        </w:tc>
        <w:tc>
          <w:tcPr>
            <w:tcW w:w="1369"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407</w:t>
            </w:r>
          </w:p>
        </w:tc>
        <w:tc>
          <w:tcPr>
            <w:tcW w:w="333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Pichilemu</w:t>
            </w:r>
          </w:p>
        </w:tc>
        <w:tc>
          <w:tcPr>
            <w:tcW w:w="198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526</w:t>
            </w:r>
          </w:p>
        </w:tc>
        <w:tc>
          <w:tcPr>
            <w:tcW w:w="1254" w:type="dxa"/>
            <w:tcBorders>
              <w:top w:val="nil"/>
              <w:left w:val="nil"/>
              <w:bottom w:val="single" w:sz="4" w:space="0" w:color="auto"/>
              <w:right w:val="single" w:sz="4" w:space="0" w:color="auto"/>
            </w:tcBorders>
            <w:shd w:val="clear" w:color="auto" w:fill="auto"/>
            <w:noWrap/>
            <w:vAlign w:val="center"/>
          </w:tcPr>
          <w:p w:rsidR="00BA1DFE" w:rsidRPr="00663DB9" w:rsidRDefault="002937C9" w:rsidP="002937C9">
            <w:pPr>
              <w:widowControl w:val="0"/>
              <w:jc w:val="center"/>
              <w:rPr>
                <w:color w:val="000000"/>
                <w:sz w:val="20"/>
                <w:szCs w:val="20"/>
                <w:lang w:val="es-CL" w:eastAsia="es-CL"/>
              </w:rPr>
            </w:pPr>
            <w:r w:rsidRPr="00663DB9">
              <w:rPr>
                <w:color w:val="000000"/>
                <w:sz w:val="20"/>
                <w:szCs w:val="20"/>
                <w:lang w:val="es-CL" w:eastAsia="es-CL"/>
              </w:rPr>
              <w:t>630</w:t>
            </w:r>
          </w:p>
        </w:tc>
      </w:tr>
      <w:tr w:rsidR="00BA1DFE" w:rsidRPr="00663DB9">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613</w:t>
            </w:r>
          </w:p>
        </w:tc>
        <w:tc>
          <w:tcPr>
            <w:tcW w:w="1369"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1776,4</w:t>
            </w:r>
          </w:p>
        </w:tc>
        <w:tc>
          <w:tcPr>
            <w:tcW w:w="333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Nilahue Barahona, El Membrillo, Ranguili</w:t>
            </w:r>
          </w:p>
        </w:tc>
        <w:tc>
          <w:tcPr>
            <w:tcW w:w="198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685</w:t>
            </w:r>
          </w:p>
        </w:tc>
        <w:tc>
          <w:tcPr>
            <w:tcW w:w="1254" w:type="dxa"/>
            <w:tcBorders>
              <w:top w:val="nil"/>
              <w:left w:val="nil"/>
              <w:bottom w:val="single" w:sz="4" w:space="0" w:color="auto"/>
              <w:right w:val="single" w:sz="4" w:space="0" w:color="auto"/>
            </w:tcBorders>
            <w:shd w:val="clear" w:color="auto" w:fill="auto"/>
            <w:noWrap/>
            <w:vAlign w:val="center"/>
          </w:tcPr>
          <w:p w:rsidR="00BA1DFE" w:rsidRPr="00663DB9" w:rsidRDefault="002937C9" w:rsidP="002937C9">
            <w:pPr>
              <w:widowControl w:val="0"/>
              <w:jc w:val="center"/>
              <w:rPr>
                <w:color w:val="000000"/>
                <w:sz w:val="20"/>
                <w:szCs w:val="20"/>
                <w:lang w:val="es-CL" w:eastAsia="es-CL"/>
              </w:rPr>
            </w:pPr>
            <w:r w:rsidRPr="00663DB9">
              <w:rPr>
                <w:color w:val="000000"/>
                <w:sz w:val="20"/>
                <w:szCs w:val="20"/>
                <w:lang w:val="es-CL" w:eastAsia="es-CL"/>
              </w:rPr>
              <w:t>700</w:t>
            </w:r>
          </w:p>
        </w:tc>
      </w:tr>
      <w:tr w:rsidR="00BA1DFE" w:rsidRPr="00663DB9">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614</w:t>
            </w:r>
          </w:p>
        </w:tc>
        <w:tc>
          <w:tcPr>
            <w:tcW w:w="1369"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562,3</w:t>
            </w:r>
          </w:p>
        </w:tc>
        <w:tc>
          <w:tcPr>
            <w:tcW w:w="333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Nilahue Barahona, Ranguili</w:t>
            </w:r>
          </w:p>
        </w:tc>
        <w:tc>
          <w:tcPr>
            <w:tcW w:w="198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649</w:t>
            </w:r>
          </w:p>
        </w:tc>
        <w:tc>
          <w:tcPr>
            <w:tcW w:w="1254" w:type="dxa"/>
            <w:tcBorders>
              <w:top w:val="nil"/>
              <w:left w:val="nil"/>
              <w:bottom w:val="single" w:sz="4" w:space="0" w:color="auto"/>
              <w:right w:val="single" w:sz="4" w:space="0" w:color="auto"/>
            </w:tcBorders>
            <w:shd w:val="clear" w:color="auto" w:fill="auto"/>
            <w:noWrap/>
            <w:vAlign w:val="center"/>
          </w:tcPr>
          <w:p w:rsidR="00BA1DFE" w:rsidRPr="00663DB9" w:rsidRDefault="00BA1DFE" w:rsidP="002937C9">
            <w:pPr>
              <w:widowControl w:val="0"/>
              <w:jc w:val="center"/>
              <w:rPr>
                <w:color w:val="000000"/>
                <w:sz w:val="20"/>
                <w:szCs w:val="20"/>
                <w:lang w:val="es-CL" w:eastAsia="es-CL"/>
              </w:rPr>
            </w:pPr>
            <w:r w:rsidRPr="00663DB9">
              <w:rPr>
                <w:color w:val="000000"/>
                <w:sz w:val="20"/>
                <w:szCs w:val="20"/>
                <w:lang w:val="es-CL" w:eastAsia="es-CL"/>
              </w:rPr>
              <w:t>649</w:t>
            </w:r>
          </w:p>
        </w:tc>
      </w:tr>
    </w:tbl>
    <w:p w:rsidR="002937C9" w:rsidRPr="002937C9" w:rsidRDefault="002937C9" w:rsidP="002937C9"/>
    <w:p w:rsidR="001A5CAE" w:rsidRDefault="001A5CAE" w:rsidP="00B51B51">
      <w:pPr>
        <w:pStyle w:val="Ttulo2"/>
        <w:keepNext w:val="0"/>
      </w:pPr>
      <w:bookmarkStart w:id="209" w:name="_Toc344391812"/>
      <w:r>
        <w:t>Curvas de Variación Estacional y de Duración</w:t>
      </w:r>
      <w:bookmarkEnd w:id="209"/>
    </w:p>
    <w:p w:rsidR="00BA1DFE" w:rsidRPr="00A22C37" w:rsidRDefault="00BA1DFE" w:rsidP="00B51B51">
      <w:pPr>
        <w:widowControl w:val="0"/>
        <w:rPr>
          <w:highlight w:val="yellow"/>
        </w:rPr>
      </w:pPr>
    </w:p>
    <w:p w:rsidR="00BA1DFE" w:rsidRDefault="00BA1DFE" w:rsidP="00B51B51">
      <w:pPr>
        <w:widowControl w:val="0"/>
      </w:pPr>
      <w:r w:rsidRPr="00A22C37">
        <w:t>A partir de la serie de caudales medios mensuales del período comprendido entre los años hidrológicos 1961/62 y 2010/11, se generaron curvas de variación estacional para probabilidades de excedencia 10%, 50% y 85%</w:t>
      </w:r>
      <w:r>
        <w:t>, con el objeto de caracterizar las condiciones medias y extremas de escorrentía.</w:t>
      </w:r>
    </w:p>
    <w:p w:rsidR="00764306" w:rsidRDefault="00764306" w:rsidP="00B51B51">
      <w:pPr>
        <w:widowControl w:val="0"/>
      </w:pPr>
    </w:p>
    <w:p w:rsidR="00FF1CA9" w:rsidRDefault="00BA1DFE" w:rsidP="00FF1CA9">
      <w:pPr>
        <w:widowControl w:val="0"/>
      </w:pPr>
      <w:r w:rsidRPr="00EF4981">
        <w:t>En forma complementaria</w:t>
      </w:r>
      <w:r w:rsidR="0054616A">
        <w:t>,</w:t>
      </w:r>
      <w:r w:rsidRPr="00EF4981">
        <w:t xml:space="preserve"> para cada una de las cuencas de interés se confeccionaron curvas de duración, con el objeto de caracterizar probabilísticamente la disponibilidad de recursos hídricos independiente del mes del año.</w:t>
      </w:r>
      <w:r w:rsidR="00FF1CA9">
        <w:t xml:space="preserve"> En las s</w:t>
      </w:r>
      <w:r w:rsidR="00FF1CA9" w:rsidRPr="00A22C37">
        <w:t>iguientes Figuras y Tablas se aprecian las distintas curvas de variación estacional y duración para las cuencas de la re</w:t>
      </w:r>
      <w:r w:rsidR="00FF1CA9">
        <w:t>gión del Libertador Bernardo O’</w:t>
      </w:r>
      <w:r w:rsidR="00FF1CA9" w:rsidRPr="00A22C37">
        <w:t>Higgins.</w:t>
      </w:r>
    </w:p>
    <w:p w:rsidR="00FF1CA9" w:rsidRDefault="00FF1CA9" w:rsidP="00B51B51">
      <w:pPr>
        <w:widowControl w:val="0"/>
      </w:pPr>
    </w:p>
    <w:p w:rsidR="00F1791A" w:rsidRDefault="00F1791A" w:rsidP="00F1791A">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9</w:t>
      </w:r>
      <w:r w:rsidR="00951FEC">
        <w:fldChar w:fldCharType="end"/>
      </w:r>
      <w:r>
        <w:t xml:space="preserve"> Curvas de Variación Estacional Subcuenca 0571 Maipo Medio</w:t>
      </w:r>
    </w:p>
    <w:p w:rsidR="00F1791A" w:rsidRPr="008044B8" w:rsidRDefault="00254CE2" w:rsidP="00F1791A">
      <w:pPr>
        <w:jc w:val="center"/>
        <w:rPr>
          <w:noProof/>
          <w:lang w:val="es-CL" w:eastAsia="es-CL"/>
        </w:rPr>
      </w:pPr>
      <w:r>
        <w:rPr>
          <w:noProof/>
          <w:lang w:val="es-CL" w:eastAsia="es-CL"/>
        </w:rPr>
        <w:drawing>
          <wp:inline distT="0" distB="0" distL="0" distR="0">
            <wp:extent cx="4370070" cy="4051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70070" cy="4051300"/>
                    </a:xfrm>
                    <a:prstGeom prst="rect">
                      <a:avLst/>
                    </a:prstGeom>
                    <a:noFill/>
                    <a:ln>
                      <a:noFill/>
                    </a:ln>
                  </pic:spPr>
                </pic:pic>
              </a:graphicData>
            </a:graphic>
          </wp:inline>
        </w:drawing>
      </w:r>
    </w:p>
    <w:p w:rsidR="00F1791A" w:rsidRPr="007C4F41"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r>
        <w:t xml:space="preserve"> Curvas de Variación Estacional Subcuenca 0571 Maipo Medio</w:t>
      </w:r>
    </w:p>
    <w:tbl>
      <w:tblPr>
        <w:tblW w:w="9580" w:type="dxa"/>
        <w:tblInd w:w="65" w:type="dxa"/>
        <w:tblCellMar>
          <w:left w:w="70" w:type="dxa"/>
          <w:right w:w="70" w:type="dxa"/>
        </w:tblCellMar>
        <w:tblLook w:val="0000" w:firstRow="0" w:lastRow="0" w:firstColumn="0" w:lastColumn="0" w:noHBand="0" w:noVBand="0"/>
      </w:tblPr>
      <w:tblGrid>
        <w:gridCol w:w="1520"/>
        <w:gridCol w:w="576"/>
        <w:gridCol w:w="570"/>
        <w:gridCol w:w="570"/>
        <w:gridCol w:w="697"/>
        <w:gridCol w:w="697"/>
        <w:gridCol w:w="570"/>
        <w:gridCol w:w="570"/>
        <w:gridCol w:w="697"/>
        <w:gridCol w:w="697"/>
        <w:gridCol w:w="570"/>
        <w:gridCol w:w="570"/>
        <w:gridCol w:w="576"/>
        <w:gridCol w:w="700"/>
      </w:tblGrid>
      <w:tr w:rsidR="00F1791A" w:rsidRPr="008044B8">
        <w:trPr>
          <w:trHeight w:val="255"/>
        </w:trPr>
        <w:tc>
          <w:tcPr>
            <w:tcW w:w="1520" w:type="dxa"/>
            <w:tcBorders>
              <w:top w:val="single" w:sz="4" w:space="0" w:color="auto"/>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PROBABILIADAD</w:t>
            </w:r>
          </w:p>
        </w:tc>
        <w:tc>
          <w:tcPr>
            <w:tcW w:w="7360"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MES</w:t>
            </w:r>
          </w:p>
        </w:tc>
        <w:tc>
          <w:tcPr>
            <w:tcW w:w="7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8044B8" w:rsidRDefault="00F1791A" w:rsidP="00F1791A">
            <w:pPr>
              <w:jc w:val="center"/>
              <w:rPr>
                <w:rFonts w:cs="Arial"/>
                <w:b/>
                <w:bCs/>
                <w:sz w:val="16"/>
                <w:szCs w:val="16"/>
              </w:rPr>
            </w:pPr>
            <w:r w:rsidRPr="008044B8">
              <w:rPr>
                <w:rFonts w:cs="Arial"/>
                <w:b/>
                <w:bCs/>
                <w:sz w:val="16"/>
                <w:szCs w:val="16"/>
              </w:rPr>
              <w:t>ANUAL</w:t>
            </w:r>
          </w:p>
        </w:tc>
      </w:tr>
      <w:tr w:rsidR="00F1791A" w:rsidRPr="008044B8">
        <w:trPr>
          <w:trHeight w:val="255"/>
        </w:trPr>
        <w:tc>
          <w:tcPr>
            <w:tcW w:w="1520" w:type="dxa"/>
            <w:tcBorders>
              <w:top w:val="nil"/>
              <w:left w:val="single" w:sz="4" w:space="0" w:color="auto"/>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EXCEDENCIA</w:t>
            </w:r>
          </w:p>
        </w:tc>
        <w:tc>
          <w:tcPr>
            <w:tcW w:w="57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ABR</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MAY</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JUN</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JUL</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AGO</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SEP</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OCT</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NOV</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DIC</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ENE</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FEB</w:t>
            </w:r>
          </w:p>
        </w:tc>
        <w:tc>
          <w:tcPr>
            <w:tcW w:w="576"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MAR</w:t>
            </w:r>
          </w:p>
        </w:tc>
        <w:tc>
          <w:tcPr>
            <w:tcW w:w="700" w:type="dxa"/>
            <w:vMerge/>
            <w:tcBorders>
              <w:top w:val="single" w:sz="4" w:space="0" w:color="auto"/>
              <w:left w:val="single" w:sz="4" w:space="0" w:color="auto"/>
              <w:bottom w:val="single" w:sz="4" w:space="0" w:color="000000"/>
              <w:right w:val="single" w:sz="4" w:space="0" w:color="auto"/>
            </w:tcBorders>
            <w:vAlign w:val="center"/>
          </w:tcPr>
          <w:p w:rsidR="00F1791A" w:rsidRPr="008044B8" w:rsidRDefault="00F1791A" w:rsidP="00F1791A">
            <w:pPr>
              <w:jc w:val="left"/>
              <w:rPr>
                <w:rFonts w:cs="Arial"/>
                <w:b/>
                <w:bCs/>
                <w:sz w:val="16"/>
                <w:szCs w:val="16"/>
              </w:rPr>
            </w:pPr>
          </w:p>
        </w:tc>
      </w:tr>
      <w:tr w:rsidR="00F1791A" w:rsidRPr="008044B8">
        <w:trPr>
          <w:trHeight w:val="255"/>
        </w:trPr>
        <w:tc>
          <w:tcPr>
            <w:tcW w:w="1520" w:type="dxa"/>
            <w:tcBorders>
              <w:top w:val="nil"/>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10 %</w:t>
            </w:r>
          </w:p>
        </w:tc>
        <w:tc>
          <w:tcPr>
            <w:tcW w:w="57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5.335</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5.438</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8.434</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20.442</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18.197</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7.039</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6.954</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11.751</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12.275</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7.018</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3.605</w:t>
            </w:r>
          </w:p>
        </w:tc>
        <w:tc>
          <w:tcPr>
            <w:tcW w:w="576"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3.925</w:t>
            </w:r>
          </w:p>
        </w:tc>
        <w:tc>
          <w:tcPr>
            <w:tcW w:w="700"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8.200</w:t>
            </w:r>
          </w:p>
        </w:tc>
      </w:tr>
      <w:tr w:rsidR="00F1791A" w:rsidRPr="008044B8">
        <w:trPr>
          <w:trHeight w:val="255"/>
        </w:trPr>
        <w:tc>
          <w:tcPr>
            <w:tcW w:w="1520" w:type="dxa"/>
            <w:tcBorders>
              <w:top w:val="nil"/>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50 %</w:t>
            </w:r>
          </w:p>
        </w:tc>
        <w:tc>
          <w:tcPr>
            <w:tcW w:w="57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2.540</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2.949</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4.266</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8.453</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7.280</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3.216</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3.917</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5.824</w:t>
            </w:r>
          </w:p>
        </w:tc>
        <w:tc>
          <w:tcPr>
            <w:tcW w:w="697"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4.447</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2.996</w:t>
            </w:r>
          </w:p>
        </w:tc>
        <w:tc>
          <w:tcPr>
            <w:tcW w:w="57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1.650</w:t>
            </w:r>
          </w:p>
        </w:tc>
        <w:tc>
          <w:tcPr>
            <w:tcW w:w="576"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2.765</w:t>
            </w:r>
          </w:p>
        </w:tc>
        <w:tc>
          <w:tcPr>
            <w:tcW w:w="700"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4.586</w:t>
            </w:r>
          </w:p>
        </w:tc>
      </w:tr>
      <w:tr w:rsidR="00F1791A" w:rsidRPr="008044B8">
        <w:trPr>
          <w:trHeight w:val="255"/>
        </w:trPr>
        <w:tc>
          <w:tcPr>
            <w:tcW w:w="1520" w:type="dxa"/>
            <w:tcBorders>
              <w:top w:val="nil"/>
              <w:left w:val="single" w:sz="4" w:space="0" w:color="auto"/>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85 %</w:t>
            </w:r>
          </w:p>
        </w:tc>
        <w:tc>
          <w:tcPr>
            <w:tcW w:w="57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1.626</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2.060</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2.557</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3.598</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3.365</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1.437</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1.855</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2.318</w:t>
            </w:r>
          </w:p>
        </w:tc>
        <w:tc>
          <w:tcPr>
            <w:tcW w:w="697"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1.688</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1.488</w:t>
            </w:r>
          </w:p>
        </w:tc>
        <w:tc>
          <w:tcPr>
            <w:tcW w:w="57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0.913</w:t>
            </w:r>
          </w:p>
        </w:tc>
        <w:tc>
          <w:tcPr>
            <w:tcW w:w="576"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1.902</w:t>
            </w:r>
          </w:p>
        </w:tc>
        <w:tc>
          <w:tcPr>
            <w:tcW w:w="700"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2.611</w:t>
            </w:r>
          </w:p>
        </w:tc>
      </w:tr>
    </w:tbl>
    <w:p w:rsidR="00F1791A" w:rsidRDefault="00F1791A" w:rsidP="00F1791A">
      <w:pPr>
        <w:pStyle w:val="Epgrafe"/>
        <w:keepNext/>
        <w:jc w:val="both"/>
      </w:pPr>
    </w:p>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10</w:t>
      </w:r>
      <w:r w:rsidR="00951FEC">
        <w:fldChar w:fldCharType="end"/>
      </w:r>
      <w:r>
        <w:t xml:space="preserve"> Curva de Duración Subcuenca 0571 Maipo Medio</w:t>
      </w:r>
    </w:p>
    <w:p w:rsidR="00F1791A" w:rsidRDefault="00254CE2" w:rsidP="00F1791A">
      <w:pPr>
        <w:jc w:val="center"/>
      </w:pPr>
      <w:r>
        <w:rPr>
          <w:noProof/>
          <w:lang w:val="es-CL" w:eastAsia="es-CL"/>
        </w:rPr>
        <w:drawing>
          <wp:inline distT="0" distB="0" distL="0" distR="0">
            <wp:extent cx="4380865" cy="2158365"/>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80865" cy="2158365"/>
                    </a:xfrm>
                    <a:prstGeom prst="rect">
                      <a:avLst/>
                    </a:prstGeom>
                    <a:noFill/>
                    <a:ln>
                      <a:noFill/>
                    </a:ln>
                  </pic:spPr>
                </pic:pic>
              </a:graphicData>
            </a:graphic>
          </wp:inline>
        </w:drawing>
      </w:r>
    </w:p>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11</w:t>
      </w:r>
      <w:r w:rsidR="00951FEC">
        <w:fldChar w:fldCharType="end"/>
      </w:r>
      <w:r>
        <w:t xml:space="preserve"> Curvas de Variación Estacional Subcuenca 0600 Río Cachapoal Alto</w:t>
      </w:r>
    </w:p>
    <w:p w:rsidR="00F1791A" w:rsidRPr="008044B8" w:rsidRDefault="00254CE2" w:rsidP="00F1791A">
      <w:pPr>
        <w:jc w:val="center"/>
        <w:rPr>
          <w:noProof/>
          <w:lang w:val="es-CL" w:eastAsia="es-CL"/>
        </w:rPr>
      </w:pPr>
      <w:r>
        <w:rPr>
          <w:noProof/>
          <w:lang w:val="es-CL" w:eastAsia="es-CL"/>
        </w:rPr>
        <w:drawing>
          <wp:inline distT="0" distB="0" distL="0" distR="0">
            <wp:extent cx="5220335" cy="40513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0335" cy="4051300"/>
                    </a:xfrm>
                    <a:prstGeom prst="rect">
                      <a:avLst/>
                    </a:prstGeom>
                    <a:noFill/>
                    <a:ln>
                      <a:noFill/>
                    </a:ln>
                  </pic:spPr>
                </pic:pic>
              </a:graphicData>
            </a:graphic>
          </wp:inline>
        </w:drawing>
      </w:r>
    </w:p>
    <w:p w:rsidR="00F1791A" w:rsidRDefault="00F1791A" w:rsidP="00F1791A">
      <w:pPr>
        <w:jc w:val="center"/>
      </w:pPr>
    </w:p>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w:t>
      </w:r>
      <w:r w:rsidR="007F3102">
        <w:fldChar w:fldCharType="end"/>
      </w:r>
      <w:r>
        <w:t xml:space="preserve"> Curvas de Variación Estacional Subcuenca 0600 Río Cachapoal Alto</w:t>
      </w:r>
    </w:p>
    <w:tbl>
      <w:tblPr>
        <w:tblW w:w="9562" w:type="dxa"/>
        <w:jc w:val="center"/>
        <w:tblInd w:w="65" w:type="dxa"/>
        <w:tblCellMar>
          <w:left w:w="70" w:type="dxa"/>
          <w:right w:w="70" w:type="dxa"/>
        </w:tblCellMar>
        <w:tblLook w:val="0000" w:firstRow="0" w:lastRow="0" w:firstColumn="0" w:lastColumn="0" w:noHBand="0" w:noVBand="0"/>
      </w:tblPr>
      <w:tblGrid>
        <w:gridCol w:w="1483"/>
        <w:gridCol w:w="630"/>
        <w:gridCol w:w="630"/>
        <w:gridCol w:w="630"/>
        <w:gridCol w:w="630"/>
        <w:gridCol w:w="630"/>
        <w:gridCol w:w="630"/>
        <w:gridCol w:w="719"/>
        <w:gridCol w:w="719"/>
        <w:gridCol w:w="719"/>
        <w:gridCol w:w="719"/>
        <w:gridCol w:w="719"/>
        <w:gridCol w:w="719"/>
        <w:gridCol w:w="745"/>
      </w:tblGrid>
      <w:tr w:rsidR="00F1791A" w:rsidRPr="008044B8">
        <w:trPr>
          <w:trHeight w:val="264"/>
          <w:jc w:val="center"/>
        </w:trPr>
        <w:tc>
          <w:tcPr>
            <w:tcW w:w="1316" w:type="dxa"/>
            <w:tcBorders>
              <w:top w:val="single" w:sz="4" w:space="0" w:color="auto"/>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PROBABILIADAD</w:t>
            </w:r>
          </w:p>
        </w:tc>
        <w:tc>
          <w:tcPr>
            <w:tcW w:w="7612"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MES</w:t>
            </w:r>
          </w:p>
        </w:tc>
        <w:tc>
          <w:tcPr>
            <w:tcW w:w="6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8044B8" w:rsidRDefault="00F1791A" w:rsidP="00F1791A">
            <w:pPr>
              <w:jc w:val="center"/>
              <w:rPr>
                <w:rFonts w:cs="Arial"/>
                <w:b/>
                <w:bCs/>
                <w:sz w:val="16"/>
                <w:szCs w:val="16"/>
              </w:rPr>
            </w:pPr>
            <w:r>
              <w:rPr>
                <w:rFonts w:cs="Arial"/>
                <w:b/>
                <w:bCs/>
                <w:sz w:val="16"/>
                <w:szCs w:val="16"/>
              </w:rPr>
              <w:t>ANUAL</w:t>
            </w:r>
            <w:r w:rsidRPr="008044B8">
              <w:rPr>
                <w:rFonts w:cs="Arial"/>
                <w:b/>
                <w:bCs/>
                <w:sz w:val="16"/>
                <w:szCs w:val="16"/>
              </w:rPr>
              <w:t> </w:t>
            </w:r>
          </w:p>
        </w:tc>
      </w:tr>
      <w:tr w:rsidR="00F1791A" w:rsidRPr="008044B8">
        <w:trPr>
          <w:trHeight w:val="264"/>
          <w:jc w:val="center"/>
        </w:trPr>
        <w:tc>
          <w:tcPr>
            <w:tcW w:w="1316" w:type="dxa"/>
            <w:tcBorders>
              <w:top w:val="nil"/>
              <w:left w:val="single" w:sz="4" w:space="0" w:color="auto"/>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EXCEDENCIA</w:t>
            </w:r>
          </w:p>
        </w:tc>
        <w:tc>
          <w:tcPr>
            <w:tcW w:w="5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ABR</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MAY</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JUN</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JUL</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AGO</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SEP</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OCT</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NOV</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DIC</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ENE</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FEB</w:t>
            </w:r>
          </w:p>
        </w:tc>
        <w:tc>
          <w:tcPr>
            <w:tcW w:w="695"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b/>
                <w:bCs/>
                <w:sz w:val="16"/>
                <w:szCs w:val="16"/>
              </w:rPr>
            </w:pPr>
            <w:r w:rsidRPr="008044B8">
              <w:rPr>
                <w:rFonts w:cs="Arial"/>
                <w:b/>
                <w:bCs/>
                <w:sz w:val="16"/>
                <w:szCs w:val="16"/>
              </w:rPr>
              <w:t>MAR</w:t>
            </w:r>
          </w:p>
        </w:tc>
        <w:tc>
          <w:tcPr>
            <w:tcW w:w="634" w:type="dxa"/>
            <w:vMerge/>
            <w:tcBorders>
              <w:top w:val="single" w:sz="4" w:space="0" w:color="auto"/>
              <w:left w:val="single" w:sz="4" w:space="0" w:color="auto"/>
              <w:bottom w:val="single" w:sz="4" w:space="0" w:color="000000"/>
              <w:right w:val="single" w:sz="4" w:space="0" w:color="auto"/>
            </w:tcBorders>
            <w:vAlign w:val="center"/>
          </w:tcPr>
          <w:p w:rsidR="00F1791A" w:rsidRPr="008044B8" w:rsidRDefault="00F1791A" w:rsidP="00F1791A">
            <w:pPr>
              <w:jc w:val="left"/>
              <w:rPr>
                <w:rFonts w:cs="Arial"/>
                <w:b/>
                <w:bCs/>
                <w:sz w:val="16"/>
                <w:szCs w:val="16"/>
              </w:rPr>
            </w:pPr>
          </w:p>
        </w:tc>
      </w:tr>
      <w:tr w:rsidR="00F1791A" w:rsidRPr="008044B8">
        <w:trPr>
          <w:trHeight w:val="264"/>
          <w:jc w:val="center"/>
        </w:trPr>
        <w:tc>
          <w:tcPr>
            <w:tcW w:w="1316" w:type="dxa"/>
            <w:tcBorders>
              <w:top w:val="nil"/>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10 %</w:t>
            </w:r>
          </w:p>
        </w:tc>
        <w:tc>
          <w:tcPr>
            <w:tcW w:w="5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68.351</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65.683</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87.820</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87.174</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89.486</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96.263</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121.198</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217.269</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306.532</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276.099</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193.378</w:t>
            </w:r>
          </w:p>
        </w:tc>
        <w:tc>
          <w:tcPr>
            <w:tcW w:w="695"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116.445</w:t>
            </w:r>
          </w:p>
        </w:tc>
        <w:tc>
          <w:tcPr>
            <w:tcW w:w="634"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136.585</w:t>
            </w:r>
          </w:p>
        </w:tc>
      </w:tr>
      <w:tr w:rsidR="00F1791A" w:rsidRPr="008044B8">
        <w:trPr>
          <w:trHeight w:val="264"/>
          <w:jc w:val="center"/>
        </w:trPr>
        <w:tc>
          <w:tcPr>
            <w:tcW w:w="1316" w:type="dxa"/>
            <w:tcBorders>
              <w:top w:val="nil"/>
              <w:left w:val="single" w:sz="4" w:space="0" w:color="auto"/>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50 %</w:t>
            </w:r>
          </w:p>
        </w:tc>
        <w:tc>
          <w:tcPr>
            <w:tcW w:w="5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48.960</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40.001</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46.365</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51.707</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49.342</w:t>
            </w:r>
          </w:p>
        </w:tc>
        <w:tc>
          <w:tcPr>
            <w:tcW w:w="580"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59.317</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87.103</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134.861</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185.233</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165.405</w:t>
            </w:r>
          </w:p>
        </w:tc>
        <w:tc>
          <w:tcPr>
            <w:tcW w:w="686" w:type="dxa"/>
            <w:tcBorders>
              <w:top w:val="nil"/>
              <w:left w:val="nil"/>
              <w:bottom w:val="nil"/>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124.091</w:t>
            </w:r>
          </w:p>
        </w:tc>
        <w:tc>
          <w:tcPr>
            <w:tcW w:w="695"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80.072</w:t>
            </w:r>
          </w:p>
        </w:tc>
        <w:tc>
          <w:tcPr>
            <w:tcW w:w="634" w:type="dxa"/>
            <w:tcBorders>
              <w:top w:val="nil"/>
              <w:left w:val="nil"/>
              <w:bottom w:val="nil"/>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91.751</w:t>
            </w:r>
          </w:p>
        </w:tc>
      </w:tr>
      <w:tr w:rsidR="00F1791A" w:rsidRPr="008044B8">
        <w:trPr>
          <w:trHeight w:val="264"/>
          <w:jc w:val="center"/>
        </w:trPr>
        <w:tc>
          <w:tcPr>
            <w:tcW w:w="1316" w:type="dxa"/>
            <w:tcBorders>
              <w:top w:val="nil"/>
              <w:left w:val="single" w:sz="4" w:space="0" w:color="auto"/>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85 %</w:t>
            </w:r>
          </w:p>
        </w:tc>
        <w:tc>
          <w:tcPr>
            <w:tcW w:w="5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38.038</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31.171</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29.682</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33.096</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33.383</w:t>
            </w:r>
          </w:p>
        </w:tc>
        <w:tc>
          <w:tcPr>
            <w:tcW w:w="580"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38.695</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57.650</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92.033</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118.614</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114.258</w:t>
            </w:r>
          </w:p>
        </w:tc>
        <w:tc>
          <w:tcPr>
            <w:tcW w:w="686" w:type="dxa"/>
            <w:tcBorders>
              <w:top w:val="nil"/>
              <w:left w:val="nil"/>
              <w:bottom w:val="single" w:sz="4" w:space="0" w:color="auto"/>
              <w:right w:val="nil"/>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90.947</w:t>
            </w:r>
          </w:p>
        </w:tc>
        <w:tc>
          <w:tcPr>
            <w:tcW w:w="695"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62.642</w:t>
            </w:r>
          </w:p>
        </w:tc>
        <w:tc>
          <w:tcPr>
            <w:tcW w:w="634" w:type="dxa"/>
            <w:tcBorders>
              <w:top w:val="nil"/>
              <w:left w:val="nil"/>
              <w:bottom w:val="single" w:sz="4" w:space="0" w:color="auto"/>
              <w:right w:val="single" w:sz="4" w:space="0" w:color="auto"/>
            </w:tcBorders>
            <w:shd w:val="clear" w:color="auto" w:fill="auto"/>
            <w:noWrap/>
            <w:vAlign w:val="bottom"/>
          </w:tcPr>
          <w:p w:rsidR="00F1791A" w:rsidRPr="008044B8" w:rsidRDefault="00F1791A" w:rsidP="00F1791A">
            <w:pPr>
              <w:jc w:val="center"/>
              <w:rPr>
                <w:rFonts w:cs="Arial"/>
                <w:sz w:val="16"/>
                <w:szCs w:val="16"/>
              </w:rPr>
            </w:pPr>
            <w:r w:rsidRPr="008044B8">
              <w:rPr>
                <w:rFonts w:cs="Arial"/>
                <w:sz w:val="16"/>
                <w:szCs w:val="16"/>
              </w:rPr>
              <w:t>66.212</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12</w:t>
      </w:r>
      <w:r w:rsidR="00951FEC">
        <w:fldChar w:fldCharType="end"/>
      </w:r>
      <w:r>
        <w:t xml:space="preserve"> Curva de Duración Subcuenca 600 Río Cachapoal Alto</w:t>
      </w:r>
    </w:p>
    <w:p w:rsidR="00F1791A" w:rsidRPr="00D314B9" w:rsidRDefault="00254CE2" w:rsidP="00F1791A">
      <w:pPr>
        <w:jc w:val="center"/>
      </w:pPr>
      <w:r>
        <w:rPr>
          <w:noProof/>
          <w:lang w:val="es-CL" w:eastAsia="es-CL"/>
        </w:rPr>
        <w:drawing>
          <wp:inline distT="0" distB="0" distL="0" distR="0">
            <wp:extent cx="4380865" cy="2158365"/>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80865"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13</w:t>
      </w:r>
      <w:r w:rsidR="00951FEC">
        <w:fldChar w:fldCharType="end"/>
      </w:r>
      <w:r>
        <w:t xml:space="preserve"> Curvas de Variación Estacional Subcuenca 0601 Río Cachapoal Bajo</w:t>
      </w:r>
    </w:p>
    <w:p w:rsidR="00F1791A" w:rsidRPr="00656273" w:rsidRDefault="00254CE2" w:rsidP="00F1791A">
      <w:pPr>
        <w:jc w:val="center"/>
      </w:pPr>
      <w:r>
        <w:rPr>
          <w:noProof/>
          <w:lang w:val="es-CL" w:eastAsia="es-CL"/>
        </w:rPr>
        <w:drawing>
          <wp:inline distT="0" distB="0" distL="0" distR="0">
            <wp:extent cx="5210175" cy="40513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12</w:t>
      </w:r>
      <w:r w:rsidR="007F3102">
        <w:fldChar w:fldCharType="end"/>
      </w:r>
      <w:r>
        <w:t xml:space="preserve"> Curvas de Variación Estacional Subcuenca 0601 Río Cachapoal Bajo</w:t>
      </w:r>
    </w:p>
    <w:tbl>
      <w:tblPr>
        <w:tblW w:w="10551" w:type="dxa"/>
        <w:jc w:val="center"/>
        <w:tblInd w:w="65" w:type="dxa"/>
        <w:tblCellMar>
          <w:left w:w="70" w:type="dxa"/>
          <w:right w:w="70" w:type="dxa"/>
        </w:tblCellMar>
        <w:tblLook w:val="0000" w:firstRow="0" w:lastRow="0" w:firstColumn="0" w:lastColumn="0" w:noHBand="0" w:noVBand="0"/>
      </w:tblPr>
      <w:tblGrid>
        <w:gridCol w:w="1483"/>
        <w:gridCol w:w="630"/>
        <w:gridCol w:w="719"/>
        <w:gridCol w:w="719"/>
        <w:gridCol w:w="719"/>
        <w:gridCol w:w="719"/>
        <w:gridCol w:w="719"/>
        <w:gridCol w:w="719"/>
        <w:gridCol w:w="719"/>
        <w:gridCol w:w="719"/>
        <w:gridCol w:w="719"/>
        <w:gridCol w:w="719"/>
        <w:gridCol w:w="719"/>
        <w:gridCol w:w="719"/>
      </w:tblGrid>
      <w:tr w:rsidR="00F30004" w:rsidRPr="00ED0DA6">
        <w:trPr>
          <w:trHeight w:val="267"/>
          <w:jc w:val="center"/>
        </w:trPr>
        <w:tc>
          <w:tcPr>
            <w:tcW w:w="1455" w:type="dxa"/>
            <w:tcBorders>
              <w:top w:val="single" w:sz="4" w:space="0" w:color="auto"/>
              <w:left w:val="single" w:sz="4" w:space="0" w:color="auto"/>
              <w:bottom w:val="nil"/>
              <w:right w:val="single" w:sz="4" w:space="0" w:color="auto"/>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PROBABILIADAD</w:t>
            </w:r>
          </w:p>
        </w:tc>
        <w:tc>
          <w:tcPr>
            <w:tcW w:w="8390" w:type="dxa"/>
            <w:gridSpan w:val="12"/>
            <w:tcBorders>
              <w:top w:val="single" w:sz="4" w:space="0" w:color="auto"/>
              <w:left w:val="nil"/>
              <w:bottom w:val="single" w:sz="4" w:space="0" w:color="auto"/>
              <w:right w:val="single" w:sz="4" w:space="0" w:color="000000"/>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MES</w:t>
            </w:r>
          </w:p>
        </w:tc>
        <w:tc>
          <w:tcPr>
            <w:tcW w:w="7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30004" w:rsidRPr="00ED0DA6" w:rsidRDefault="00F30004" w:rsidP="00F30004">
            <w:pPr>
              <w:jc w:val="center"/>
              <w:rPr>
                <w:rFonts w:cs="Arial"/>
                <w:b/>
                <w:bCs/>
                <w:sz w:val="16"/>
                <w:szCs w:val="16"/>
              </w:rPr>
            </w:pPr>
            <w:r w:rsidRPr="00ED0DA6">
              <w:rPr>
                <w:rFonts w:cs="Arial"/>
                <w:b/>
                <w:bCs/>
                <w:sz w:val="16"/>
                <w:szCs w:val="16"/>
              </w:rPr>
              <w:t>ANUAL</w:t>
            </w:r>
          </w:p>
        </w:tc>
      </w:tr>
      <w:tr w:rsidR="00F30004" w:rsidRPr="00ED0DA6">
        <w:trPr>
          <w:trHeight w:val="267"/>
          <w:jc w:val="center"/>
        </w:trPr>
        <w:tc>
          <w:tcPr>
            <w:tcW w:w="1455" w:type="dxa"/>
            <w:tcBorders>
              <w:top w:val="nil"/>
              <w:left w:val="single" w:sz="4" w:space="0" w:color="auto"/>
              <w:bottom w:val="single" w:sz="4" w:space="0" w:color="auto"/>
              <w:right w:val="single" w:sz="4" w:space="0" w:color="auto"/>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EXCEDENCIA</w:t>
            </w:r>
          </w:p>
        </w:tc>
        <w:tc>
          <w:tcPr>
            <w:tcW w:w="618"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ABR</w:t>
            </w:r>
          </w:p>
        </w:tc>
        <w:tc>
          <w:tcPr>
            <w:tcW w:w="707"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MAY</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JUN</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JUL</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AGO</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SEP</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OCT</w:t>
            </w:r>
          </w:p>
        </w:tc>
        <w:tc>
          <w:tcPr>
            <w:tcW w:w="707"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NOV</w:t>
            </w:r>
          </w:p>
        </w:tc>
        <w:tc>
          <w:tcPr>
            <w:tcW w:w="705"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DIC</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ENE</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FEB</w:t>
            </w:r>
          </w:p>
        </w:tc>
        <w:tc>
          <w:tcPr>
            <w:tcW w:w="706" w:type="dxa"/>
            <w:tcBorders>
              <w:top w:val="nil"/>
              <w:left w:val="nil"/>
              <w:bottom w:val="single" w:sz="4" w:space="0" w:color="auto"/>
              <w:right w:val="single" w:sz="4" w:space="0" w:color="auto"/>
            </w:tcBorders>
            <w:shd w:val="clear" w:color="auto" w:fill="auto"/>
            <w:noWrap/>
            <w:vAlign w:val="bottom"/>
          </w:tcPr>
          <w:p w:rsidR="00F30004" w:rsidRPr="00ED0DA6" w:rsidRDefault="00F30004" w:rsidP="00F30004">
            <w:pPr>
              <w:jc w:val="center"/>
              <w:rPr>
                <w:rFonts w:cs="Arial"/>
                <w:b/>
                <w:bCs/>
                <w:sz w:val="16"/>
                <w:szCs w:val="16"/>
              </w:rPr>
            </w:pPr>
            <w:r w:rsidRPr="00ED0DA6">
              <w:rPr>
                <w:rFonts w:cs="Arial"/>
                <w:b/>
                <w:bCs/>
                <w:sz w:val="16"/>
                <w:szCs w:val="16"/>
              </w:rPr>
              <w:t>MAR</w:t>
            </w:r>
          </w:p>
        </w:tc>
        <w:tc>
          <w:tcPr>
            <w:tcW w:w="706" w:type="dxa"/>
            <w:vMerge/>
            <w:tcBorders>
              <w:top w:val="single" w:sz="4" w:space="0" w:color="auto"/>
              <w:left w:val="single" w:sz="4" w:space="0" w:color="auto"/>
              <w:bottom w:val="single" w:sz="4" w:space="0" w:color="000000"/>
              <w:right w:val="single" w:sz="4" w:space="0" w:color="auto"/>
            </w:tcBorders>
            <w:vAlign w:val="center"/>
          </w:tcPr>
          <w:p w:rsidR="00F30004" w:rsidRPr="00ED0DA6" w:rsidRDefault="00F30004" w:rsidP="00F30004">
            <w:pPr>
              <w:jc w:val="left"/>
              <w:rPr>
                <w:rFonts w:cs="Arial"/>
                <w:b/>
                <w:bCs/>
                <w:sz w:val="16"/>
                <w:szCs w:val="16"/>
              </w:rPr>
            </w:pPr>
          </w:p>
        </w:tc>
      </w:tr>
      <w:tr w:rsidR="00F30004" w:rsidRPr="00ED0DA6">
        <w:trPr>
          <w:trHeight w:val="267"/>
          <w:jc w:val="center"/>
        </w:trPr>
        <w:tc>
          <w:tcPr>
            <w:tcW w:w="1455" w:type="dxa"/>
            <w:tcBorders>
              <w:top w:val="nil"/>
              <w:left w:val="single" w:sz="4" w:space="0" w:color="auto"/>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10 %</w:t>
            </w:r>
          </w:p>
        </w:tc>
        <w:tc>
          <w:tcPr>
            <w:tcW w:w="618"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87.001</w:t>
            </w:r>
          </w:p>
        </w:tc>
        <w:tc>
          <w:tcPr>
            <w:tcW w:w="707"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165.427</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268.940</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259.517</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246.618</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190.413</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127.882</w:t>
            </w:r>
          </w:p>
        </w:tc>
        <w:tc>
          <w:tcPr>
            <w:tcW w:w="707"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120.591</w:t>
            </w:r>
          </w:p>
        </w:tc>
        <w:tc>
          <w:tcPr>
            <w:tcW w:w="705"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146.503</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147.448</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121.559</w:t>
            </w:r>
          </w:p>
        </w:tc>
        <w:tc>
          <w:tcPr>
            <w:tcW w:w="706" w:type="dxa"/>
            <w:tcBorders>
              <w:top w:val="nil"/>
              <w:left w:val="nil"/>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118.805</w:t>
            </w:r>
          </w:p>
        </w:tc>
        <w:tc>
          <w:tcPr>
            <w:tcW w:w="706" w:type="dxa"/>
            <w:tcBorders>
              <w:top w:val="nil"/>
              <w:left w:val="nil"/>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150.300</w:t>
            </w:r>
          </w:p>
        </w:tc>
      </w:tr>
      <w:tr w:rsidR="00F30004" w:rsidRPr="00ED0DA6">
        <w:trPr>
          <w:trHeight w:val="267"/>
          <w:jc w:val="center"/>
        </w:trPr>
        <w:tc>
          <w:tcPr>
            <w:tcW w:w="1455" w:type="dxa"/>
            <w:tcBorders>
              <w:top w:val="nil"/>
              <w:left w:val="single" w:sz="4" w:space="0" w:color="auto"/>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50 %</w:t>
            </w:r>
          </w:p>
        </w:tc>
        <w:tc>
          <w:tcPr>
            <w:tcW w:w="618"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53.747</w:t>
            </w:r>
          </w:p>
        </w:tc>
        <w:tc>
          <w:tcPr>
            <w:tcW w:w="707"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77.275</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100.114</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134.143</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132.194</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99.482</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60.211</w:t>
            </w:r>
          </w:p>
        </w:tc>
        <w:tc>
          <w:tcPr>
            <w:tcW w:w="707"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72.336</w:t>
            </w:r>
          </w:p>
        </w:tc>
        <w:tc>
          <w:tcPr>
            <w:tcW w:w="705"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87.144</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66.070</w:t>
            </w:r>
          </w:p>
        </w:tc>
        <w:tc>
          <w:tcPr>
            <w:tcW w:w="706" w:type="dxa"/>
            <w:tcBorders>
              <w:top w:val="nil"/>
              <w:left w:val="nil"/>
              <w:bottom w:val="nil"/>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50.830</w:t>
            </w:r>
          </w:p>
        </w:tc>
        <w:tc>
          <w:tcPr>
            <w:tcW w:w="706" w:type="dxa"/>
            <w:tcBorders>
              <w:top w:val="nil"/>
              <w:left w:val="nil"/>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57.580</w:t>
            </w:r>
          </w:p>
        </w:tc>
        <w:tc>
          <w:tcPr>
            <w:tcW w:w="706" w:type="dxa"/>
            <w:tcBorders>
              <w:top w:val="nil"/>
              <w:left w:val="nil"/>
              <w:bottom w:val="nil"/>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87.847</w:t>
            </w:r>
          </w:p>
        </w:tc>
      </w:tr>
      <w:tr w:rsidR="00F30004" w:rsidRPr="00ED0DA6">
        <w:trPr>
          <w:trHeight w:val="267"/>
          <w:jc w:val="center"/>
        </w:trPr>
        <w:tc>
          <w:tcPr>
            <w:tcW w:w="1455" w:type="dxa"/>
            <w:tcBorders>
              <w:top w:val="nil"/>
              <w:left w:val="single" w:sz="4" w:space="0" w:color="auto"/>
              <w:bottom w:val="single" w:sz="4" w:space="0" w:color="auto"/>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85 %</w:t>
            </w:r>
          </w:p>
        </w:tc>
        <w:tc>
          <w:tcPr>
            <w:tcW w:w="618"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30.312</w:t>
            </w:r>
          </w:p>
        </w:tc>
        <w:tc>
          <w:tcPr>
            <w:tcW w:w="707"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42.708</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41.316</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66.188</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77.777</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47.319</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20.360</w:t>
            </w:r>
          </w:p>
        </w:tc>
        <w:tc>
          <w:tcPr>
            <w:tcW w:w="707"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34.865</w:t>
            </w:r>
          </w:p>
        </w:tc>
        <w:tc>
          <w:tcPr>
            <w:tcW w:w="705"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38.839</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23.518</w:t>
            </w:r>
          </w:p>
        </w:tc>
        <w:tc>
          <w:tcPr>
            <w:tcW w:w="706" w:type="dxa"/>
            <w:tcBorders>
              <w:top w:val="nil"/>
              <w:left w:val="nil"/>
              <w:bottom w:val="single" w:sz="4" w:space="0" w:color="auto"/>
              <w:right w:val="nil"/>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17.037</w:t>
            </w:r>
          </w:p>
        </w:tc>
        <w:tc>
          <w:tcPr>
            <w:tcW w:w="706" w:type="dxa"/>
            <w:tcBorders>
              <w:top w:val="nil"/>
              <w:left w:val="nil"/>
              <w:bottom w:val="single" w:sz="4" w:space="0" w:color="auto"/>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24.802</w:t>
            </w:r>
          </w:p>
        </w:tc>
        <w:tc>
          <w:tcPr>
            <w:tcW w:w="706" w:type="dxa"/>
            <w:tcBorders>
              <w:top w:val="nil"/>
              <w:left w:val="nil"/>
              <w:bottom w:val="single" w:sz="4" w:space="0" w:color="auto"/>
              <w:right w:val="single" w:sz="4" w:space="0" w:color="auto"/>
            </w:tcBorders>
            <w:shd w:val="clear" w:color="auto" w:fill="auto"/>
            <w:noWrap/>
            <w:vAlign w:val="bottom"/>
          </w:tcPr>
          <w:p w:rsidR="00F30004" w:rsidRPr="00ED0DA6" w:rsidRDefault="00F30004" w:rsidP="00F30004">
            <w:pPr>
              <w:jc w:val="center"/>
              <w:rPr>
                <w:rFonts w:cs="Arial"/>
                <w:sz w:val="16"/>
                <w:szCs w:val="16"/>
              </w:rPr>
            </w:pPr>
            <w:r w:rsidRPr="00ED0DA6">
              <w:rPr>
                <w:rFonts w:cs="Arial"/>
                <w:sz w:val="16"/>
                <w:szCs w:val="16"/>
              </w:rPr>
              <w:t>48.250</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14</w:t>
      </w:r>
      <w:r w:rsidR="00951FEC">
        <w:fldChar w:fldCharType="end"/>
      </w:r>
      <w:r>
        <w:t xml:space="preserve"> Curva de Duración Subcuenca 601 Río Cachapoal Bajo</w:t>
      </w:r>
    </w:p>
    <w:p w:rsidR="00F1791A" w:rsidRPr="00D314B9" w:rsidRDefault="00254CE2" w:rsidP="00F1791A">
      <w:pPr>
        <w:jc w:val="center"/>
      </w:pPr>
      <w:r>
        <w:rPr>
          <w:noProof/>
          <w:lang w:val="es-CL" w:eastAsia="es-CL"/>
        </w:rPr>
        <w:drawing>
          <wp:inline distT="0" distB="0" distL="0" distR="0">
            <wp:extent cx="4380865" cy="2158365"/>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80865"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15</w:t>
      </w:r>
      <w:r w:rsidR="00951FEC">
        <w:fldChar w:fldCharType="end"/>
      </w:r>
      <w:r>
        <w:t xml:space="preserve"> Curvas de Variación Estacional Subcuenca 0602 Río Tinguiririca Alto</w:t>
      </w:r>
    </w:p>
    <w:p w:rsidR="00F1791A" w:rsidRPr="00CD2132" w:rsidRDefault="00254CE2" w:rsidP="00F1791A">
      <w:pPr>
        <w:jc w:val="center"/>
      </w:pPr>
      <w:r>
        <w:rPr>
          <w:noProof/>
          <w:lang w:val="es-CL" w:eastAsia="es-CL"/>
        </w:rPr>
        <w:drawing>
          <wp:inline distT="0" distB="0" distL="0" distR="0">
            <wp:extent cx="5210175" cy="40513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r>
        <w:t xml:space="preserve"> Curvas de Variación Estacional Subcuenca 0602 Río Tinguiririca Alto</w:t>
      </w:r>
    </w:p>
    <w:tbl>
      <w:tblPr>
        <w:tblW w:w="9353" w:type="dxa"/>
        <w:jc w:val="center"/>
        <w:tblInd w:w="65" w:type="dxa"/>
        <w:tblCellMar>
          <w:left w:w="70" w:type="dxa"/>
          <w:right w:w="70" w:type="dxa"/>
        </w:tblCellMar>
        <w:tblLook w:val="0000" w:firstRow="0" w:lastRow="0" w:firstColumn="0" w:lastColumn="0" w:noHBand="0" w:noVBand="0"/>
      </w:tblPr>
      <w:tblGrid>
        <w:gridCol w:w="1483"/>
        <w:gridCol w:w="630"/>
        <w:gridCol w:w="630"/>
        <w:gridCol w:w="719"/>
        <w:gridCol w:w="719"/>
        <w:gridCol w:w="630"/>
        <w:gridCol w:w="630"/>
        <w:gridCol w:w="630"/>
        <w:gridCol w:w="719"/>
        <w:gridCol w:w="719"/>
        <w:gridCol w:w="719"/>
        <w:gridCol w:w="630"/>
        <w:gridCol w:w="630"/>
        <w:gridCol w:w="789"/>
      </w:tblGrid>
      <w:tr w:rsidR="00F30004" w:rsidRPr="008C7CAB">
        <w:trPr>
          <w:trHeight w:val="264"/>
          <w:jc w:val="center"/>
        </w:trPr>
        <w:tc>
          <w:tcPr>
            <w:tcW w:w="1322" w:type="dxa"/>
            <w:tcBorders>
              <w:top w:val="single" w:sz="4" w:space="0" w:color="auto"/>
              <w:left w:val="single" w:sz="4" w:space="0" w:color="auto"/>
              <w:bottom w:val="nil"/>
              <w:right w:val="single" w:sz="4" w:space="0" w:color="auto"/>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PROBABILIADAD</w:t>
            </w:r>
          </w:p>
        </w:tc>
        <w:tc>
          <w:tcPr>
            <w:tcW w:w="7242" w:type="dxa"/>
            <w:gridSpan w:val="12"/>
            <w:tcBorders>
              <w:top w:val="single" w:sz="4" w:space="0" w:color="auto"/>
              <w:left w:val="nil"/>
              <w:bottom w:val="single" w:sz="4" w:space="0" w:color="auto"/>
              <w:right w:val="single" w:sz="4" w:space="0" w:color="000000"/>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MES</w:t>
            </w:r>
          </w:p>
        </w:tc>
        <w:tc>
          <w:tcPr>
            <w:tcW w:w="78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30004" w:rsidRPr="008C7CAB" w:rsidRDefault="00F30004" w:rsidP="00F30004">
            <w:pPr>
              <w:jc w:val="center"/>
              <w:rPr>
                <w:rFonts w:cs="Arial"/>
                <w:b/>
                <w:bCs/>
                <w:sz w:val="16"/>
                <w:szCs w:val="16"/>
              </w:rPr>
            </w:pPr>
            <w:r w:rsidRPr="008C7CAB">
              <w:rPr>
                <w:rFonts w:cs="Arial"/>
                <w:b/>
                <w:bCs/>
                <w:sz w:val="16"/>
                <w:szCs w:val="16"/>
              </w:rPr>
              <w:t>ANUAL</w:t>
            </w:r>
          </w:p>
        </w:tc>
      </w:tr>
      <w:tr w:rsidR="00F30004" w:rsidRPr="008C7CAB">
        <w:trPr>
          <w:trHeight w:val="264"/>
          <w:jc w:val="center"/>
        </w:trPr>
        <w:tc>
          <w:tcPr>
            <w:tcW w:w="1322" w:type="dxa"/>
            <w:tcBorders>
              <w:top w:val="nil"/>
              <w:left w:val="single" w:sz="4" w:space="0" w:color="auto"/>
              <w:bottom w:val="single" w:sz="4" w:space="0" w:color="auto"/>
              <w:right w:val="single" w:sz="4" w:space="0" w:color="auto"/>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EXCEDENCIA</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ABR</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MAY</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JUN</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JUL</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AGO</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SEP</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OCT</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NOV</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DIC</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ENE</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FEB</w:t>
            </w:r>
          </w:p>
        </w:tc>
        <w:tc>
          <w:tcPr>
            <w:tcW w:w="571" w:type="dxa"/>
            <w:tcBorders>
              <w:top w:val="nil"/>
              <w:left w:val="nil"/>
              <w:bottom w:val="single" w:sz="4" w:space="0" w:color="auto"/>
              <w:right w:val="single" w:sz="4" w:space="0" w:color="auto"/>
            </w:tcBorders>
            <w:shd w:val="clear" w:color="auto" w:fill="auto"/>
            <w:noWrap/>
            <w:vAlign w:val="bottom"/>
          </w:tcPr>
          <w:p w:rsidR="00F30004" w:rsidRPr="008C7CAB" w:rsidRDefault="00F30004" w:rsidP="00F30004">
            <w:pPr>
              <w:jc w:val="center"/>
              <w:rPr>
                <w:rFonts w:cs="Arial"/>
                <w:b/>
                <w:bCs/>
                <w:sz w:val="16"/>
                <w:szCs w:val="16"/>
              </w:rPr>
            </w:pPr>
            <w:r w:rsidRPr="008C7CAB">
              <w:rPr>
                <w:rFonts w:cs="Arial"/>
                <w:b/>
                <w:bCs/>
                <w:sz w:val="16"/>
                <w:szCs w:val="16"/>
              </w:rPr>
              <w:t>MAR</w:t>
            </w:r>
          </w:p>
        </w:tc>
        <w:tc>
          <w:tcPr>
            <w:tcW w:w="789" w:type="dxa"/>
            <w:vMerge/>
            <w:tcBorders>
              <w:top w:val="single" w:sz="4" w:space="0" w:color="auto"/>
              <w:left w:val="single" w:sz="4" w:space="0" w:color="auto"/>
              <w:bottom w:val="single" w:sz="4" w:space="0" w:color="000000"/>
              <w:right w:val="single" w:sz="4" w:space="0" w:color="auto"/>
            </w:tcBorders>
            <w:vAlign w:val="center"/>
          </w:tcPr>
          <w:p w:rsidR="00F30004" w:rsidRPr="008C7CAB" w:rsidRDefault="00F30004" w:rsidP="00F30004">
            <w:pPr>
              <w:jc w:val="left"/>
              <w:rPr>
                <w:rFonts w:cs="Arial"/>
                <w:b/>
                <w:bCs/>
                <w:sz w:val="16"/>
                <w:szCs w:val="16"/>
              </w:rPr>
            </w:pPr>
          </w:p>
        </w:tc>
      </w:tr>
      <w:tr w:rsidR="00F30004" w:rsidRPr="008C7CAB">
        <w:trPr>
          <w:trHeight w:val="264"/>
          <w:jc w:val="center"/>
        </w:trPr>
        <w:tc>
          <w:tcPr>
            <w:tcW w:w="1322" w:type="dxa"/>
            <w:tcBorders>
              <w:top w:val="nil"/>
              <w:left w:val="single" w:sz="4" w:space="0" w:color="auto"/>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10 %</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39.417</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56.802</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100.933</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104.763</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95.085</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87.788</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94.669</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133.239</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176.840</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150.398</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92.079</w:t>
            </w:r>
          </w:p>
        </w:tc>
        <w:tc>
          <w:tcPr>
            <w:tcW w:w="571" w:type="dxa"/>
            <w:tcBorders>
              <w:top w:val="nil"/>
              <w:left w:val="nil"/>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55.702</w:t>
            </w:r>
          </w:p>
        </w:tc>
        <w:tc>
          <w:tcPr>
            <w:tcW w:w="789" w:type="dxa"/>
            <w:tcBorders>
              <w:top w:val="nil"/>
              <w:left w:val="nil"/>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91.317</w:t>
            </w:r>
          </w:p>
        </w:tc>
      </w:tr>
      <w:tr w:rsidR="00F30004" w:rsidRPr="008C7CAB">
        <w:trPr>
          <w:trHeight w:val="264"/>
          <w:jc w:val="center"/>
        </w:trPr>
        <w:tc>
          <w:tcPr>
            <w:tcW w:w="1322" w:type="dxa"/>
            <w:tcBorders>
              <w:top w:val="nil"/>
              <w:left w:val="single" w:sz="4" w:space="0" w:color="auto"/>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50 %</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22.499</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24.379</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36.623</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44.011</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43.848</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50.579</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69.645</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99.883</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112.473</w:t>
            </w:r>
          </w:p>
        </w:tc>
        <w:tc>
          <w:tcPr>
            <w:tcW w:w="649"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90.968</w:t>
            </w:r>
          </w:p>
        </w:tc>
        <w:tc>
          <w:tcPr>
            <w:tcW w:w="571" w:type="dxa"/>
            <w:tcBorders>
              <w:top w:val="nil"/>
              <w:left w:val="nil"/>
              <w:bottom w:val="nil"/>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61.254</w:t>
            </w:r>
          </w:p>
        </w:tc>
        <w:tc>
          <w:tcPr>
            <w:tcW w:w="571" w:type="dxa"/>
            <w:tcBorders>
              <w:top w:val="nil"/>
              <w:left w:val="nil"/>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36.767</w:t>
            </w:r>
          </w:p>
        </w:tc>
        <w:tc>
          <w:tcPr>
            <w:tcW w:w="789" w:type="dxa"/>
            <w:tcBorders>
              <w:top w:val="nil"/>
              <w:left w:val="nil"/>
              <w:bottom w:val="nil"/>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60.731</w:t>
            </w:r>
          </w:p>
        </w:tc>
      </w:tr>
      <w:tr w:rsidR="00F30004" w:rsidRPr="008C7CAB">
        <w:trPr>
          <w:trHeight w:val="264"/>
          <w:jc w:val="center"/>
        </w:trPr>
        <w:tc>
          <w:tcPr>
            <w:tcW w:w="1322" w:type="dxa"/>
            <w:tcBorders>
              <w:top w:val="nil"/>
              <w:left w:val="single" w:sz="4" w:space="0" w:color="auto"/>
              <w:bottom w:val="single" w:sz="4" w:space="0" w:color="auto"/>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85 %</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15.807</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14.441</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16.811</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21.135</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23.253</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29.118</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42.478</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65.949</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67.885</w:t>
            </w:r>
          </w:p>
        </w:tc>
        <w:tc>
          <w:tcPr>
            <w:tcW w:w="649"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61.511</w:t>
            </w:r>
          </w:p>
        </w:tc>
        <w:tc>
          <w:tcPr>
            <w:tcW w:w="571" w:type="dxa"/>
            <w:tcBorders>
              <w:top w:val="nil"/>
              <w:left w:val="nil"/>
              <w:bottom w:val="single" w:sz="4" w:space="0" w:color="auto"/>
              <w:right w:val="nil"/>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45.200</w:t>
            </w:r>
          </w:p>
        </w:tc>
        <w:tc>
          <w:tcPr>
            <w:tcW w:w="571" w:type="dxa"/>
            <w:tcBorders>
              <w:top w:val="nil"/>
              <w:left w:val="nil"/>
              <w:bottom w:val="single" w:sz="4" w:space="0" w:color="auto"/>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27.414</w:t>
            </w:r>
          </w:p>
        </w:tc>
        <w:tc>
          <w:tcPr>
            <w:tcW w:w="789" w:type="dxa"/>
            <w:tcBorders>
              <w:top w:val="nil"/>
              <w:left w:val="nil"/>
              <w:bottom w:val="single" w:sz="4" w:space="0" w:color="auto"/>
              <w:right w:val="single" w:sz="4" w:space="0" w:color="auto"/>
            </w:tcBorders>
            <w:shd w:val="clear" w:color="auto" w:fill="auto"/>
            <w:noWrap/>
            <w:vAlign w:val="bottom"/>
          </w:tcPr>
          <w:p w:rsidR="00F30004" w:rsidRPr="008C7CAB" w:rsidRDefault="00F30004" w:rsidP="00F30004">
            <w:pPr>
              <w:jc w:val="center"/>
              <w:rPr>
                <w:rFonts w:cs="Arial"/>
                <w:sz w:val="16"/>
                <w:szCs w:val="16"/>
              </w:rPr>
            </w:pPr>
            <w:r w:rsidRPr="008C7CAB">
              <w:rPr>
                <w:rFonts w:cs="Arial"/>
                <w:sz w:val="16"/>
                <w:szCs w:val="16"/>
              </w:rPr>
              <w:t>40.395</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16</w:t>
      </w:r>
      <w:r w:rsidR="00951FEC">
        <w:fldChar w:fldCharType="end"/>
      </w:r>
      <w:r>
        <w:t xml:space="preserve"> Curva de Duración Subcuenca 602 Río Tinguiririca Alto</w:t>
      </w:r>
    </w:p>
    <w:p w:rsidR="00F1791A" w:rsidRPr="00D314B9" w:rsidRDefault="00254CE2" w:rsidP="00F1791A">
      <w:pPr>
        <w:jc w:val="center"/>
      </w:pPr>
      <w:r>
        <w:rPr>
          <w:noProof/>
          <w:lang w:val="es-CL" w:eastAsia="es-CL"/>
        </w:rPr>
        <w:drawing>
          <wp:inline distT="0" distB="0" distL="0" distR="0">
            <wp:extent cx="4497705" cy="215836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7705"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17</w:t>
      </w:r>
      <w:r w:rsidR="00951FEC">
        <w:fldChar w:fldCharType="end"/>
      </w:r>
      <w:r>
        <w:t xml:space="preserve"> Curvas de Variación Estacional Subcuenca 0603 Río Tinguiririca Bajo</w:t>
      </w:r>
    </w:p>
    <w:p w:rsidR="00F1791A" w:rsidRPr="00656273" w:rsidRDefault="00254CE2" w:rsidP="00F1791A">
      <w:pPr>
        <w:jc w:val="center"/>
      </w:pPr>
      <w:r>
        <w:rPr>
          <w:noProof/>
          <w:lang w:val="es-CL" w:eastAsia="es-CL"/>
        </w:rPr>
        <w:drawing>
          <wp:inline distT="0" distB="0" distL="0" distR="0">
            <wp:extent cx="5210175" cy="40513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r>
        <w:t xml:space="preserve"> Curvas de Variación Estacional Subcuenca 0603 Río Tinguiririca Bajo</w:t>
      </w:r>
    </w:p>
    <w:tbl>
      <w:tblPr>
        <w:tblW w:w="11066" w:type="dxa"/>
        <w:jc w:val="center"/>
        <w:tblInd w:w="65" w:type="dxa"/>
        <w:tblCellMar>
          <w:left w:w="70" w:type="dxa"/>
          <w:right w:w="70" w:type="dxa"/>
        </w:tblCellMar>
        <w:tblLook w:val="0000" w:firstRow="0" w:lastRow="0" w:firstColumn="0" w:lastColumn="0" w:noHBand="0" w:noVBand="0"/>
      </w:tblPr>
      <w:tblGrid>
        <w:gridCol w:w="1523"/>
        <w:gridCol w:w="668"/>
        <w:gridCol w:w="783"/>
        <w:gridCol w:w="783"/>
        <w:gridCol w:w="783"/>
        <w:gridCol w:w="783"/>
        <w:gridCol w:w="783"/>
        <w:gridCol w:w="662"/>
        <w:gridCol w:w="662"/>
        <w:gridCol w:w="783"/>
        <w:gridCol w:w="783"/>
        <w:gridCol w:w="662"/>
        <w:gridCol w:w="668"/>
        <w:gridCol w:w="6"/>
        <w:gridCol w:w="728"/>
        <w:gridCol w:w="6"/>
      </w:tblGrid>
      <w:tr w:rsidR="00F1791A" w:rsidRPr="00656273">
        <w:trPr>
          <w:trHeight w:val="265"/>
          <w:jc w:val="center"/>
        </w:trPr>
        <w:tc>
          <w:tcPr>
            <w:tcW w:w="1523" w:type="dxa"/>
            <w:tcBorders>
              <w:top w:val="single" w:sz="4" w:space="0" w:color="auto"/>
              <w:left w:val="single" w:sz="4" w:space="0" w:color="auto"/>
              <w:bottom w:val="nil"/>
              <w:right w:val="single" w:sz="4" w:space="0" w:color="auto"/>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PROBABILIADAD</w:t>
            </w:r>
          </w:p>
        </w:tc>
        <w:tc>
          <w:tcPr>
            <w:tcW w:w="8809" w:type="dxa"/>
            <w:gridSpan w:val="13"/>
            <w:tcBorders>
              <w:top w:val="single" w:sz="4" w:space="0" w:color="auto"/>
              <w:left w:val="nil"/>
              <w:bottom w:val="single" w:sz="4" w:space="0" w:color="auto"/>
              <w:right w:val="single" w:sz="4" w:space="0" w:color="000000"/>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MES</w:t>
            </w:r>
          </w:p>
        </w:tc>
        <w:tc>
          <w:tcPr>
            <w:tcW w:w="734"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656273" w:rsidRDefault="00F1791A" w:rsidP="00F1791A">
            <w:pPr>
              <w:jc w:val="center"/>
              <w:rPr>
                <w:rFonts w:cs="Arial"/>
                <w:b/>
                <w:bCs/>
                <w:sz w:val="16"/>
                <w:szCs w:val="16"/>
              </w:rPr>
            </w:pPr>
            <w:r w:rsidRPr="00656273">
              <w:rPr>
                <w:rFonts w:cs="Arial"/>
                <w:b/>
                <w:bCs/>
                <w:sz w:val="16"/>
                <w:szCs w:val="16"/>
              </w:rPr>
              <w:t>ANUAL</w:t>
            </w:r>
          </w:p>
        </w:tc>
      </w:tr>
      <w:tr w:rsidR="00F1791A" w:rsidRPr="00656273">
        <w:trPr>
          <w:gridAfter w:val="1"/>
          <w:wAfter w:w="6" w:type="dxa"/>
          <w:trHeight w:val="265"/>
          <w:jc w:val="center"/>
        </w:trPr>
        <w:tc>
          <w:tcPr>
            <w:tcW w:w="1523" w:type="dxa"/>
            <w:tcBorders>
              <w:top w:val="nil"/>
              <w:left w:val="single" w:sz="4" w:space="0" w:color="auto"/>
              <w:bottom w:val="single" w:sz="4" w:space="0" w:color="auto"/>
              <w:right w:val="single" w:sz="4" w:space="0" w:color="auto"/>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EXCEDENCIA</w:t>
            </w:r>
          </w:p>
        </w:tc>
        <w:tc>
          <w:tcPr>
            <w:tcW w:w="668"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ABR</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MAY</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JUN</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JUL</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AGO</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SEP</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OCT</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NOV</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DIC</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ENE</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FEB</w:t>
            </w:r>
          </w:p>
        </w:tc>
        <w:tc>
          <w:tcPr>
            <w:tcW w:w="668" w:type="dxa"/>
            <w:tcBorders>
              <w:top w:val="nil"/>
              <w:left w:val="nil"/>
              <w:bottom w:val="single" w:sz="4" w:space="0" w:color="auto"/>
              <w:right w:val="single" w:sz="4" w:space="0" w:color="auto"/>
            </w:tcBorders>
            <w:shd w:val="clear" w:color="auto" w:fill="auto"/>
            <w:noWrap/>
            <w:vAlign w:val="bottom"/>
          </w:tcPr>
          <w:p w:rsidR="00F1791A" w:rsidRPr="00656273" w:rsidRDefault="00F1791A" w:rsidP="00F1791A">
            <w:pPr>
              <w:jc w:val="center"/>
              <w:rPr>
                <w:rFonts w:cs="Arial"/>
                <w:b/>
                <w:bCs/>
                <w:sz w:val="16"/>
                <w:szCs w:val="16"/>
              </w:rPr>
            </w:pPr>
            <w:r w:rsidRPr="00656273">
              <w:rPr>
                <w:rFonts w:cs="Arial"/>
                <w:b/>
                <w:bCs/>
                <w:sz w:val="16"/>
                <w:szCs w:val="16"/>
              </w:rPr>
              <w:t>MAR</w:t>
            </w:r>
          </w:p>
        </w:tc>
        <w:tc>
          <w:tcPr>
            <w:tcW w:w="734" w:type="dxa"/>
            <w:gridSpan w:val="2"/>
            <w:vMerge/>
            <w:tcBorders>
              <w:top w:val="single" w:sz="4" w:space="0" w:color="auto"/>
              <w:left w:val="single" w:sz="4" w:space="0" w:color="auto"/>
              <w:bottom w:val="single" w:sz="4" w:space="0" w:color="000000"/>
              <w:right w:val="single" w:sz="4" w:space="0" w:color="auto"/>
            </w:tcBorders>
            <w:vAlign w:val="center"/>
          </w:tcPr>
          <w:p w:rsidR="00F1791A" w:rsidRPr="00656273" w:rsidRDefault="00F1791A" w:rsidP="00F1791A">
            <w:pPr>
              <w:jc w:val="left"/>
              <w:rPr>
                <w:rFonts w:cs="Arial"/>
                <w:b/>
                <w:bCs/>
                <w:sz w:val="16"/>
                <w:szCs w:val="16"/>
              </w:rPr>
            </w:pPr>
          </w:p>
        </w:tc>
      </w:tr>
      <w:tr w:rsidR="00F1791A" w:rsidRPr="00656273">
        <w:trPr>
          <w:gridAfter w:val="1"/>
          <w:wAfter w:w="6" w:type="dxa"/>
          <w:trHeight w:val="265"/>
          <w:jc w:val="center"/>
        </w:trPr>
        <w:tc>
          <w:tcPr>
            <w:tcW w:w="1523" w:type="dxa"/>
            <w:tcBorders>
              <w:top w:val="nil"/>
              <w:left w:val="single" w:sz="4" w:space="0" w:color="auto"/>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10 %</w:t>
            </w:r>
          </w:p>
        </w:tc>
        <w:tc>
          <w:tcPr>
            <w:tcW w:w="668"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41.896</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110.121</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234.818</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270.475</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201.921</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129.154</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96.978</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88.616</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122.509</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104.801</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45.284</w:t>
            </w:r>
          </w:p>
        </w:tc>
        <w:tc>
          <w:tcPr>
            <w:tcW w:w="668" w:type="dxa"/>
            <w:tcBorders>
              <w:top w:val="nil"/>
              <w:left w:val="nil"/>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27.845</w:t>
            </w:r>
          </w:p>
        </w:tc>
        <w:tc>
          <w:tcPr>
            <w:tcW w:w="734" w:type="dxa"/>
            <w:gridSpan w:val="2"/>
            <w:tcBorders>
              <w:top w:val="nil"/>
              <w:left w:val="nil"/>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111.060</w:t>
            </w:r>
          </w:p>
        </w:tc>
      </w:tr>
      <w:tr w:rsidR="00F1791A" w:rsidRPr="00656273">
        <w:trPr>
          <w:gridAfter w:val="1"/>
          <w:wAfter w:w="6" w:type="dxa"/>
          <w:trHeight w:val="265"/>
          <w:jc w:val="center"/>
        </w:trPr>
        <w:tc>
          <w:tcPr>
            <w:tcW w:w="1523" w:type="dxa"/>
            <w:tcBorders>
              <w:top w:val="nil"/>
              <w:left w:val="single" w:sz="4" w:space="0" w:color="auto"/>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50 %</w:t>
            </w:r>
          </w:p>
        </w:tc>
        <w:tc>
          <w:tcPr>
            <w:tcW w:w="668"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14.772</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37.399</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78.173</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107.415</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93.482</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76.467</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33.839</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44.824</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48.741</w:t>
            </w:r>
          </w:p>
        </w:tc>
        <w:tc>
          <w:tcPr>
            <w:tcW w:w="783"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20.439</w:t>
            </w:r>
          </w:p>
        </w:tc>
        <w:tc>
          <w:tcPr>
            <w:tcW w:w="662" w:type="dxa"/>
            <w:tcBorders>
              <w:top w:val="nil"/>
              <w:left w:val="nil"/>
              <w:bottom w:val="nil"/>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6.337</w:t>
            </w:r>
          </w:p>
        </w:tc>
        <w:tc>
          <w:tcPr>
            <w:tcW w:w="668" w:type="dxa"/>
            <w:tcBorders>
              <w:top w:val="nil"/>
              <w:left w:val="nil"/>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7.379</w:t>
            </w:r>
          </w:p>
        </w:tc>
        <w:tc>
          <w:tcPr>
            <w:tcW w:w="734" w:type="dxa"/>
            <w:gridSpan w:val="2"/>
            <w:tcBorders>
              <w:top w:val="nil"/>
              <w:left w:val="nil"/>
              <w:bottom w:val="nil"/>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51.767</w:t>
            </w:r>
          </w:p>
        </w:tc>
      </w:tr>
      <w:tr w:rsidR="00F1791A" w:rsidRPr="00656273">
        <w:trPr>
          <w:gridAfter w:val="1"/>
          <w:wAfter w:w="6" w:type="dxa"/>
          <w:trHeight w:val="265"/>
          <w:jc w:val="center"/>
        </w:trPr>
        <w:tc>
          <w:tcPr>
            <w:tcW w:w="1523" w:type="dxa"/>
            <w:tcBorders>
              <w:top w:val="nil"/>
              <w:left w:val="single" w:sz="4" w:space="0" w:color="auto"/>
              <w:bottom w:val="single" w:sz="4" w:space="0" w:color="auto"/>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85 %</w:t>
            </w:r>
          </w:p>
        </w:tc>
        <w:tc>
          <w:tcPr>
            <w:tcW w:w="668"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5.002</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16.655</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31.108</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43.360</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37.697</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21.175</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6.865</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8.353</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8.932</w:t>
            </w:r>
          </w:p>
        </w:tc>
        <w:tc>
          <w:tcPr>
            <w:tcW w:w="783"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3.734</w:t>
            </w:r>
          </w:p>
        </w:tc>
        <w:tc>
          <w:tcPr>
            <w:tcW w:w="662" w:type="dxa"/>
            <w:tcBorders>
              <w:top w:val="nil"/>
              <w:left w:val="nil"/>
              <w:bottom w:val="single" w:sz="4" w:space="0" w:color="auto"/>
              <w:right w:val="nil"/>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0.979</w:t>
            </w:r>
          </w:p>
        </w:tc>
        <w:tc>
          <w:tcPr>
            <w:tcW w:w="668" w:type="dxa"/>
            <w:tcBorders>
              <w:top w:val="nil"/>
              <w:left w:val="nil"/>
              <w:bottom w:val="single" w:sz="4" w:space="0" w:color="auto"/>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2.036</w:t>
            </w:r>
          </w:p>
        </w:tc>
        <w:tc>
          <w:tcPr>
            <w:tcW w:w="734" w:type="dxa"/>
            <w:gridSpan w:val="2"/>
            <w:tcBorders>
              <w:top w:val="nil"/>
              <w:left w:val="nil"/>
              <w:bottom w:val="single" w:sz="4" w:space="0" w:color="auto"/>
              <w:right w:val="single" w:sz="4" w:space="0" w:color="auto"/>
            </w:tcBorders>
            <w:shd w:val="clear" w:color="auto" w:fill="auto"/>
            <w:noWrap/>
            <w:vAlign w:val="bottom"/>
          </w:tcPr>
          <w:p w:rsidR="00F1791A" w:rsidRPr="00656273" w:rsidRDefault="00F1791A" w:rsidP="00F1791A">
            <w:pPr>
              <w:jc w:val="center"/>
              <w:rPr>
                <w:rFonts w:cs="Arial"/>
                <w:sz w:val="16"/>
                <w:szCs w:val="16"/>
              </w:rPr>
            </w:pPr>
            <w:r w:rsidRPr="00656273">
              <w:rPr>
                <w:rFonts w:cs="Arial"/>
                <w:sz w:val="16"/>
                <w:szCs w:val="16"/>
              </w:rPr>
              <w:t>22.722</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18</w:t>
      </w:r>
      <w:r w:rsidR="00951FEC">
        <w:fldChar w:fldCharType="end"/>
      </w:r>
      <w:r>
        <w:t xml:space="preserve"> Curva de Duración Subcuenca 603 Río Tinguiririca Bajo</w:t>
      </w:r>
    </w:p>
    <w:p w:rsidR="00F1791A" w:rsidRPr="00D314B9" w:rsidRDefault="00254CE2" w:rsidP="00F1791A">
      <w:pPr>
        <w:jc w:val="center"/>
      </w:pPr>
      <w:r>
        <w:rPr>
          <w:noProof/>
          <w:lang w:val="es-CL" w:eastAsia="es-CL"/>
        </w:rPr>
        <w:drawing>
          <wp:inline distT="0" distB="0" distL="0" distR="0">
            <wp:extent cx="4359275" cy="2158365"/>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59275"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19</w:t>
      </w:r>
      <w:r w:rsidR="00951FEC">
        <w:fldChar w:fldCharType="end"/>
      </w:r>
      <w:r>
        <w:t xml:space="preserve"> Curvas de Variación Estacional Subcuenca 0604 Estero Alhué</w:t>
      </w:r>
    </w:p>
    <w:p w:rsidR="00F1791A" w:rsidRPr="007363A2" w:rsidRDefault="00254CE2" w:rsidP="00F1791A">
      <w:pPr>
        <w:jc w:val="center"/>
        <w:rPr>
          <w:noProof/>
          <w:lang w:val="es-CL" w:eastAsia="es-CL"/>
        </w:rPr>
      </w:pPr>
      <w:r>
        <w:rPr>
          <w:noProof/>
          <w:lang w:val="es-CL" w:eastAsia="es-CL"/>
        </w:rPr>
        <w:drawing>
          <wp:inline distT="0" distB="0" distL="0" distR="0">
            <wp:extent cx="5210175" cy="40513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Pr>
        <w:jc w:val="center"/>
      </w:pPr>
    </w:p>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15</w:t>
      </w:r>
      <w:r w:rsidR="007F3102">
        <w:fldChar w:fldCharType="end"/>
      </w:r>
      <w:r>
        <w:t xml:space="preserve"> Curvas de Variación Estacional Subcuenca 0604 Estero Alhué</w:t>
      </w:r>
    </w:p>
    <w:tbl>
      <w:tblPr>
        <w:tblW w:w="10719" w:type="dxa"/>
        <w:jc w:val="center"/>
        <w:tblInd w:w="65" w:type="dxa"/>
        <w:tblCellMar>
          <w:left w:w="70" w:type="dxa"/>
          <w:right w:w="70" w:type="dxa"/>
        </w:tblCellMar>
        <w:tblLook w:val="0000" w:firstRow="0" w:lastRow="0" w:firstColumn="0" w:lastColumn="0" w:noHBand="0" w:noVBand="0"/>
      </w:tblPr>
      <w:tblGrid>
        <w:gridCol w:w="1550"/>
        <w:gridCol w:w="700"/>
        <w:gridCol w:w="693"/>
        <w:gridCol w:w="847"/>
        <w:gridCol w:w="847"/>
        <w:gridCol w:w="847"/>
        <w:gridCol w:w="847"/>
        <w:gridCol w:w="693"/>
        <w:gridCol w:w="589"/>
        <w:gridCol w:w="589"/>
        <w:gridCol w:w="589"/>
        <w:gridCol w:w="589"/>
        <w:gridCol w:w="594"/>
        <w:gridCol w:w="745"/>
      </w:tblGrid>
      <w:tr w:rsidR="00F1791A" w:rsidRPr="007363A2">
        <w:trPr>
          <w:trHeight w:val="264"/>
          <w:jc w:val="center"/>
        </w:trPr>
        <w:tc>
          <w:tcPr>
            <w:tcW w:w="1550" w:type="dxa"/>
            <w:tcBorders>
              <w:top w:val="single" w:sz="4" w:space="0" w:color="auto"/>
              <w:left w:val="single" w:sz="4" w:space="0" w:color="auto"/>
              <w:bottom w:val="nil"/>
              <w:right w:val="single" w:sz="4" w:space="0" w:color="auto"/>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PROBABILIADAD</w:t>
            </w:r>
          </w:p>
        </w:tc>
        <w:tc>
          <w:tcPr>
            <w:tcW w:w="8424"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MES</w:t>
            </w:r>
          </w:p>
        </w:tc>
        <w:tc>
          <w:tcPr>
            <w:tcW w:w="74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7363A2" w:rsidRDefault="00F1791A" w:rsidP="00F1791A">
            <w:pPr>
              <w:jc w:val="center"/>
              <w:rPr>
                <w:rFonts w:cs="Arial"/>
                <w:b/>
                <w:bCs/>
                <w:sz w:val="16"/>
                <w:szCs w:val="16"/>
              </w:rPr>
            </w:pPr>
            <w:r w:rsidRPr="007363A2">
              <w:rPr>
                <w:rFonts w:cs="Arial"/>
                <w:b/>
                <w:bCs/>
                <w:sz w:val="16"/>
                <w:szCs w:val="16"/>
              </w:rPr>
              <w:t>ANUAL</w:t>
            </w:r>
          </w:p>
        </w:tc>
      </w:tr>
      <w:tr w:rsidR="00F1791A" w:rsidRPr="007363A2">
        <w:trPr>
          <w:trHeight w:val="264"/>
          <w:jc w:val="center"/>
        </w:trPr>
        <w:tc>
          <w:tcPr>
            <w:tcW w:w="1550" w:type="dxa"/>
            <w:tcBorders>
              <w:top w:val="nil"/>
              <w:left w:val="single" w:sz="4" w:space="0" w:color="auto"/>
              <w:bottom w:val="single" w:sz="4" w:space="0" w:color="auto"/>
              <w:right w:val="single" w:sz="4" w:space="0" w:color="auto"/>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EXCEDENCIA</w:t>
            </w:r>
          </w:p>
        </w:tc>
        <w:tc>
          <w:tcPr>
            <w:tcW w:w="700"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ABR</w:t>
            </w:r>
          </w:p>
        </w:tc>
        <w:tc>
          <w:tcPr>
            <w:tcW w:w="693"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MAY</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JUN</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JUL</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AGO</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SEP</w:t>
            </w:r>
          </w:p>
        </w:tc>
        <w:tc>
          <w:tcPr>
            <w:tcW w:w="693"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OCT</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NOV</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DIC</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ENE</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FEB</w:t>
            </w:r>
          </w:p>
        </w:tc>
        <w:tc>
          <w:tcPr>
            <w:tcW w:w="593" w:type="dxa"/>
            <w:tcBorders>
              <w:top w:val="nil"/>
              <w:left w:val="nil"/>
              <w:bottom w:val="single" w:sz="4" w:space="0" w:color="auto"/>
              <w:right w:val="single" w:sz="4" w:space="0" w:color="auto"/>
            </w:tcBorders>
            <w:shd w:val="clear" w:color="auto" w:fill="auto"/>
            <w:noWrap/>
            <w:vAlign w:val="bottom"/>
          </w:tcPr>
          <w:p w:rsidR="00F1791A" w:rsidRPr="007363A2" w:rsidRDefault="00F1791A" w:rsidP="00F1791A">
            <w:pPr>
              <w:jc w:val="center"/>
              <w:rPr>
                <w:rFonts w:cs="Arial"/>
                <w:b/>
                <w:bCs/>
                <w:sz w:val="16"/>
                <w:szCs w:val="16"/>
              </w:rPr>
            </w:pPr>
            <w:r w:rsidRPr="007363A2">
              <w:rPr>
                <w:rFonts w:cs="Arial"/>
                <w:b/>
                <w:bCs/>
                <w:sz w:val="16"/>
                <w:szCs w:val="16"/>
              </w:rPr>
              <w:t>MAR</w:t>
            </w:r>
          </w:p>
        </w:tc>
        <w:tc>
          <w:tcPr>
            <w:tcW w:w="745" w:type="dxa"/>
            <w:vMerge/>
            <w:tcBorders>
              <w:top w:val="single" w:sz="4" w:space="0" w:color="auto"/>
              <w:left w:val="single" w:sz="4" w:space="0" w:color="auto"/>
              <w:bottom w:val="single" w:sz="4" w:space="0" w:color="000000"/>
              <w:right w:val="single" w:sz="4" w:space="0" w:color="auto"/>
            </w:tcBorders>
            <w:vAlign w:val="center"/>
          </w:tcPr>
          <w:p w:rsidR="00F1791A" w:rsidRPr="007363A2" w:rsidRDefault="00F1791A" w:rsidP="00F1791A">
            <w:pPr>
              <w:jc w:val="left"/>
              <w:rPr>
                <w:rFonts w:cs="Arial"/>
                <w:b/>
                <w:bCs/>
                <w:sz w:val="16"/>
                <w:szCs w:val="16"/>
              </w:rPr>
            </w:pPr>
          </w:p>
        </w:tc>
      </w:tr>
      <w:tr w:rsidR="00F1791A" w:rsidRPr="007363A2">
        <w:trPr>
          <w:trHeight w:val="264"/>
          <w:jc w:val="center"/>
        </w:trPr>
        <w:tc>
          <w:tcPr>
            <w:tcW w:w="1550" w:type="dxa"/>
            <w:tcBorders>
              <w:top w:val="nil"/>
              <w:left w:val="single" w:sz="4" w:space="0" w:color="auto"/>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10 %</w:t>
            </w:r>
          </w:p>
        </w:tc>
        <w:tc>
          <w:tcPr>
            <w:tcW w:w="700"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1.187</w:t>
            </w:r>
          </w:p>
        </w:tc>
        <w:tc>
          <w:tcPr>
            <w:tcW w:w="693"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3.549</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20.803</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26.352</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23.684</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12.971</w:t>
            </w:r>
          </w:p>
        </w:tc>
        <w:tc>
          <w:tcPr>
            <w:tcW w:w="693"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5.961</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2.646</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1.416</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0.868</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0.927</w:t>
            </w:r>
          </w:p>
        </w:tc>
        <w:tc>
          <w:tcPr>
            <w:tcW w:w="593" w:type="dxa"/>
            <w:tcBorders>
              <w:top w:val="nil"/>
              <w:left w:val="nil"/>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0.934</w:t>
            </w:r>
          </w:p>
        </w:tc>
        <w:tc>
          <w:tcPr>
            <w:tcW w:w="745" w:type="dxa"/>
            <w:tcBorders>
              <w:top w:val="nil"/>
              <w:left w:val="nil"/>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7.407</w:t>
            </w:r>
          </w:p>
        </w:tc>
      </w:tr>
      <w:tr w:rsidR="00F1791A" w:rsidRPr="007363A2">
        <w:trPr>
          <w:trHeight w:val="264"/>
          <w:jc w:val="center"/>
        </w:trPr>
        <w:tc>
          <w:tcPr>
            <w:tcW w:w="1550" w:type="dxa"/>
            <w:tcBorders>
              <w:top w:val="nil"/>
              <w:left w:val="single" w:sz="4" w:space="0" w:color="auto"/>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50 %</w:t>
            </w:r>
          </w:p>
        </w:tc>
        <w:tc>
          <w:tcPr>
            <w:tcW w:w="700"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0.363</w:t>
            </w:r>
          </w:p>
        </w:tc>
        <w:tc>
          <w:tcPr>
            <w:tcW w:w="693"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0.770</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2.946</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6.985</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6.582</w:t>
            </w:r>
          </w:p>
        </w:tc>
        <w:tc>
          <w:tcPr>
            <w:tcW w:w="847"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4.446</w:t>
            </w:r>
          </w:p>
        </w:tc>
        <w:tc>
          <w:tcPr>
            <w:tcW w:w="693"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2.260</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1.073</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0.476</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0.197</w:t>
            </w:r>
          </w:p>
        </w:tc>
        <w:tc>
          <w:tcPr>
            <w:tcW w:w="589" w:type="dxa"/>
            <w:tcBorders>
              <w:top w:val="nil"/>
              <w:left w:val="nil"/>
              <w:bottom w:val="nil"/>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0.182</w:t>
            </w:r>
          </w:p>
        </w:tc>
        <w:tc>
          <w:tcPr>
            <w:tcW w:w="593" w:type="dxa"/>
            <w:tcBorders>
              <w:top w:val="nil"/>
              <w:left w:val="nil"/>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0.217</w:t>
            </w:r>
          </w:p>
        </w:tc>
        <w:tc>
          <w:tcPr>
            <w:tcW w:w="745" w:type="dxa"/>
            <w:tcBorders>
              <w:top w:val="nil"/>
              <w:left w:val="nil"/>
              <w:bottom w:val="nil"/>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2.764</w:t>
            </w:r>
          </w:p>
        </w:tc>
      </w:tr>
      <w:tr w:rsidR="00F1791A" w:rsidRPr="007363A2">
        <w:trPr>
          <w:trHeight w:val="264"/>
          <w:jc w:val="center"/>
        </w:trPr>
        <w:tc>
          <w:tcPr>
            <w:tcW w:w="1550" w:type="dxa"/>
            <w:tcBorders>
              <w:top w:val="nil"/>
              <w:left w:val="single" w:sz="4" w:space="0" w:color="auto"/>
              <w:bottom w:val="single" w:sz="4" w:space="0" w:color="auto"/>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85 %</w:t>
            </w:r>
          </w:p>
        </w:tc>
        <w:tc>
          <w:tcPr>
            <w:tcW w:w="700"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0.132</w:t>
            </w:r>
          </w:p>
        </w:tc>
        <w:tc>
          <w:tcPr>
            <w:tcW w:w="693"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0.241</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0.624</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1.744</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1.599</w:t>
            </w:r>
          </w:p>
        </w:tc>
        <w:tc>
          <w:tcPr>
            <w:tcW w:w="847"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1.468</w:t>
            </w:r>
          </w:p>
        </w:tc>
        <w:tc>
          <w:tcPr>
            <w:tcW w:w="693"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0.804</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0.358</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0.145</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0.051</w:t>
            </w:r>
          </w:p>
        </w:tc>
        <w:tc>
          <w:tcPr>
            <w:tcW w:w="589" w:type="dxa"/>
            <w:tcBorders>
              <w:top w:val="nil"/>
              <w:left w:val="nil"/>
              <w:bottom w:val="single" w:sz="4" w:space="0" w:color="auto"/>
              <w:right w:val="nil"/>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0.044</w:t>
            </w:r>
          </w:p>
        </w:tc>
        <w:tc>
          <w:tcPr>
            <w:tcW w:w="593" w:type="dxa"/>
            <w:tcBorders>
              <w:top w:val="nil"/>
              <w:left w:val="nil"/>
              <w:bottom w:val="single" w:sz="4" w:space="0" w:color="auto"/>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0.073</w:t>
            </w:r>
          </w:p>
        </w:tc>
        <w:tc>
          <w:tcPr>
            <w:tcW w:w="745" w:type="dxa"/>
            <w:tcBorders>
              <w:top w:val="nil"/>
              <w:left w:val="nil"/>
              <w:bottom w:val="single" w:sz="4" w:space="0" w:color="auto"/>
              <w:right w:val="single" w:sz="4" w:space="0" w:color="auto"/>
            </w:tcBorders>
            <w:shd w:val="clear" w:color="auto" w:fill="auto"/>
            <w:noWrap/>
            <w:vAlign w:val="bottom"/>
          </w:tcPr>
          <w:p w:rsidR="00F1791A" w:rsidRPr="007363A2" w:rsidRDefault="00F1791A" w:rsidP="00F1791A">
            <w:pPr>
              <w:jc w:val="center"/>
              <w:rPr>
                <w:rFonts w:cs="Arial"/>
                <w:sz w:val="16"/>
                <w:szCs w:val="16"/>
              </w:rPr>
            </w:pPr>
            <w:r w:rsidRPr="007363A2">
              <w:rPr>
                <w:rFonts w:cs="Arial"/>
                <w:sz w:val="16"/>
                <w:szCs w:val="16"/>
              </w:rPr>
              <w:t>1.069</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20</w:t>
      </w:r>
      <w:r w:rsidR="00951FEC">
        <w:fldChar w:fldCharType="end"/>
      </w:r>
      <w:r>
        <w:t xml:space="preserve"> Curva de Duración Subcuenca 604 Estero Alhué</w:t>
      </w:r>
    </w:p>
    <w:p w:rsidR="00F1791A" w:rsidRPr="00D314B9" w:rsidRDefault="00254CE2" w:rsidP="00F1791A">
      <w:pPr>
        <w:jc w:val="center"/>
      </w:pPr>
      <w:r>
        <w:rPr>
          <w:noProof/>
          <w:lang w:val="es-CL" w:eastAsia="es-CL"/>
        </w:rPr>
        <w:drawing>
          <wp:inline distT="0" distB="0" distL="0" distR="0">
            <wp:extent cx="4348480" cy="215836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48480"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21</w:t>
      </w:r>
      <w:r w:rsidR="00951FEC">
        <w:fldChar w:fldCharType="end"/>
      </w:r>
      <w:r>
        <w:t xml:space="preserve"> Curvas de Variación Estacional Subcuenca 0605 Río Rapel</w:t>
      </w:r>
    </w:p>
    <w:p w:rsidR="00F1791A" w:rsidRPr="00670BEF" w:rsidRDefault="00254CE2" w:rsidP="00F1791A">
      <w:pPr>
        <w:jc w:val="center"/>
      </w:pPr>
      <w:r>
        <w:rPr>
          <w:noProof/>
          <w:lang w:val="es-CL" w:eastAsia="es-CL"/>
        </w:rPr>
        <w:drawing>
          <wp:inline distT="0" distB="0" distL="0" distR="0">
            <wp:extent cx="5210175" cy="40513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16</w:t>
      </w:r>
      <w:r w:rsidR="007F3102">
        <w:fldChar w:fldCharType="end"/>
      </w:r>
      <w:r>
        <w:t xml:space="preserve"> Curvas de Variación Estacional Subcuenca 0605 Río Rapel</w:t>
      </w:r>
    </w:p>
    <w:tbl>
      <w:tblPr>
        <w:tblW w:w="10106" w:type="dxa"/>
        <w:jc w:val="center"/>
        <w:tblInd w:w="65" w:type="dxa"/>
        <w:tblCellMar>
          <w:left w:w="70" w:type="dxa"/>
          <w:right w:w="70" w:type="dxa"/>
        </w:tblCellMar>
        <w:tblLook w:val="0000" w:firstRow="0" w:lastRow="0" w:firstColumn="0" w:lastColumn="0" w:noHBand="0" w:noVBand="0"/>
      </w:tblPr>
      <w:tblGrid>
        <w:gridCol w:w="1483"/>
        <w:gridCol w:w="719"/>
        <w:gridCol w:w="719"/>
        <w:gridCol w:w="719"/>
        <w:gridCol w:w="719"/>
        <w:gridCol w:w="719"/>
        <w:gridCol w:w="719"/>
        <w:gridCol w:w="719"/>
        <w:gridCol w:w="719"/>
        <w:gridCol w:w="719"/>
        <w:gridCol w:w="719"/>
        <w:gridCol w:w="719"/>
        <w:gridCol w:w="719"/>
        <w:gridCol w:w="719"/>
      </w:tblGrid>
      <w:tr w:rsidR="00F1791A" w:rsidRPr="00670BEF">
        <w:trPr>
          <w:trHeight w:val="269"/>
          <w:jc w:val="center"/>
        </w:trPr>
        <w:tc>
          <w:tcPr>
            <w:tcW w:w="1383" w:type="dxa"/>
            <w:tcBorders>
              <w:top w:val="single" w:sz="4" w:space="0" w:color="auto"/>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PROBABILIADAD</w:t>
            </w:r>
          </w:p>
        </w:tc>
        <w:tc>
          <w:tcPr>
            <w:tcW w:w="8048"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MES</w:t>
            </w:r>
          </w:p>
        </w:tc>
        <w:tc>
          <w:tcPr>
            <w:tcW w:w="67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670BEF" w:rsidRDefault="00F1791A" w:rsidP="00F1791A">
            <w:pPr>
              <w:jc w:val="center"/>
              <w:rPr>
                <w:rFonts w:cs="Arial"/>
                <w:b/>
                <w:bCs/>
                <w:sz w:val="16"/>
                <w:szCs w:val="16"/>
              </w:rPr>
            </w:pPr>
            <w:r w:rsidRPr="00670BEF">
              <w:rPr>
                <w:rFonts w:cs="Arial"/>
                <w:b/>
                <w:bCs/>
                <w:sz w:val="16"/>
                <w:szCs w:val="16"/>
              </w:rPr>
              <w:t>ANUAL</w:t>
            </w:r>
          </w:p>
        </w:tc>
      </w:tr>
      <w:tr w:rsidR="00F1791A" w:rsidRPr="00670BEF">
        <w:trPr>
          <w:trHeight w:val="269"/>
          <w:jc w:val="center"/>
        </w:trPr>
        <w:tc>
          <w:tcPr>
            <w:tcW w:w="1383" w:type="dxa"/>
            <w:tcBorders>
              <w:top w:val="nil"/>
              <w:left w:val="single" w:sz="4" w:space="0" w:color="auto"/>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EXCEDENCIA</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ABR</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MAY</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JUN</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JUL</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AGO</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SEP</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OCT</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NOV</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DIC</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ENE</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FEB</w:t>
            </w:r>
          </w:p>
        </w:tc>
        <w:tc>
          <w:tcPr>
            <w:tcW w:w="671"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MAR</w:t>
            </w:r>
          </w:p>
        </w:tc>
        <w:tc>
          <w:tcPr>
            <w:tcW w:w="671" w:type="dxa"/>
            <w:vMerge/>
            <w:tcBorders>
              <w:top w:val="single" w:sz="4" w:space="0" w:color="auto"/>
              <w:left w:val="single" w:sz="4" w:space="0" w:color="auto"/>
              <w:bottom w:val="single" w:sz="4" w:space="0" w:color="000000"/>
              <w:right w:val="single" w:sz="4" w:space="0" w:color="auto"/>
            </w:tcBorders>
            <w:vAlign w:val="center"/>
          </w:tcPr>
          <w:p w:rsidR="00F1791A" w:rsidRPr="00670BEF" w:rsidRDefault="00F1791A" w:rsidP="00F1791A">
            <w:pPr>
              <w:jc w:val="left"/>
              <w:rPr>
                <w:rFonts w:cs="Arial"/>
                <w:b/>
                <w:bCs/>
                <w:sz w:val="16"/>
                <w:szCs w:val="16"/>
              </w:rPr>
            </w:pPr>
          </w:p>
        </w:tc>
      </w:tr>
      <w:tr w:rsidR="00F1791A" w:rsidRPr="00670BEF">
        <w:trPr>
          <w:trHeight w:val="269"/>
          <w:jc w:val="center"/>
        </w:trPr>
        <w:tc>
          <w:tcPr>
            <w:tcW w:w="1383" w:type="dxa"/>
            <w:tcBorders>
              <w:top w:val="nil"/>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10 %</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122.550</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234.578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528.708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555.159</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534.358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395.905</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204.358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201.759</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221.576</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198.088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224.970</w:t>
            </w:r>
          </w:p>
        </w:tc>
        <w:tc>
          <w:tcPr>
            <w:tcW w:w="671"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209.747</w:t>
            </w:r>
          </w:p>
        </w:tc>
        <w:tc>
          <w:tcPr>
            <w:tcW w:w="671"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275.660</w:t>
            </w:r>
          </w:p>
        </w:tc>
      </w:tr>
      <w:tr w:rsidR="00F1791A" w:rsidRPr="00670BEF">
        <w:trPr>
          <w:trHeight w:val="269"/>
          <w:jc w:val="center"/>
        </w:trPr>
        <w:tc>
          <w:tcPr>
            <w:tcW w:w="1383" w:type="dxa"/>
            <w:tcBorders>
              <w:top w:val="nil"/>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50 %</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71.430</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111.911</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177.418</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255.724</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269.234</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182.549</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102.952</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115.977</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119.246</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87.582</w:t>
            </w:r>
          </w:p>
        </w:tc>
        <w:tc>
          <w:tcPr>
            <w:tcW w:w="671"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91.180</w:t>
            </w:r>
          </w:p>
        </w:tc>
        <w:tc>
          <w:tcPr>
            <w:tcW w:w="671"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98.858</w:t>
            </w:r>
          </w:p>
        </w:tc>
        <w:tc>
          <w:tcPr>
            <w:tcW w:w="671"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150.942</w:t>
            </w:r>
          </w:p>
        </w:tc>
      </w:tr>
      <w:tr w:rsidR="00F1791A" w:rsidRPr="00670BEF">
        <w:trPr>
          <w:trHeight w:val="269"/>
          <w:jc w:val="center"/>
        </w:trPr>
        <w:tc>
          <w:tcPr>
            <w:tcW w:w="1383" w:type="dxa"/>
            <w:tcBorders>
              <w:top w:val="nil"/>
              <w:left w:val="single" w:sz="4" w:space="0" w:color="auto"/>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85 %</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45.520</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66.565</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69.260</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108.876</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118.733</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67.449</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52.961</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63.472</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62.421</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45.869</w:t>
            </w:r>
          </w:p>
        </w:tc>
        <w:tc>
          <w:tcPr>
            <w:tcW w:w="671"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35.660</w:t>
            </w:r>
          </w:p>
        </w:tc>
        <w:tc>
          <w:tcPr>
            <w:tcW w:w="671"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45.439</w:t>
            </w:r>
          </w:p>
        </w:tc>
        <w:tc>
          <w:tcPr>
            <w:tcW w:w="671"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80.087</w:t>
            </w:r>
          </w:p>
        </w:tc>
      </w:tr>
    </w:tbl>
    <w:p w:rsidR="00F1791A" w:rsidRDefault="00F1791A" w:rsidP="00F1791A">
      <w:pPr>
        <w:pStyle w:val="Epgrafe"/>
        <w:keepNext/>
        <w:jc w:val="both"/>
      </w:pPr>
    </w:p>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22</w:t>
      </w:r>
      <w:r w:rsidR="00951FEC">
        <w:fldChar w:fldCharType="end"/>
      </w:r>
      <w:r>
        <w:t xml:space="preserve"> Curva de Duración Subcuenca 605 Río Rapel</w:t>
      </w:r>
    </w:p>
    <w:p w:rsidR="00F1791A" w:rsidRPr="00D314B9" w:rsidRDefault="00254CE2" w:rsidP="00F1791A">
      <w:pPr>
        <w:jc w:val="center"/>
      </w:pPr>
      <w:r>
        <w:rPr>
          <w:noProof/>
          <w:lang w:val="es-CL" w:eastAsia="es-CL"/>
        </w:rPr>
        <w:drawing>
          <wp:inline distT="0" distB="0" distL="0" distR="0">
            <wp:extent cx="4348480" cy="215836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8480"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23</w:t>
      </w:r>
      <w:r w:rsidR="00951FEC">
        <w:fldChar w:fldCharType="end"/>
      </w:r>
      <w:r>
        <w:t xml:space="preserve"> Curvas de Variación Estacional Subcuenca 0610 costeras entre Río Rapel y Estero Topocalma</w:t>
      </w:r>
    </w:p>
    <w:p w:rsidR="00F1791A" w:rsidRDefault="00254CE2" w:rsidP="00F1791A">
      <w:pPr>
        <w:jc w:val="center"/>
      </w:pPr>
      <w:r>
        <w:rPr>
          <w:noProof/>
          <w:lang w:val="es-CL" w:eastAsia="es-CL"/>
        </w:rPr>
        <w:drawing>
          <wp:inline distT="0" distB="0" distL="0" distR="0">
            <wp:extent cx="5103495" cy="396621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3495" cy="3966210"/>
                    </a:xfrm>
                    <a:prstGeom prst="rect">
                      <a:avLst/>
                    </a:prstGeom>
                    <a:noFill/>
                    <a:ln>
                      <a:noFill/>
                    </a:ln>
                  </pic:spPr>
                </pic:pic>
              </a:graphicData>
            </a:graphic>
          </wp:inline>
        </w:drawing>
      </w:r>
    </w:p>
    <w:p w:rsidR="00F1791A" w:rsidRDefault="00F1791A" w:rsidP="00F1791A">
      <w:pPr>
        <w:jc w:val="center"/>
      </w:pPr>
    </w:p>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17</w:t>
      </w:r>
      <w:r w:rsidR="007F3102">
        <w:fldChar w:fldCharType="end"/>
      </w:r>
      <w:r>
        <w:t xml:space="preserve"> Curvas de Variación Estacional Subcuenca 0610 </w:t>
      </w:r>
    </w:p>
    <w:tbl>
      <w:tblPr>
        <w:tblW w:w="10777" w:type="dxa"/>
        <w:jc w:val="center"/>
        <w:tblInd w:w="65" w:type="dxa"/>
        <w:tblCellMar>
          <w:left w:w="70" w:type="dxa"/>
          <w:right w:w="70" w:type="dxa"/>
        </w:tblCellMar>
        <w:tblLook w:val="0000" w:firstRow="0" w:lastRow="0" w:firstColumn="0" w:lastColumn="0" w:noHBand="0" w:noVBand="0"/>
      </w:tblPr>
      <w:tblGrid>
        <w:gridCol w:w="1483"/>
        <w:gridCol w:w="720"/>
        <w:gridCol w:w="714"/>
        <w:gridCol w:w="714"/>
        <w:gridCol w:w="714"/>
        <w:gridCol w:w="714"/>
        <w:gridCol w:w="714"/>
        <w:gridCol w:w="714"/>
        <w:gridCol w:w="714"/>
        <w:gridCol w:w="714"/>
        <w:gridCol w:w="714"/>
        <w:gridCol w:w="714"/>
        <w:gridCol w:w="720"/>
        <w:gridCol w:w="745"/>
      </w:tblGrid>
      <w:tr w:rsidR="00F1791A" w:rsidRPr="00670BEF">
        <w:trPr>
          <w:trHeight w:val="266"/>
          <w:jc w:val="center"/>
        </w:trPr>
        <w:tc>
          <w:tcPr>
            <w:tcW w:w="1482" w:type="dxa"/>
            <w:tcBorders>
              <w:top w:val="single" w:sz="4" w:space="0" w:color="auto"/>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PROBABILIADAD</w:t>
            </w:r>
          </w:p>
        </w:tc>
        <w:tc>
          <w:tcPr>
            <w:tcW w:w="8577"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MES</w:t>
            </w:r>
          </w:p>
        </w:tc>
        <w:tc>
          <w:tcPr>
            <w:tcW w:w="71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670BEF" w:rsidRDefault="00F1791A" w:rsidP="00F1791A">
            <w:pPr>
              <w:jc w:val="center"/>
              <w:rPr>
                <w:rFonts w:cs="Arial"/>
                <w:b/>
                <w:bCs/>
                <w:sz w:val="16"/>
                <w:szCs w:val="16"/>
              </w:rPr>
            </w:pPr>
            <w:r>
              <w:rPr>
                <w:rFonts w:cs="Arial"/>
                <w:b/>
                <w:bCs/>
                <w:sz w:val="16"/>
                <w:szCs w:val="16"/>
              </w:rPr>
              <w:t>ANUAL</w:t>
            </w:r>
            <w:r w:rsidRPr="00670BEF">
              <w:rPr>
                <w:rFonts w:cs="Arial"/>
                <w:b/>
                <w:bCs/>
                <w:sz w:val="16"/>
                <w:szCs w:val="16"/>
              </w:rPr>
              <w:t> </w:t>
            </w:r>
          </w:p>
        </w:tc>
      </w:tr>
      <w:tr w:rsidR="00F1791A" w:rsidRPr="00670BEF">
        <w:trPr>
          <w:trHeight w:val="266"/>
          <w:jc w:val="center"/>
        </w:trPr>
        <w:tc>
          <w:tcPr>
            <w:tcW w:w="1482" w:type="dxa"/>
            <w:tcBorders>
              <w:top w:val="nil"/>
              <w:left w:val="single" w:sz="4" w:space="0" w:color="auto"/>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EXCEDENCIA</w:t>
            </w:r>
          </w:p>
        </w:tc>
        <w:tc>
          <w:tcPr>
            <w:tcW w:w="720"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ABR</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MAY</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JUN</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JUL</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AGO</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SEP</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OCT</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NOV</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DIC</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ENE</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FEB</w:t>
            </w:r>
          </w:p>
        </w:tc>
        <w:tc>
          <w:tcPr>
            <w:tcW w:w="720"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b/>
                <w:bCs/>
                <w:sz w:val="16"/>
                <w:szCs w:val="16"/>
              </w:rPr>
            </w:pPr>
            <w:r w:rsidRPr="00670BEF">
              <w:rPr>
                <w:rFonts w:cs="Arial"/>
                <w:b/>
                <w:bCs/>
                <w:sz w:val="16"/>
                <w:szCs w:val="16"/>
              </w:rPr>
              <w:t>MAR</w:t>
            </w:r>
          </w:p>
        </w:tc>
        <w:tc>
          <w:tcPr>
            <w:tcW w:w="715" w:type="dxa"/>
            <w:vMerge/>
            <w:tcBorders>
              <w:top w:val="single" w:sz="4" w:space="0" w:color="auto"/>
              <w:left w:val="single" w:sz="4" w:space="0" w:color="auto"/>
              <w:bottom w:val="single" w:sz="4" w:space="0" w:color="000000"/>
              <w:right w:val="single" w:sz="4" w:space="0" w:color="auto"/>
            </w:tcBorders>
            <w:vAlign w:val="center"/>
          </w:tcPr>
          <w:p w:rsidR="00F1791A" w:rsidRPr="00670BEF" w:rsidRDefault="00F1791A" w:rsidP="00F1791A">
            <w:pPr>
              <w:jc w:val="left"/>
              <w:rPr>
                <w:rFonts w:cs="Arial"/>
                <w:b/>
                <w:bCs/>
                <w:sz w:val="16"/>
                <w:szCs w:val="16"/>
              </w:rPr>
            </w:pPr>
          </w:p>
        </w:tc>
      </w:tr>
      <w:tr w:rsidR="00F1791A" w:rsidRPr="00670BEF">
        <w:trPr>
          <w:trHeight w:val="266"/>
          <w:jc w:val="center"/>
        </w:trPr>
        <w:tc>
          <w:tcPr>
            <w:tcW w:w="1482" w:type="dxa"/>
            <w:tcBorders>
              <w:top w:val="nil"/>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10 %</w:t>
            </w:r>
          </w:p>
        </w:tc>
        <w:tc>
          <w:tcPr>
            <w:tcW w:w="720"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0.121</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0.695</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3.123</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4.196</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4.863</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1.749</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0.661</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0.269</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0.073</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0.015</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0.010</w:t>
            </w:r>
          </w:p>
        </w:tc>
        <w:tc>
          <w:tcPr>
            <w:tcW w:w="720"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0.042</w:t>
            </w:r>
          </w:p>
        </w:tc>
        <w:tc>
          <w:tcPr>
            <w:tcW w:w="715"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1.436</w:t>
            </w:r>
          </w:p>
        </w:tc>
      </w:tr>
      <w:tr w:rsidR="00F1791A" w:rsidRPr="00670BEF">
        <w:trPr>
          <w:trHeight w:val="266"/>
          <w:jc w:val="center"/>
        </w:trPr>
        <w:tc>
          <w:tcPr>
            <w:tcW w:w="1482" w:type="dxa"/>
            <w:tcBorders>
              <w:top w:val="nil"/>
              <w:left w:val="single" w:sz="4" w:space="0" w:color="auto"/>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50 %</w:t>
            </w:r>
          </w:p>
        </w:tc>
        <w:tc>
          <w:tcPr>
            <w:tcW w:w="720"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0.021</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0.126</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0.269</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0.475</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0.407</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0.264</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0.133</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0.047</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0.017</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0.003</w:t>
            </w:r>
          </w:p>
        </w:tc>
        <w:tc>
          <w:tcPr>
            <w:tcW w:w="714" w:type="dxa"/>
            <w:tcBorders>
              <w:top w:val="nil"/>
              <w:left w:val="nil"/>
              <w:bottom w:val="nil"/>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20"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15" w:type="dxa"/>
            <w:tcBorders>
              <w:top w:val="nil"/>
              <w:left w:val="nil"/>
              <w:bottom w:val="nil"/>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0.237</w:t>
            </w:r>
          </w:p>
        </w:tc>
      </w:tr>
      <w:tr w:rsidR="00F1791A" w:rsidRPr="00670BEF">
        <w:trPr>
          <w:trHeight w:val="266"/>
          <w:jc w:val="center"/>
        </w:trPr>
        <w:tc>
          <w:tcPr>
            <w:tcW w:w="1482" w:type="dxa"/>
            <w:tcBorders>
              <w:top w:val="nil"/>
              <w:left w:val="single" w:sz="4" w:space="0" w:color="auto"/>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85 %</w:t>
            </w:r>
          </w:p>
        </w:tc>
        <w:tc>
          <w:tcPr>
            <w:tcW w:w="720"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0.022</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0.056</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0.097</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0.054</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0.062</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0.021</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0.005</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14" w:type="dxa"/>
            <w:tcBorders>
              <w:top w:val="nil"/>
              <w:left w:val="nil"/>
              <w:bottom w:val="single" w:sz="4" w:space="0" w:color="auto"/>
              <w:right w:val="nil"/>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20"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0.000</w:t>
            </w:r>
          </w:p>
        </w:tc>
        <w:tc>
          <w:tcPr>
            <w:tcW w:w="715" w:type="dxa"/>
            <w:tcBorders>
              <w:top w:val="nil"/>
              <w:left w:val="nil"/>
              <w:bottom w:val="single" w:sz="4" w:space="0" w:color="auto"/>
              <w:right w:val="single" w:sz="4" w:space="0" w:color="auto"/>
            </w:tcBorders>
            <w:shd w:val="clear" w:color="auto" w:fill="auto"/>
            <w:noWrap/>
            <w:vAlign w:val="bottom"/>
          </w:tcPr>
          <w:p w:rsidR="00F1791A" w:rsidRPr="00670BEF" w:rsidRDefault="00F1791A" w:rsidP="00F1791A">
            <w:pPr>
              <w:jc w:val="center"/>
              <w:rPr>
                <w:rFonts w:cs="Arial"/>
                <w:sz w:val="16"/>
                <w:szCs w:val="16"/>
              </w:rPr>
            </w:pPr>
            <w:r w:rsidRPr="00670BEF">
              <w:rPr>
                <w:rFonts w:cs="Arial"/>
                <w:sz w:val="16"/>
                <w:szCs w:val="16"/>
              </w:rPr>
              <w:t>0.059</w:t>
            </w:r>
          </w:p>
        </w:tc>
      </w:tr>
    </w:tbl>
    <w:p w:rsidR="00F1791A" w:rsidRPr="00355D5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24</w:t>
      </w:r>
      <w:r w:rsidR="00951FEC">
        <w:fldChar w:fldCharType="end"/>
      </w:r>
      <w:r>
        <w:t xml:space="preserve"> Curva de Duración Subcuenca 610 </w:t>
      </w:r>
    </w:p>
    <w:p w:rsidR="00F1791A" w:rsidRDefault="00254CE2" w:rsidP="00B46EF2">
      <w:pPr>
        <w:jc w:val="center"/>
      </w:pPr>
      <w:r>
        <w:rPr>
          <w:noProof/>
          <w:lang w:val="es-CL" w:eastAsia="es-CL"/>
        </w:rPr>
        <w:drawing>
          <wp:inline distT="0" distB="0" distL="0" distR="0">
            <wp:extent cx="4423410" cy="215836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23410" cy="2158365"/>
                    </a:xfrm>
                    <a:prstGeom prst="rect">
                      <a:avLst/>
                    </a:prstGeom>
                    <a:noFill/>
                    <a:ln>
                      <a:noFill/>
                    </a:ln>
                  </pic:spPr>
                </pic:pic>
              </a:graphicData>
            </a:graphic>
          </wp:inline>
        </w:drawing>
      </w:r>
    </w:p>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25</w:t>
      </w:r>
      <w:r w:rsidR="00951FEC">
        <w:fldChar w:fldCharType="end"/>
      </w:r>
      <w:r>
        <w:t xml:space="preserve"> Curvas de Variación Estacional Subcuenca 0611 Estero Topocalma</w:t>
      </w:r>
    </w:p>
    <w:p w:rsidR="00F1791A" w:rsidRPr="00E05977" w:rsidRDefault="00254CE2" w:rsidP="00F1791A">
      <w:pPr>
        <w:jc w:val="center"/>
      </w:pPr>
      <w:r>
        <w:rPr>
          <w:noProof/>
          <w:lang w:val="es-CL" w:eastAsia="es-CL"/>
        </w:rPr>
        <w:drawing>
          <wp:inline distT="0" distB="0" distL="0" distR="0">
            <wp:extent cx="5210175" cy="40513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18</w:t>
      </w:r>
      <w:r w:rsidR="007F3102">
        <w:fldChar w:fldCharType="end"/>
      </w:r>
      <w:r>
        <w:t xml:space="preserve"> Curvas de Variación Estacional Subcuenca 0611 Estero Topocalma</w:t>
      </w:r>
    </w:p>
    <w:tbl>
      <w:tblPr>
        <w:tblW w:w="9923" w:type="dxa"/>
        <w:jc w:val="center"/>
        <w:tblInd w:w="65" w:type="dxa"/>
        <w:tblCellMar>
          <w:left w:w="70" w:type="dxa"/>
          <w:right w:w="70" w:type="dxa"/>
        </w:tblCellMar>
        <w:tblLook w:val="0000" w:firstRow="0" w:lastRow="0" w:firstColumn="0" w:lastColumn="0" w:noHBand="0" w:noVBand="0"/>
      </w:tblPr>
      <w:tblGrid>
        <w:gridCol w:w="1483"/>
        <w:gridCol w:w="629"/>
        <w:gridCol w:w="623"/>
        <w:gridCol w:w="760"/>
        <w:gridCol w:w="760"/>
        <w:gridCol w:w="760"/>
        <w:gridCol w:w="623"/>
        <w:gridCol w:w="623"/>
        <w:gridCol w:w="623"/>
        <w:gridCol w:w="623"/>
        <w:gridCol w:w="623"/>
        <w:gridCol w:w="623"/>
        <w:gridCol w:w="629"/>
        <w:gridCol w:w="700"/>
      </w:tblGrid>
      <w:tr w:rsidR="00F1791A" w:rsidRPr="00E05977">
        <w:trPr>
          <w:trHeight w:val="267"/>
          <w:jc w:val="center"/>
        </w:trPr>
        <w:tc>
          <w:tcPr>
            <w:tcW w:w="1366" w:type="dxa"/>
            <w:tcBorders>
              <w:top w:val="single" w:sz="4" w:space="0" w:color="auto"/>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PROBABILIADAD</w:t>
            </w:r>
          </w:p>
        </w:tc>
        <w:tc>
          <w:tcPr>
            <w:tcW w:w="7899"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MES</w:t>
            </w:r>
          </w:p>
        </w:tc>
        <w:tc>
          <w:tcPr>
            <w:tcW w:w="6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E05977" w:rsidRDefault="00F1791A" w:rsidP="00F1791A">
            <w:pPr>
              <w:jc w:val="center"/>
              <w:rPr>
                <w:rFonts w:cs="Arial"/>
                <w:b/>
                <w:bCs/>
                <w:sz w:val="16"/>
                <w:szCs w:val="16"/>
              </w:rPr>
            </w:pPr>
            <w:r w:rsidRPr="00E05977">
              <w:rPr>
                <w:rFonts w:cs="Arial"/>
                <w:b/>
                <w:bCs/>
                <w:sz w:val="16"/>
                <w:szCs w:val="16"/>
              </w:rPr>
              <w:t>ANUAL</w:t>
            </w:r>
          </w:p>
        </w:tc>
      </w:tr>
      <w:tr w:rsidR="00F1791A" w:rsidRPr="00E05977">
        <w:trPr>
          <w:trHeight w:val="267"/>
          <w:jc w:val="center"/>
        </w:trPr>
        <w:tc>
          <w:tcPr>
            <w:tcW w:w="1366"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EXCEDENCIA</w:t>
            </w:r>
          </w:p>
        </w:tc>
        <w:tc>
          <w:tcPr>
            <w:tcW w:w="62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ABR</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MAY</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JUN</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JUL</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AGO</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SEP</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OCT</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NOV</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DIC</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ENE</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FEB</w:t>
            </w:r>
          </w:p>
        </w:tc>
        <w:tc>
          <w:tcPr>
            <w:tcW w:w="629"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MAR</w:t>
            </w:r>
          </w:p>
        </w:tc>
        <w:tc>
          <w:tcPr>
            <w:tcW w:w="658" w:type="dxa"/>
            <w:vMerge/>
            <w:tcBorders>
              <w:top w:val="single" w:sz="4" w:space="0" w:color="auto"/>
              <w:left w:val="single" w:sz="4" w:space="0" w:color="auto"/>
              <w:bottom w:val="single" w:sz="4" w:space="0" w:color="000000"/>
              <w:right w:val="single" w:sz="4" w:space="0" w:color="auto"/>
            </w:tcBorders>
            <w:vAlign w:val="center"/>
          </w:tcPr>
          <w:p w:rsidR="00F1791A" w:rsidRPr="00E05977" w:rsidRDefault="00F1791A" w:rsidP="00F1791A">
            <w:pPr>
              <w:jc w:val="left"/>
              <w:rPr>
                <w:rFonts w:cs="Arial"/>
                <w:b/>
                <w:bCs/>
                <w:sz w:val="16"/>
                <w:szCs w:val="16"/>
              </w:rPr>
            </w:pPr>
          </w:p>
        </w:tc>
      </w:tr>
      <w:tr w:rsidR="00F1791A" w:rsidRPr="00E05977">
        <w:trPr>
          <w:trHeight w:val="267"/>
          <w:jc w:val="center"/>
        </w:trPr>
        <w:tc>
          <w:tcPr>
            <w:tcW w:w="1366"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10 %</w:t>
            </w:r>
          </w:p>
        </w:tc>
        <w:tc>
          <w:tcPr>
            <w:tcW w:w="62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0.963</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5.424</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16.574</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29.145</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24.095</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8.422</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3.919</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1.301</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0.418</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0.111</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0.073</w:t>
            </w:r>
          </w:p>
        </w:tc>
        <w:tc>
          <w:tcPr>
            <w:tcW w:w="629"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0.226</w:t>
            </w:r>
          </w:p>
        </w:tc>
        <w:tc>
          <w:tcPr>
            <w:tcW w:w="658"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8.017</w:t>
            </w:r>
          </w:p>
        </w:tc>
      </w:tr>
      <w:tr w:rsidR="00F1791A" w:rsidRPr="00E05977">
        <w:trPr>
          <w:trHeight w:val="267"/>
          <w:jc w:val="center"/>
        </w:trPr>
        <w:tc>
          <w:tcPr>
            <w:tcW w:w="1366"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50 %</w:t>
            </w:r>
          </w:p>
        </w:tc>
        <w:tc>
          <w:tcPr>
            <w:tcW w:w="62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0.152</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0.735</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1.626</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3.388</w:t>
            </w:r>
          </w:p>
        </w:tc>
        <w:tc>
          <w:tcPr>
            <w:tcW w:w="760"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3.290</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2.507</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1.164</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0.473</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0.143</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0.030</w:t>
            </w:r>
          </w:p>
        </w:tc>
        <w:tc>
          <w:tcPr>
            <w:tcW w:w="62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0.008</w:t>
            </w:r>
          </w:p>
        </w:tc>
        <w:tc>
          <w:tcPr>
            <w:tcW w:w="629"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0.009</w:t>
            </w:r>
          </w:p>
        </w:tc>
        <w:tc>
          <w:tcPr>
            <w:tcW w:w="658"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1.790</w:t>
            </w:r>
          </w:p>
        </w:tc>
      </w:tr>
      <w:tr w:rsidR="00F1791A" w:rsidRPr="00E05977">
        <w:trPr>
          <w:trHeight w:val="267"/>
          <w:jc w:val="center"/>
        </w:trPr>
        <w:tc>
          <w:tcPr>
            <w:tcW w:w="1366"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85 %</w:t>
            </w:r>
          </w:p>
        </w:tc>
        <w:tc>
          <w:tcPr>
            <w:tcW w:w="62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0.000</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0.162</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0.381</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0.613</w:t>
            </w:r>
          </w:p>
        </w:tc>
        <w:tc>
          <w:tcPr>
            <w:tcW w:w="760"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0.482</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0.463</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0.421</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0.118</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0.030</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0.005</w:t>
            </w:r>
          </w:p>
        </w:tc>
        <w:tc>
          <w:tcPr>
            <w:tcW w:w="62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0.001</w:t>
            </w:r>
          </w:p>
        </w:tc>
        <w:tc>
          <w:tcPr>
            <w:tcW w:w="629"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0.000</w:t>
            </w:r>
          </w:p>
        </w:tc>
        <w:tc>
          <w:tcPr>
            <w:tcW w:w="658"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0.481</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26</w:t>
      </w:r>
      <w:r w:rsidR="00951FEC">
        <w:fldChar w:fldCharType="end"/>
      </w:r>
      <w:r>
        <w:t xml:space="preserve"> Curva de Duración Subcuenca 611 Estero Topocalma</w:t>
      </w:r>
    </w:p>
    <w:p w:rsidR="00F1791A" w:rsidRPr="00D314B9" w:rsidRDefault="00254CE2" w:rsidP="00F1791A">
      <w:pPr>
        <w:jc w:val="center"/>
      </w:pPr>
      <w:r>
        <w:rPr>
          <w:noProof/>
          <w:lang w:val="es-CL" w:eastAsia="es-CL"/>
        </w:rPr>
        <w:drawing>
          <wp:inline distT="0" distB="0" distL="0" distR="0">
            <wp:extent cx="4242435" cy="2158365"/>
            <wp:effectExtent l="0" t="0" r="571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42435" cy="2158365"/>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27</w:t>
      </w:r>
      <w:r w:rsidR="00951FEC">
        <w:fldChar w:fldCharType="end"/>
      </w:r>
      <w:r>
        <w:t xml:space="preserve"> Curvas de Variación Estacional Subcuenca 0612 Costeras entre Estero Topocalma y Estero Nilahue</w:t>
      </w:r>
    </w:p>
    <w:p w:rsidR="00F1791A" w:rsidRPr="00E05977" w:rsidRDefault="00254CE2" w:rsidP="00F1791A">
      <w:pPr>
        <w:jc w:val="center"/>
        <w:rPr>
          <w:noProof/>
          <w:lang w:val="es-CL" w:eastAsia="es-CL"/>
        </w:rPr>
      </w:pPr>
      <w:r>
        <w:rPr>
          <w:noProof/>
          <w:lang w:val="es-CL" w:eastAsia="es-CL"/>
        </w:rPr>
        <w:drawing>
          <wp:inline distT="0" distB="0" distL="0" distR="0">
            <wp:extent cx="5092700" cy="395541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92700" cy="3955415"/>
                    </a:xfrm>
                    <a:prstGeom prst="rect">
                      <a:avLst/>
                    </a:prstGeom>
                    <a:noFill/>
                    <a:ln>
                      <a:noFill/>
                    </a:ln>
                  </pic:spPr>
                </pic:pic>
              </a:graphicData>
            </a:graphic>
          </wp:inline>
        </w:drawing>
      </w:r>
    </w:p>
    <w:p w:rsidR="00F1791A" w:rsidRDefault="00F1791A" w:rsidP="00F1791A">
      <w:pPr>
        <w:rPr>
          <w:noProof/>
          <w:lang w:val="es-CL" w:eastAsia="es-CL"/>
        </w:rPr>
      </w:pPr>
    </w:p>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19</w:t>
      </w:r>
      <w:r w:rsidR="007F3102">
        <w:fldChar w:fldCharType="end"/>
      </w:r>
      <w:r>
        <w:t xml:space="preserve"> Curvas de Variación Estacional Subcuenca 0612 </w:t>
      </w:r>
    </w:p>
    <w:tbl>
      <w:tblPr>
        <w:tblW w:w="9206" w:type="dxa"/>
        <w:tblInd w:w="65" w:type="dxa"/>
        <w:tblCellMar>
          <w:left w:w="70" w:type="dxa"/>
          <w:right w:w="70" w:type="dxa"/>
        </w:tblCellMar>
        <w:tblLook w:val="0000" w:firstRow="0" w:lastRow="0" w:firstColumn="0" w:lastColumn="0" w:noHBand="0" w:noVBand="0"/>
      </w:tblPr>
      <w:tblGrid>
        <w:gridCol w:w="1483"/>
        <w:gridCol w:w="584"/>
        <w:gridCol w:w="578"/>
        <w:gridCol w:w="705"/>
        <w:gridCol w:w="705"/>
        <w:gridCol w:w="705"/>
        <w:gridCol w:w="578"/>
        <w:gridCol w:w="578"/>
        <w:gridCol w:w="578"/>
        <w:gridCol w:w="578"/>
        <w:gridCol w:w="578"/>
        <w:gridCol w:w="578"/>
        <w:gridCol w:w="584"/>
        <w:gridCol w:w="700"/>
      </w:tblGrid>
      <w:tr w:rsidR="00F1791A" w:rsidRPr="00E05977">
        <w:trPr>
          <w:trHeight w:val="265"/>
        </w:trPr>
        <w:tc>
          <w:tcPr>
            <w:tcW w:w="1267" w:type="dxa"/>
            <w:tcBorders>
              <w:top w:val="single" w:sz="4" w:space="0" w:color="auto"/>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PROBABILIADAD</w:t>
            </w:r>
          </w:p>
        </w:tc>
        <w:tc>
          <w:tcPr>
            <w:tcW w:w="7326"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MES</w:t>
            </w:r>
          </w:p>
        </w:tc>
        <w:tc>
          <w:tcPr>
            <w:tcW w:w="61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E05977" w:rsidRDefault="00F1791A" w:rsidP="00F1791A">
            <w:pPr>
              <w:jc w:val="center"/>
              <w:rPr>
                <w:rFonts w:cs="Arial"/>
                <w:b/>
                <w:bCs/>
                <w:sz w:val="16"/>
                <w:szCs w:val="16"/>
              </w:rPr>
            </w:pPr>
            <w:r w:rsidRPr="00E05977">
              <w:rPr>
                <w:rFonts w:cs="Arial"/>
                <w:b/>
                <w:bCs/>
                <w:sz w:val="16"/>
                <w:szCs w:val="16"/>
              </w:rPr>
              <w:t>ANUAL</w:t>
            </w:r>
          </w:p>
        </w:tc>
      </w:tr>
      <w:tr w:rsidR="00F1791A" w:rsidRPr="00E05977">
        <w:trPr>
          <w:trHeight w:val="265"/>
        </w:trPr>
        <w:tc>
          <w:tcPr>
            <w:tcW w:w="1267"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EXCEDENCIA</w:t>
            </w:r>
          </w:p>
        </w:tc>
        <w:tc>
          <w:tcPr>
            <w:tcW w:w="584"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ABR</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MAY</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JUN</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JUL</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AGO</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SEP</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OCT</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NOV</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DIC</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ENE</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FEB</w:t>
            </w:r>
          </w:p>
        </w:tc>
        <w:tc>
          <w:tcPr>
            <w:tcW w:w="584"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MAR</w:t>
            </w:r>
          </w:p>
        </w:tc>
        <w:tc>
          <w:tcPr>
            <w:tcW w:w="610" w:type="dxa"/>
            <w:vMerge/>
            <w:tcBorders>
              <w:top w:val="single" w:sz="4" w:space="0" w:color="auto"/>
              <w:left w:val="single" w:sz="4" w:space="0" w:color="auto"/>
              <w:bottom w:val="single" w:sz="4" w:space="0" w:color="000000"/>
              <w:right w:val="single" w:sz="4" w:space="0" w:color="auto"/>
            </w:tcBorders>
            <w:vAlign w:val="center"/>
          </w:tcPr>
          <w:p w:rsidR="00F1791A" w:rsidRPr="00E05977" w:rsidRDefault="00F1791A" w:rsidP="00F1791A">
            <w:pPr>
              <w:jc w:val="left"/>
              <w:rPr>
                <w:rFonts w:cs="Arial"/>
                <w:b/>
                <w:bCs/>
                <w:sz w:val="16"/>
                <w:szCs w:val="16"/>
              </w:rPr>
            </w:pPr>
          </w:p>
        </w:tc>
      </w:tr>
      <w:tr w:rsidR="00F1791A" w:rsidRPr="00E05977">
        <w:trPr>
          <w:trHeight w:val="265"/>
        </w:trPr>
        <w:tc>
          <w:tcPr>
            <w:tcW w:w="1267"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10 %</w:t>
            </w:r>
          </w:p>
        </w:tc>
        <w:tc>
          <w:tcPr>
            <w:tcW w:w="584"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0.731</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3.592</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13.006</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23.362</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19.043</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6.813</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3.010</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0.987</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0.318</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0.084</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0.055</w:t>
            </w:r>
          </w:p>
        </w:tc>
        <w:tc>
          <w:tcPr>
            <w:tcW w:w="584"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0.177</w:t>
            </w:r>
          </w:p>
        </w:tc>
        <w:tc>
          <w:tcPr>
            <w:tcW w:w="610"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6.143</w:t>
            </w:r>
          </w:p>
        </w:tc>
      </w:tr>
      <w:tr w:rsidR="00F1791A" w:rsidRPr="00E05977">
        <w:trPr>
          <w:trHeight w:val="265"/>
        </w:trPr>
        <w:tc>
          <w:tcPr>
            <w:tcW w:w="1267"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50 %</w:t>
            </w:r>
          </w:p>
        </w:tc>
        <w:tc>
          <w:tcPr>
            <w:tcW w:w="584"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0.111</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0.583</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1.263</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2.760</w:t>
            </w:r>
          </w:p>
        </w:tc>
        <w:tc>
          <w:tcPr>
            <w:tcW w:w="705"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2.661</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1.870</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0.899</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0.364</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0.109</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0.023</w:t>
            </w:r>
          </w:p>
        </w:tc>
        <w:tc>
          <w:tcPr>
            <w:tcW w:w="578"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0.006</w:t>
            </w:r>
          </w:p>
        </w:tc>
        <w:tc>
          <w:tcPr>
            <w:tcW w:w="584"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0.007</w:t>
            </w:r>
          </w:p>
        </w:tc>
        <w:tc>
          <w:tcPr>
            <w:tcW w:w="610"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1.438</w:t>
            </w:r>
          </w:p>
        </w:tc>
      </w:tr>
      <w:tr w:rsidR="00F1791A" w:rsidRPr="00E05977">
        <w:trPr>
          <w:trHeight w:val="265"/>
        </w:trPr>
        <w:tc>
          <w:tcPr>
            <w:tcW w:w="1267"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85 %</w:t>
            </w:r>
          </w:p>
        </w:tc>
        <w:tc>
          <w:tcPr>
            <w:tcW w:w="584"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0.000</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0.126</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0.291</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0.486</w:t>
            </w:r>
          </w:p>
        </w:tc>
        <w:tc>
          <w:tcPr>
            <w:tcW w:w="705"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0.389</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0.375</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0.342</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0.102</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0.026</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0.005</w:t>
            </w:r>
          </w:p>
        </w:tc>
        <w:tc>
          <w:tcPr>
            <w:tcW w:w="578"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0.001</w:t>
            </w:r>
          </w:p>
        </w:tc>
        <w:tc>
          <w:tcPr>
            <w:tcW w:w="584"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0.000</w:t>
            </w:r>
          </w:p>
        </w:tc>
        <w:tc>
          <w:tcPr>
            <w:tcW w:w="610"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0.385</w:t>
            </w:r>
          </w:p>
        </w:tc>
      </w:tr>
    </w:tbl>
    <w:p w:rsidR="00F1791A" w:rsidRPr="004F0B3D"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28</w:t>
      </w:r>
      <w:r w:rsidR="00951FEC">
        <w:fldChar w:fldCharType="end"/>
      </w:r>
      <w:r>
        <w:t xml:space="preserve"> Curva de Duración Subcuenca 612 </w:t>
      </w:r>
    </w:p>
    <w:p w:rsidR="00F1791A" w:rsidRDefault="00254CE2" w:rsidP="00B46EF2">
      <w:pPr>
        <w:jc w:val="center"/>
      </w:pPr>
      <w:r>
        <w:rPr>
          <w:noProof/>
          <w:lang w:val="es-CL" w:eastAsia="es-CL"/>
        </w:rPr>
        <w:drawing>
          <wp:inline distT="0" distB="0" distL="0" distR="0">
            <wp:extent cx="4316730" cy="2158365"/>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16730" cy="2158365"/>
                    </a:xfrm>
                    <a:prstGeom prst="rect">
                      <a:avLst/>
                    </a:prstGeom>
                    <a:noFill/>
                    <a:ln>
                      <a:noFill/>
                    </a:ln>
                  </pic:spPr>
                </pic:pic>
              </a:graphicData>
            </a:graphic>
          </wp:inline>
        </w:drawing>
      </w:r>
    </w:p>
    <w:p w:rsidR="00F1791A" w:rsidRDefault="00F1791A" w:rsidP="00F1791A">
      <w:pPr>
        <w:pStyle w:val="Epgrafe"/>
        <w:keepNext/>
      </w:pPr>
      <w:r>
        <w:br w:type="page"/>
      </w: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29</w:t>
      </w:r>
      <w:r w:rsidR="00951FEC">
        <w:fldChar w:fldCharType="end"/>
      </w:r>
      <w:r>
        <w:t xml:space="preserve"> Curvas de Variación Estacional Subcuenca 0613 Estero Nilahue</w:t>
      </w:r>
    </w:p>
    <w:p w:rsidR="00F1791A" w:rsidRPr="00E05977" w:rsidRDefault="00254CE2" w:rsidP="00F1791A">
      <w:pPr>
        <w:jc w:val="center"/>
      </w:pPr>
      <w:r>
        <w:rPr>
          <w:noProof/>
          <w:lang w:val="es-CL" w:eastAsia="es-CL"/>
        </w:rPr>
        <w:drawing>
          <wp:inline distT="0" distB="0" distL="0" distR="0">
            <wp:extent cx="5210175" cy="40513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Pr>
        <w:jc w:val="center"/>
        <w:rPr>
          <w:noProof/>
          <w:lang w:val="es-CL" w:eastAsia="es-CL"/>
        </w:rPr>
      </w:pPr>
    </w:p>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20</w:t>
      </w:r>
      <w:r w:rsidR="007F3102">
        <w:fldChar w:fldCharType="end"/>
      </w:r>
      <w:r>
        <w:t xml:space="preserve"> Curvas de Variación Estacional Subcuenca 0613 Estero Nilahue</w:t>
      </w:r>
    </w:p>
    <w:tbl>
      <w:tblPr>
        <w:tblW w:w="9388" w:type="dxa"/>
        <w:tblInd w:w="65" w:type="dxa"/>
        <w:tblCellMar>
          <w:left w:w="70" w:type="dxa"/>
          <w:right w:w="70" w:type="dxa"/>
        </w:tblCellMar>
        <w:tblLook w:val="0000" w:firstRow="0" w:lastRow="0" w:firstColumn="0" w:lastColumn="0" w:noHBand="0" w:noVBand="0"/>
      </w:tblPr>
      <w:tblGrid>
        <w:gridCol w:w="1483"/>
        <w:gridCol w:w="541"/>
        <w:gridCol w:w="631"/>
        <w:gridCol w:w="631"/>
        <w:gridCol w:w="743"/>
        <w:gridCol w:w="743"/>
        <w:gridCol w:w="631"/>
        <w:gridCol w:w="631"/>
        <w:gridCol w:w="541"/>
        <w:gridCol w:w="541"/>
        <w:gridCol w:w="541"/>
        <w:gridCol w:w="541"/>
        <w:gridCol w:w="541"/>
        <w:gridCol w:w="700"/>
      </w:tblGrid>
      <w:tr w:rsidR="00F1791A" w:rsidRPr="00E05977">
        <w:trPr>
          <w:trHeight w:val="225"/>
        </w:trPr>
        <w:tc>
          <w:tcPr>
            <w:tcW w:w="1463" w:type="dxa"/>
            <w:tcBorders>
              <w:top w:val="single" w:sz="4" w:space="0" w:color="auto"/>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PROBABILIADAD</w:t>
            </w:r>
          </w:p>
        </w:tc>
        <w:tc>
          <w:tcPr>
            <w:tcW w:w="7228"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MES</w:t>
            </w:r>
          </w:p>
        </w:tc>
        <w:tc>
          <w:tcPr>
            <w:tcW w:w="69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E05977" w:rsidRDefault="00F1791A" w:rsidP="00F1791A">
            <w:pPr>
              <w:jc w:val="center"/>
              <w:rPr>
                <w:rFonts w:cs="Arial"/>
                <w:b/>
                <w:bCs/>
                <w:sz w:val="16"/>
                <w:szCs w:val="16"/>
              </w:rPr>
            </w:pPr>
            <w:r w:rsidRPr="00E05977">
              <w:rPr>
                <w:rFonts w:cs="Arial"/>
                <w:b/>
                <w:bCs/>
                <w:sz w:val="16"/>
                <w:szCs w:val="16"/>
              </w:rPr>
              <w:t>ANUAL</w:t>
            </w:r>
          </w:p>
        </w:tc>
      </w:tr>
      <w:tr w:rsidR="00F1791A" w:rsidRPr="00E05977">
        <w:trPr>
          <w:trHeight w:val="225"/>
        </w:trPr>
        <w:tc>
          <w:tcPr>
            <w:tcW w:w="1463"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EXCEDENCIA</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ABR</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MAY</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JUN</w:t>
            </w:r>
          </w:p>
        </w:tc>
        <w:tc>
          <w:tcPr>
            <w:tcW w:w="74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JUL</w:t>
            </w:r>
          </w:p>
        </w:tc>
        <w:tc>
          <w:tcPr>
            <w:tcW w:w="74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AGO</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SEP</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OCT</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NOV</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DIC</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ENE</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FEB</w:t>
            </w:r>
          </w:p>
        </w:tc>
        <w:tc>
          <w:tcPr>
            <w:tcW w:w="537"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MAR</w:t>
            </w:r>
          </w:p>
        </w:tc>
        <w:tc>
          <w:tcPr>
            <w:tcW w:w="693" w:type="dxa"/>
            <w:vMerge/>
            <w:tcBorders>
              <w:top w:val="single" w:sz="4" w:space="0" w:color="auto"/>
              <w:left w:val="single" w:sz="4" w:space="0" w:color="auto"/>
              <w:bottom w:val="single" w:sz="4" w:space="0" w:color="000000"/>
              <w:right w:val="single" w:sz="4" w:space="0" w:color="auto"/>
            </w:tcBorders>
            <w:vAlign w:val="center"/>
          </w:tcPr>
          <w:p w:rsidR="00F1791A" w:rsidRPr="00E05977" w:rsidRDefault="00F1791A" w:rsidP="00F1791A">
            <w:pPr>
              <w:jc w:val="left"/>
              <w:rPr>
                <w:rFonts w:cs="Arial"/>
                <w:b/>
                <w:bCs/>
                <w:sz w:val="16"/>
                <w:szCs w:val="16"/>
              </w:rPr>
            </w:pPr>
          </w:p>
        </w:tc>
      </w:tr>
      <w:tr w:rsidR="00F1791A" w:rsidRPr="00E05977">
        <w:trPr>
          <w:trHeight w:val="225"/>
        </w:trPr>
        <w:tc>
          <w:tcPr>
            <w:tcW w:w="1463"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10 %</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2.142</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19.104</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97.910</w:t>
            </w:r>
          </w:p>
        </w:tc>
        <w:tc>
          <w:tcPr>
            <w:tcW w:w="74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138.012</w:t>
            </w:r>
          </w:p>
        </w:tc>
        <w:tc>
          <w:tcPr>
            <w:tcW w:w="74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104.135</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46.944</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13.933</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4.679</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1.251</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0.274</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0.177</w:t>
            </w:r>
          </w:p>
        </w:tc>
        <w:tc>
          <w:tcPr>
            <w:tcW w:w="537"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0.404</w:t>
            </w:r>
          </w:p>
        </w:tc>
        <w:tc>
          <w:tcPr>
            <w:tcW w:w="693"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30.864</w:t>
            </w:r>
          </w:p>
        </w:tc>
      </w:tr>
      <w:tr w:rsidR="00F1791A" w:rsidRPr="00E05977">
        <w:trPr>
          <w:trHeight w:val="225"/>
        </w:trPr>
        <w:tc>
          <w:tcPr>
            <w:tcW w:w="1463"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50 %</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0.211</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1.546</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8.371</w:t>
            </w:r>
          </w:p>
        </w:tc>
        <w:tc>
          <w:tcPr>
            <w:tcW w:w="74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20.642</w:t>
            </w:r>
          </w:p>
        </w:tc>
        <w:tc>
          <w:tcPr>
            <w:tcW w:w="743"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19.021</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9.788</w:t>
            </w:r>
          </w:p>
        </w:tc>
        <w:tc>
          <w:tcPr>
            <w:tcW w:w="631"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3.360</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1.066</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0.287</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0.093</w:t>
            </w:r>
          </w:p>
        </w:tc>
        <w:tc>
          <w:tcPr>
            <w:tcW w:w="537"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0.037</w:t>
            </w:r>
          </w:p>
        </w:tc>
        <w:tc>
          <w:tcPr>
            <w:tcW w:w="537"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0.033</w:t>
            </w:r>
          </w:p>
        </w:tc>
        <w:tc>
          <w:tcPr>
            <w:tcW w:w="693"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9.813</w:t>
            </w:r>
          </w:p>
        </w:tc>
      </w:tr>
      <w:tr w:rsidR="00F1791A" w:rsidRPr="00E05977">
        <w:trPr>
          <w:trHeight w:val="225"/>
        </w:trPr>
        <w:tc>
          <w:tcPr>
            <w:tcW w:w="1463"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85 %</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0.014</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0.180</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1.052</w:t>
            </w:r>
          </w:p>
        </w:tc>
        <w:tc>
          <w:tcPr>
            <w:tcW w:w="74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2.949</w:t>
            </w:r>
          </w:p>
        </w:tc>
        <w:tc>
          <w:tcPr>
            <w:tcW w:w="743"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2.918</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2.129</w:t>
            </w:r>
          </w:p>
        </w:tc>
        <w:tc>
          <w:tcPr>
            <w:tcW w:w="631"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0.757</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0.220</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0.064</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0.023</w:t>
            </w:r>
          </w:p>
        </w:tc>
        <w:tc>
          <w:tcPr>
            <w:tcW w:w="537"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0.008</w:t>
            </w:r>
          </w:p>
        </w:tc>
        <w:tc>
          <w:tcPr>
            <w:tcW w:w="537"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0.001</w:t>
            </w:r>
          </w:p>
        </w:tc>
        <w:tc>
          <w:tcPr>
            <w:tcW w:w="693"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2.343</w:t>
            </w:r>
          </w:p>
        </w:tc>
      </w:tr>
    </w:tbl>
    <w:p w:rsidR="00F1791A" w:rsidRDefault="00F1791A" w:rsidP="00F1791A"/>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30</w:t>
      </w:r>
      <w:r w:rsidR="00951FEC">
        <w:fldChar w:fldCharType="end"/>
      </w:r>
      <w:r>
        <w:t xml:space="preserve"> Curva de Duración Subcuenca 613 Estero Nilahue</w:t>
      </w:r>
    </w:p>
    <w:p w:rsidR="00F1791A" w:rsidRDefault="00254CE2" w:rsidP="00F1791A">
      <w:pPr>
        <w:pStyle w:val="Epgrafe"/>
        <w:keepNext/>
      </w:pPr>
      <w:r>
        <w:rPr>
          <w:noProof/>
          <w:lang w:val="es-CL" w:eastAsia="es-CL"/>
        </w:rPr>
        <w:drawing>
          <wp:inline distT="0" distB="0" distL="0" distR="0">
            <wp:extent cx="4433570" cy="2158365"/>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33570" cy="2158365"/>
                    </a:xfrm>
                    <a:prstGeom prst="rect">
                      <a:avLst/>
                    </a:prstGeom>
                    <a:noFill/>
                    <a:ln>
                      <a:noFill/>
                    </a:ln>
                  </pic:spPr>
                </pic:pic>
              </a:graphicData>
            </a:graphic>
          </wp:inline>
        </w:drawing>
      </w:r>
    </w:p>
    <w:p w:rsidR="00F1791A" w:rsidRPr="00D314B9" w:rsidRDefault="00F1791A" w:rsidP="00F1791A"/>
    <w:p w:rsidR="00F1791A" w:rsidRDefault="00F1791A" w:rsidP="00F1791A">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31</w:t>
      </w:r>
      <w:r w:rsidR="00951FEC">
        <w:fldChar w:fldCharType="end"/>
      </w:r>
      <w:r>
        <w:t xml:space="preserve"> Curvas de Variación Estacional Subcuenca 0614 Costera Entre Estero Nilahue y Límite Región</w:t>
      </w:r>
    </w:p>
    <w:p w:rsidR="00F1791A" w:rsidRPr="00E05977" w:rsidRDefault="00254CE2" w:rsidP="00F1791A">
      <w:pPr>
        <w:jc w:val="center"/>
      </w:pPr>
      <w:r>
        <w:rPr>
          <w:noProof/>
          <w:lang w:val="es-CL" w:eastAsia="es-CL"/>
        </w:rPr>
        <w:drawing>
          <wp:inline distT="0" distB="0" distL="0" distR="0">
            <wp:extent cx="5210175" cy="40513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0175" cy="4051300"/>
                    </a:xfrm>
                    <a:prstGeom prst="rect">
                      <a:avLst/>
                    </a:prstGeom>
                    <a:noFill/>
                    <a:ln>
                      <a:noFill/>
                    </a:ln>
                  </pic:spPr>
                </pic:pic>
              </a:graphicData>
            </a:graphic>
          </wp:inline>
        </w:drawing>
      </w:r>
    </w:p>
    <w:p w:rsidR="00F1791A" w:rsidRDefault="00F1791A" w:rsidP="00F1791A"/>
    <w:p w:rsidR="00F1791A" w:rsidRDefault="00F1791A" w:rsidP="00F1791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21</w:t>
      </w:r>
      <w:r w:rsidR="007F3102">
        <w:fldChar w:fldCharType="end"/>
      </w:r>
      <w:r>
        <w:t xml:space="preserve"> Curvas de Variación Estacional Subcuenca 0614 </w:t>
      </w:r>
    </w:p>
    <w:tbl>
      <w:tblPr>
        <w:tblW w:w="9867" w:type="dxa"/>
        <w:jc w:val="center"/>
        <w:tblInd w:w="65" w:type="dxa"/>
        <w:tblCellMar>
          <w:left w:w="70" w:type="dxa"/>
          <w:right w:w="70" w:type="dxa"/>
        </w:tblCellMar>
        <w:tblLook w:val="0000" w:firstRow="0" w:lastRow="0" w:firstColumn="0" w:lastColumn="0" w:noHBand="0" w:noVBand="0"/>
      </w:tblPr>
      <w:tblGrid>
        <w:gridCol w:w="1483"/>
        <w:gridCol w:w="606"/>
        <w:gridCol w:w="599"/>
        <w:gridCol w:w="732"/>
        <w:gridCol w:w="732"/>
        <w:gridCol w:w="732"/>
        <w:gridCol w:w="732"/>
        <w:gridCol w:w="599"/>
        <w:gridCol w:w="599"/>
        <w:gridCol w:w="599"/>
        <w:gridCol w:w="599"/>
        <w:gridCol w:w="599"/>
        <w:gridCol w:w="606"/>
        <w:gridCol w:w="700"/>
      </w:tblGrid>
      <w:tr w:rsidR="00F1791A" w:rsidRPr="00E05977">
        <w:trPr>
          <w:trHeight w:val="275"/>
          <w:jc w:val="center"/>
        </w:trPr>
        <w:tc>
          <w:tcPr>
            <w:tcW w:w="1449" w:type="dxa"/>
            <w:tcBorders>
              <w:top w:val="single" w:sz="4" w:space="0" w:color="auto"/>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PROBABILIADAD</w:t>
            </w:r>
          </w:p>
        </w:tc>
        <w:tc>
          <w:tcPr>
            <w:tcW w:w="7731" w:type="dxa"/>
            <w:gridSpan w:val="12"/>
            <w:tcBorders>
              <w:top w:val="single" w:sz="4" w:space="0" w:color="auto"/>
              <w:left w:val="nil"/>
              <w:bottom w:val="single" w:sz="4" w:space="0" w:color="auto"/>
              <w:right w:val="single" w:sz="4" w:space="0" w:color="000000"/>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MES</w:t>
            </w:r>
          </w:p>
        </w:tc>
        <w:tc>
          <w:tcPr>
            <w:tcW w:w="68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F1791A" w:rsidRPr="00E05977" w:rsidRDefault="00F1791A" w:rsidP="00F1791A">
            <w:pPr>
              <w:jc w:val="center"/>
              <w:rPr>
                <w:rFonts w:cs="Arial"/>
                <w:b/>
                <w:bCs/>
                <w:sz w:val="16"/>
                <w:szCs w:val="16"/>
              </w:rPr>
            </w:pPr>
            <w:r w:rsidRPr="00E05977">
              <w:rPr>
                <w:rFonts w:cs="Arial"/>
                <w:b/>
                <w:bCs/>
                <w:sz w:val="16"/>
                <w:szCs w:val="16"/>
              </w:rPr>
              <w:t>ANUAL</w:t>
            </w:r>
          </w:p>
        </w:tc>
      </w:tr>
      <w:tr w:rsidR="00F1791A" w:rsidRPr="00E05977">
        <w:trPr>
          <w:trHeight w:val="275"/>
          <w:jc w:val="center"/>
        </w:trPr>
        <w:tc>
          <w:tcPr>
            <w:tcW w:w="1449"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EXCEDENCIA</w:t>
            </w:r>
          </w:p>
        </w:tc>
        <w:tc>
          <w:tcPr>
            <w:tcW w:w="606"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ABR</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MAY</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JUN</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JUL</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AGO</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SEP</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OCT</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NOV</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DIC</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ENE</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FEB</w:t>
            </w:r>
          </w:p>
        </w:tc>
        <w:tc>
          <w:tcPr>
            <w:tcW w:w="606"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b/>
                <w:bCs/>
                <w:sz w:val="16"/>
                <w:szCs w:val="16"/>
              </w:rPr>
            </w:pPr>
            <w:r w:rsidRPr="00E05977">
              <w:rPr>
                <w:rFonts w:cs="Arial"/>
                <w:b/>
                <w:bCs/>
                <w:sz w:val="16"/>
                <w:szCs w:val="16"/>
              </w:rPr>
              <w:t>MAR</w:t>
            </w:r>
          </w:p>
        </w:tc>
        <w:tc>
          <w:tcPr>
            <w:tcW w:w="684" w:type="dxa"/>
            <w:vMerge/>
            <w:tcBorders>
              <w:top w:val="single" w:sz="4" w:space="0" w:color="auto"/>
              <w:left w:val="single" w:sz="4" w:space="0" w:color="auto"/>
              <w:bottom w:val="single" w:sz="4" w:space="0" w:color="000000"/>
              <w:right w:val="single" w:sz="4" w:space="0" w:color="auto"/>
            </w:tcBorders>
            <w:vAlign w:val="center"/>
          </w:tcPr>
          <w:p w:rsidR="00F1791A" w:rsidRPr="00E05977" w:rsidRDefault="00F1791A" w:rsidP="00F1791A">
            <w:pPr>
              <w:jc w:val="left"/>
              <w:rPr>
                <w:rFonts w:cs="Arial"/>
                <w:b/>
                <w:bCs/>
                <w:sz w:val="16"/>
                <w:szCs w:val="16"/>
              </w:rPr>
            </w:pPr>
          </w:p>
        </w:tc>
      </w:tr>
      <w:tr w:rsidR="00F1791A" w:rsidRPr="00E05977">
        <w:trPr>
          <w:trHeight w:val="275"/>
          <w:jc w:val="center"/>
        </w:trPr>
        <w:tc>
          <w:tcPr>
            <w:tcW w:w="1449"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10 %</w:t>
            </w:r>
          </w:p>
        </w:tc>
        <w:tc>
          <w:tcPr>
            <w:tcW w:w="606"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1.021</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5.066</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20.348</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35.285</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27.541</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12.025</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3.586</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1.568</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0.468</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0.113</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0.068</w:t>
            </w:r>
          </w:p>
        </w:tc>
        <w:tc>
          <w:tcPr>
            <w:tcW w:w="606"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0.250</w:t>
            </w:r>
          </w:p>
        </w:tc>
        <w:tc>
          <w:tcPr>
            <w:tcW w:w="684"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9.178</w:t>
            </w:r>
          </w:p>
        </w:tc>
      </w:tr>
      <w:tr w:rsidR="00F1791A" w:rsidRPr="00E05977">
        <w:trPr>
          <w:trHeight w:val="275"/>
          <w:jc w:val="center"/>
        </w:trPr>
        <w:tc>
          <w:tcPr>
            <w:tcW w:w="1449" w:type="dxa"/>
            <w:tcBorders>
              <w:top w:val="nil"/>
              <w:left w:val="single" w:sz="4" w:space="0" w:color="auto"/>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50 %</w:t>
            </w:r>
          </w:p>
        </w:tc>
        <w:tc>
          <w:tcPr>
            <w:tcW w:w="606"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0.194</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0.804</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2.056</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3.875</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3.724</w:t>
            </w:r>
          </w:p>
        </w:tc>
        <w:tc>
          <w:tcPr>
            <w:tcW w:w="732"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2.825</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1.825</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0.495</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0.155</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0.034</w:t>
            </w:r>
          </w:p>
        </w:tc>
        <w:tc>
          <w:tcPr>
            <w:tcW w:w="599" w:type="dxa"/>
            <w:tcBorders>
              <w:top w:val="nil"/>
              <w:left w:val="nil"/>
              <w:bottom w:val="nil"/>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0.009</w:t>
            </w:r>
          </w:p>
        </w:tc>
        <w:tc>
          <w:tcPr>
            <w:tcW w:w="606"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0.010</w:t>
            </w:r>
          </w:p>
        </w:tc>
        <w:tc>
          <w:tcPr>
            <w:tcW w:w="684" w:type="dxa"/>
            <w:tcBorders>
              <w:top w:val="nil"/>
              <w:left w:val="nil"/>
              <w:bottom w:val="nil"/>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2.133</w:t>
            </w:r>
          </w:p>
        </w:tc>
      </w:tr>
      <w:tr w:rsidR="00F1791A" w:rsidRPr="00E05977">
        <w:trPr>
          <w:trHeight w:val="275"/>
          <w:jc w:val="center"/>
        </w:trPr>
        <w:tc>
          <w:tcPr>
            <w:tcW w:w="1449" w:type="dxa"/>
            <w:tcBorders>
              <w:top w:val="nil"/>
              <w:left w:val="single" w:sz="4" w:space="0" w:color="auto"/>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85 %</w:t>
            </w:r>
          </w:p>
        </w:tc>
        <w:tc>
          <w:tcPr>
            <w:tcW w:w="606"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0.004</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0.186</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0.457</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0.576</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0.581</w:t>
            </w:r>
          </w:p>
        </w:tc>
        <w:tc>
          <w:tcPr>
            <w:tcW w:w="732"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0.558</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0.338</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0.146</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0.045</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0.010</w:t>
            </w:r>
          </w:p>
        </w:tc>
        <w:tc>
          <w:tcPr>
            <w:tcW w:w="599" w:type="dxa"/>
            <w:tcBorders>
              <w:top w:val="nil"/>
              <w:left w:val="nil"/>
              <w:bottom w:val="single" w:sz="4" w:space="0" w:color="auto"/>
              <w:right w:val="nil"/>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0.003</w:t>
            </w:r>
          </w:p>
        </w:tc>
        <w:tc>
          <w:tcPr>
            <w:tcW w:w="606"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0.000</w:t>
            </w:r>
          </w:p>
        </w:tc>
        <w:tc>
          <w:tcPr>
            <w:tcW w:w="684" w:type="dxa"/>
            <w:tcBorders>
              <w:top w:val="nil"/>
              <w:left w:val="nil"/>
              <w:bottom w:val="single" w:sz="4" w:space="0" w:color="auto"/>
              <w:right w:val="single" w:sz="4" w:space="0" w:color="auto"/>
            </w:tcBorders>
            <w:shd w:val="clear" w:color="auto" w:fill="auto"/>
            <w:noWrap/>
            <w:vAlign w:val="bottom"/>
          </w:tcPr>
          <w:p w:rsidR="00F1791A" w:rsidRPr="00E05977" w:rsidRDefault="00F1791A" w:rsidP="00F1791A">
            <w:pPr>
              <w:jc w:val="center"/>
              <w:rPr>
                <w:rFonts w:cs="Arial"/>
                <w:sz w:val="16"/>
                <w:szCs w:val="16"/>
              </w:rPr>
            </w:pPr>
            <w:r w:rsidRPr="00E05977">
              <w:rPr>
                <w:rFonts w:cs="Arial"/>
                <w:sz w:val="16"/>
                <w:szCs w:val="16"/>
              </w:rPr>
              <w:t>0.563</w:t>
            </w:r>
          </w:p>
        </w:tc>
      </w:tr>
    </w:tbl>
    <w:p w:rsidR="00F1791A" w:rsidRDefault="00F1791A" w:rsidP="00F1791A">
      <w:pPr>
        <w:rPr>
          <w:color w:val="FF0000"/>
        </w:rPr>
      </w:pPr>
    </w:p>
    <w:p w:rsidR="00F1791A" w:rsidRDefault="00F1791A" w:rsidP="00F1791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4</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32</w:t>
      </w:r>
      <w:r w:rsidR="00951FEC">
        <w:fldChar w:fldCharType="end"/>
      </w:r>
      <w:r>
        <w:t xml:space="preserve"> Curva de </w:t>
      </w:r>
      <w:r w:rsidR="00B46EF2">
        <w:t xml:space="preserve">Duración Subcuenca 614 </w:t>
      </w:r>
    </w:p>
    <w:p w:rsidR="00FF1CA9" w:rsidRDefault="00254CE2" w:rsidP="00663DB9">
      <w:pPr>
        <w:jc w:val="center"/>
      </w:pPr>
      <w:r>
        <w:rPr>
          <w:noProof/>
          <w:lang w:val="es-CL" w:eastAsia="es-CL"/>
        </w:rPr>
        <w:drawing>
          <wp:inline distT="0" distB="0" distL="0" distR="0">
            <wp:extent cx="4316730" cy="2158365"/>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16730" cy="2158365"/>
                    </a:xfrm>
                    <a:prstGeom prst="rect">
                      <a:avLst/>
                    </a:prstGeom>
                    <a:noFill/>
                    <a:ln>
                      <a:noFill/>
                    </a:ln>
                  </pic:spPr>
                </pic:pic>
              </a:graphicData>
            </a:graphic>
          </wp:inline>
        </w:drawing>
      </w:r>
    </w:p>
    <w:p w:rsidR="00A87F61" w:rsidRPr="00101DD0" w:rsidRDefault="00A87F61" w:rsidP="00A87F61">
      <w:pPr>
        <w:rPr>
          <w:rFonts w:cs="Arial"/>
          <w:lang w:val="es-CL"/>
        </w:rPr>
      </w:pPr>
      <w:r>
        <w:rPr>
          <w:rFonts w:cs="Arial"/>
          <w:lang w:val="es-CL"/>
        </w:rPr>
        <w:lastRenderedPageBreak/>
        <w:t>Finalmente a modo de resumen se entrega en el  Plano 5 una síntesis de la oferta hidrológica superficial a nivel de subcuencas.</w:t>
      </w:r>
    </w:p>
    <w:p w:rsidR="00A87F61" w:rsidRPr="00A87F61" w:rsidRDefault="00A87F61" w:rsidP="00A87F61"/>
    <w:p w:rsidR="00FF1CA9" w:rsidRDefault="00FF1CA9" w:rsidP="00FF1CA9">
      <w:pPr>
        <w:pStyle w:val="Ttulo2"/>
      </w:pPr>
      <w:bookmarkStart w:id="210" w:name="_Toc344391813"/>
      <w:r>
        <w:t>Caudal Ecológico</w:t>
      </w:r>
      <w:bookmarkEnd w:id="210"/>
    </w:p>
    <w:p w:rsidR="00FF1CA9" w:rsidRDefault="00FF1CA9" w:rsidP="00FF1CA9"/>
    <w:p w:rsidR="00FF1CA9" w:rsidRDefault="00FF1CA9" w:rsidP="00FF1CA9">
      <w:r>
        <w:t xml:space="preserve">Para la determinación del caudal ecológico se utilizó como referencia el Manual de Normas y Procedimientos para </w:t>
      </w:r>
      <w:smartTag w:uri="urn:schemas-microsoft-com:office:smarttags" w:element="PersonName">
        <w:smartTagPr>
          <w:attr w:name="ProductID" w:val="la Administración"/>
        </w:smartTagPr>
        <w:r>
          <w:t>la Administración</w:t>
        </w:r>
      </w:smartTag>
      <w:r>
        <w:t xml:space="preserve"> de los Recursos Hídricos (DGA, 2008).</w:t>
      </w:r>
    </w:p>
    <w:p w:rsidR="00FF1CA9" w:rsidRDefault="00FF1CA9" w:rsidP="00FF1CA9"/>
    <w:p w:rsidR="00FF1CA9" w:rsidRDefault="00FF1CA9" w:rsidP="00FF1CA9">
      <w:r>
        <w:t>El criterio para calcular el caudal ecológico consiste en considerar los caudales asociados a 50% del caudal de probabilidad de excedencia (PE) del 95%, para cada mes, con las restricciones siguientes:</w:t>
      </w:r>
    </w:p>
    <w:p w:rsidR="00FF1CA9" w:rsidRDefault="00FF1CA9" w:rsidP="00FF1CA9"/>
    <w:p w:rsidR="00FF1CA9" w:rsidRDefault="00FF1CA9" w:rsidP="00FF1CA9">
      <w:r>
        <w:t>-Para aquellos meses, en los cuales el caudal determinado para el 50% del Q 95%PE es menor al caudal determinado para el 20% del caudal medio anual, entonces el caudal mínimo ecológico en esos meses será el 50% del Q 95%PE.</w:t>
      </w:r>
    </w:p>
    <w:p w:rsidR="00FF1CA9" w:rsidRDefault="00FF1CA9" w:rsidP="00FF1CA9"/>
    <w:p w:rsidR="00FF1CA9" w:rsidRDefault="00FF1CA9" w:rsidP="00FF1CA9">
      <w:r>
        <w:t>-Para aquellos meses, en los cuales el caudal determinado para el 50% del Q 95%PE es mayor al caudal determinado para el 20% del caudal medio anual, entonces el caudal mínimo ecológico en esos meses será el 20% del caudal medio anual.</w:t>
      </w:r>
    </w:p>
    <w:p w:rsidR="00FF1CA9" w:rsidRDefault="00FF1CA9" w:rsidP="00FF1CA9"/>
    <w:p w:rsidR="00FF1CA9" w:rsidRDefault="00FF1CA9" w:rsidP="00FF1CA9">
      <w:r>
        <w:t>En las cuencas costeras, los caudales asociados al 50% del Q 95%PE son nulos para algunos meses, por lo cual se obtendría un caudal ecológico igual a cero. Para que esta situación no se produzca, se considera un caudal ecológico único para todos los meses y equivalente al 10% del caudal medio anual.</w:t>
      </w:r>
    </w:p>
    <w:p w:rsidR="00FF1CA9" w:rsidRDefault="00FF1CA9" w:rsidP="00FF1CA9"/>
    <w:p w:rsidR="00FF1CA9" w:rsidRDefault="00FF1CA9" w:rsidP="00FF1CA9">
      <w:r>
        <w:t xml:space="preserve">Los caudales ecológicos calculados para cada una de las cuencas de la región se muestran en </w:t>
      </w:r>
      <w:smartTag w:uri="urn:schemas-microsoft-com:office:smarttags" w:element="PersonName">
        <w:smartTagPr>
          <w:attr w:name="ProductID" w:val="la ￼￼￼￼￼￼￼￼￼￼￼￼￼￼￼￼￼￼￼￼￼￼￼￼￼￼￼￼￼￼￼￼￼￼￼￼￼￼￼￼￼Tabla"/>
        </w:smartTagPr>
        <w:r>
          <w:t xml:space="preserve">la </w:t>
        </w:r>
        <w:r>
          <w:fldChar w:fldCharType="begin"/>
        </w:r>
        <w:r>
          <w:instrText xml:space="preserve"> REF _Ref341803833 \h </w:instrText>
        </w:r>
        <w:r>
          <w:fldChar w:fldCharType="separate"/>
        </w:r>
        <w:r w:rsidR="00264070">
          <w:t>Tabla</w:t>
        </w:r>
      </w:smartTag>
      <w:r w:rsidR="00264070">
        <w:t xml:space="preserve"> </w:t>
      </w:r>
      <w:r w:rsidR="00264070">
        <w:rPr>
          <w:noProof/>
        </w:rPr>
        <w:t>4</w:t>
      </w:r>
      <w:r w:rsidR="00264070">
        <w:t>.</w:t>
      </w:r>
      <w:r w:rsidR="00264070">
        <w:rPr>
          <w:noProof/>
        </w:rPr>
        <w:t>22</w:t>
      </w:r>
      <w:r>
        <w:fldChar w:fldCharType="end"/>
      </w:r>
      <w:r>
        <w:t>.</w:t>
      </w:r>
    </w:p>
    <w:p w:rsidR="00FF1CA9" w:rsidRDefault="00FF1CA9" w:rsidP="00FF1CA9"/>
    <w:p w:rsidR="00FF1CA9" w:rsidRDefault="00FF1CA9" w:rsidP="00FF1CA9">
      <w:pPr>
        <w:pStyle w:val="Epgrafe"/>
        <w:keepNext/>
      </w:pPr>
      <w:bookmarkStart w:id="211" w:name="_Ref341803833"/>
      <w:r>
        <w:t xml:space="preserve">Tabla </w:t>
      </w:r>
      <w:r w:rsidR="007F3102">
        <w:fldChar w:fldCharType="begin"/>
      </w:r>
      <w:r w:rsidR="007F3102">
        <w:instrText xml:space="preserve"> STYLEREF 1 \s </w:instrText>
      </w:r>
      <w:r w:rsidR="007F3102">
        <w:fldChar w:fldCharType="separate"/>
      </w:r>
      <w:r w:rsidR="00264070">
        <w:rPr>
          <w:noProof/>
        </w:rPr>
        <w:t>4</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22</w:t>
      </w:r>
      <w:r w:rsidR="007F3102">
        <w:fldChar w:fldCharType="end"/>
      </w:r>
      <w:bookmarkEnd w:id="211"/>
      <w:r>
        <w:t xml:space="preserve"> Caudal Ecológico Subcuencas VI Región</w:t>
      </w:r>
    </w:p>
    <w:tbl>
      <w:tblPr>
        <w:tblW w:w="8840" w:type="dxa"/>
        <w:jc w:val="center"/>
        <w:tblInd w:w="55" w:type="dxa"/>
        <w:tblCellMar>
          <w:left w:w="70" w:type="dxa"/>
          <w:right w:w="70" w:type="dxa"/>
        </w:tblCellMar>
        <w:tblLook w:val="04A0" w:firstRow="1" w:lastRow="0" w:firstColumn="1" w:lastColumn="0" w:noHBand="0" w:noVBand="1"/>
      </w:tblPr>
      <w:tblGrid>
        <w:gridCol w:w="680"/>
        <w:gridCol w:w="680"/>
        <w:gridCol w:w="680"/>
        <w:gridCol w:w="680"/>
        <w:gridCol w:w="680"/>
        <w:gridCol w:w="680"/>
        <w:gridCol w:w="680"/>
        <w:gridCol w:w="680"/>
        <w:gridCol w:w="680"/>
        <w:gridCol w:w="680"/>
        <w:gridCol w:w="680"/>
        <w:gridCol w:w="680"/>
        <w:gridCol w:w="680"/>
      </w:tblGrid>
      <w:tr w:rsidR="00FF1CA9" w:rsidRPr="0019465E">
        <w:trPr>
          <w:trHeight w:val="22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Q ec</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ABR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MAY</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JUN</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JUL</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AGO</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SEP</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OCT</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NOV</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DIC</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ENE</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FEB</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b/>
                <w:bCs/>
                <w:sz w:val="16"/>
                <w:szCs w:val="16"/>
                <w:lang w:val="es-CL" w:eastAsia="es-CL"/>
              </w:rPr>
            </w:pPr>
            <w:r w:rsidRPr="0019465E">
              <w:rPr>
                <w:rFonts w:cs="Arial"/>
                <w:b/>
                <w:bCs/>
                <w:sz w:val="16"/>
                <w:szCs w:val="16"/>
                <w:lang w:val="es-CL" w:eastAsia="es-CL"/>
              </w:rPr>
              <w:t>MAR</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0571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0,662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0,876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0,962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0,991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0,991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0,414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0,519</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0,565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0,447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0,491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0,328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0,732</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16,516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14,162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11,742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12,606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13,736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14,827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19,213</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9,908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15,217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11,837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18,443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18,443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13,782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4,210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8,584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8,569</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5,296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3,702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6,687</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6,669</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5,635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5,412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6,777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7,985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10,032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12,498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12,498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12,498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12,498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12,498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11,731</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1,186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5,316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8,934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11,783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9,635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2,934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0,697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0,535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0,965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0,578</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0,145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0,434</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0,036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0,063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0,127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0,334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0,292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0,195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0,079</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0,031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0,011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0,009</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0,020</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0605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17,367</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25,305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19,451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29,633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32,292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15,635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17,060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20,716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19,951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15,775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9,335</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13,320</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0,054</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0611</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0,316</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0612</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0,243</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0613</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1,310</w:t>
            </w:r>
          </w:p>
        </w:tc>
      </w:tr>
      <w:tr w:rsidR="00FF1CA9" w:rsidRPr="0019465E">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0614</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c>
          <w:tcPr>
            <w:tcW w:w="680" w:type="dxa"/>
            <w:tcBorders>
              <w:top w:val="nil"/>
              <w:left w:val="nil"/>
              <w:bottom w:val="single" w:sz="4" w:space="0" w:color="auto"/>
              <w:right w:val="single" w:sz="4" w:space="0" w:color="auto"/>
            </w:tcBorders>
            <w:shd w:val="clear" w:color="auto" w:fill="auto"/>
            <w:noWrap/>
            <w:vAlign w:val="bottom"/>
          </w:tcPr>
          <w:p w:rsidR="00FF1CA9" w:rsidRPr="0019465E" w:rsidRDefault="00FF1CA9" w:rsidP="003E37B9">
            <w:pPr>
              <w:jc w:val="center"/>
              <w:rPr>
                <w:rFonts w:cs="Arial"/>
                <w:sz w:val="16"/>
                <w:szCs w:val="16"/>
                <w:lang w:val="es-CL" w:eastAsia="es-CL"/>
              </w:rPr>
            </w:pPr>
            <w:r w:rsidRPr="0019465E">
              <w:rPr>
                <w:rFonts w:cs="Arial"/>
                <w:sz w:val="16"/>
                <w:szCs w:val="16"/>
                <w:lang w:val="es-CL" w:eastAsia="es-CL"/>
              </w:rPr>
              <w:t>0,360</w:t>
            </w:r>
          </w:p>
        </w:tc>
      </w:tr>
    </w:tbl>
    <w:p w:rsidR="00FF1CA9" w:rsidRPr="00A22C37" w:rsidRDefault="00FF1CA9" w:rsidP="00FF1CA9"/>
    <w:p w:rsidR="00F1791A" w:rsidRDefault="00F1791A" w:rsidP="00F1791A">
      <w:pPr>
        <w:widowControl w:val="0"/>
      </w:pPr>
    </w:p>
    <w:p w:rsidR="00BF4739" w:rsidRPr="008A416B" w:rsidRDefault="009C6FD3" w:rsidP="00B51B51">
      <w:pPr>
        <w:pStyle w:val="Ttulo1"/>
        <w:keepNext w:val="0"/>
        <w:widowControl w:val="0"/>
      </w:pPr>
      <w:r>
        <w:br w:type="page"/>
      </w:r>
      <w:bookmarkStart w:id="212" w:name="_Toc344391814"/>
      <w:r w:rsidR="00BF4739" w:rsidRPr="008A416B">
        <w:lastRenderedPageBreak/>
        <w:t>CARACTERIZACIÓN DE LAS DEMANDAS</w:t>
      </w:r>
      <w:bookmarkEnd w:id="212"/>
    </w:p>
    <w:p w:rsidR="004C4EE9" w:rsidRPr="008A416B" w:rsidRDefault="004C4EE9" w:rsidP="00B51B51">
      <w:pPr>
        <w:widowControl w:val="0"/>
      </w:pPr>
    </w:p>
    <w:p w:rsidR="00BF4739" w:rsidRPr="008A416B" w:rsidRDefault="00BF4739" w:rsidP="00B51B51">
      <w:pPr>
        <w:pStyle w:val="Ttulo2"/>
        <w:keepNext w:val="0"/>
      </w:pPr>
      <w:bookmarkStart w:id="213" w:name="_Toc344391815"/>
      <w:r w:rsidRPr="008A416B">
        <w:t>Alcances</w:t>
      </w:r>
      <w:bookmarkEnd w:id="213"/>
    </w:p>
    <w:p w:rsidR="007032C9" w:rsidRPr="008A416B" w:rsidRDefault="007032C9" w:rsidP="00B51B51">
      <w:pPr>
        <w:widowControl w:val="0"/>
        <w:rPr>
          <w:rFonts w:cs="Arial"/>
          <w:szCs w:val="22"/>
        </w:rPr>
      </w:pPr>
    </w:p>
    <w:p w:rsidR="004F5E48" w:rsidRPr="008A416B" w:rsidRDefault="004F5E48" w:rsidP="00B51B51">
      <w:pPr>
        <w:widowControl w:val="0"/>
        <w:rPr>
          <w:rFonts w:cs="Arial"/>
          <w:szCs w:val="22"/>
        </w:rPr>
      </w:pPr>
      <w:r w:rsidRPr="008A416B">
        <w:rPr>
          <w:rFonts w:cs="Arial"/>
          <w:szCs w:val="22"/>
        </w:rPr>
        <w:t>En el presente capítulo se entrega una caracterización de las demandas asociadas a los principales usos de la</w:t>
      </w:r>
      <w:r w:rsidR="00B57365" w:rsidRPr="008A416B">
        <w:rPr>
          <w:rFonts w:cs="Arial"/>
          <w:szCs w:val="22"/>
        </w:rPr>
        <w:t>s cuencas de la</w:t>
      </w:r>
      <w:r w:rsidR="0054616A">
        <w:rPr>
          <w:rFonts w:cs="Arial"/>
          <w:szCs w:val="22"/>
        </w:rPr>
        <w:t xml:space="preserve"> región de O’Higgins,</w:t>
      </w:r>
      <w:r w:rsidRPr="008A416B">
        <w:rPr>
          <w:rFonts w:cs="Arial"/>
          <w:szCs w:val="22"/>
        </w:rPr>
        <w:t xml:space="preserve"> el cual considera un análisis histórico</w:t>
      </w:r>
      <w:r w:rsidR="0054616A">
        <w:rPr>
          <w:rFonts w:cs="Arial"/>
          <w:szCs w:val="22"/>
        </w:rPr>
        <w:t>,</w:t>
      </w:r>
      <w:r w:rsidRPr="008A416B">
        <w:rPr>
          <w:rFonts w:cs="Arial"/>
          <w:szCs w:val="22"/>
        </w:rPr>
        <w:t xml:space="preserve"> de la situación actual (año 2012) y situación futura (año 2030).</w:t>
      </w:r>
    </w:p>
    <w:p w:rsidR="004F5E48" w:rsidRPr="008A416B" w:rsidRDefault="004F5E48" w:rsidP="00B51B51">
      <w:pPr>
        <w:widowControl w:val="0"/>
        <w:rPr>
          <w:rFonts w:cs="Arial"/>
          <w:szCs w:val="22"/>
        </w:rPr>
      </w:pPr>
    </w:p>
    <w:p w:rsidR="004F5E48" w:rsidRPr="008A416B" w:rsidRDefault="004F5E48" w:rsidP="00B51B51">
      <w:pPr>
        <w:widowControl w:val="0"/>
        <w:rPr>
          <w:rFonts w:cs="Arial"/>
          <w:szCs w:val="22"/>
        </w:rPr>
      </w:pPr>
      <w:r w:rsidRPr="008A416B">
        <w:rPr>
          <w:rFonts w:cs="Arial"/>
          <w:szCs w:val="22"/>
        </w:rPr>
        <w:t xml:space="preserve">La caracterización de las demandas se </w:t>
      </w:r>
      <w:r w:rsidR="00462843" w:rsidRPr="008A416B">
        <w:rPr>
          <w:rFonts w:cs="Arial"/>
          <w:szCs w:val="22"/>
        </w:rPr>
        <w:t>ha realizado para el sector agropecuario, agua potable, industrial, minería y otros, estableciéndose una diferenciación</w:t>
      </w:r>
      <w:r w:rsidRPr="008A416B">
        <w:rPr>
          <w:rFonts w:cs="Arial"/>
          <w:szCs w:val="22"/>
        </w:rPr>
        <w:t xml:space="preserve"> según derechos y según usos.</w:t>
      </w:r>
    </w:p>
    <w:p w:rsidR="004F5E48" w:rsidRPr="008A416B" w:rsidRDefault="004F5E48" w:rsidP="00B51B51">
      <w:pPr>
        <w:widowControl w:val="0"/>
        <w:rPr>
          <w:rFonts w:cs="Arial"/>
          <w:szCs w:val="22"/>
        </w:rPr>
      </w:pPr>
    </w:p>
    <w:p w:rsidR="004F5E48" w:rsidRPr="008A416B" w:rsidRDefault="004F5E48" w:rsidP="00B51B51">
      <w:pPr>
        <w:widowControl w:val="0"/>
        <w:rPr>
          <w:rFonts w:cs="Arial"/>
          <w:szCs w:val="22"/>
        </w:rPr>
      </w:pPr>
      <w:r w:rsidRPr="008A416B">
        <w:rPr>
          <w:rFonts w:cs="Arial"/>
          <w:szCs w:val="22"/>
        </w:rPr>
        <w:t xml:space="preserve">En el caso particular de la caracterización de las demandas según derechos se ha utilizado la información proveniente del Catastro Público de Aguas (CPA), mientras que para la caracterización según usos </w:t>
      </w:r>
      <w:r w:rsidR="003201FA" w:rsidRPr="008A416B">
        <w:rPr>
          <w:rFonts w:cs="Arial"/>
          <w:szCs w:val="22"/>
        </w:rPr>
        <w:t>s</w:t>
      </w:r>
      <w:r w:rsidRPr="008A416B">
        <w:rPr>
          <w:rFonts w:cs="Arial"/>
          <w:szCs w:val="22"/>
        </w:rPr>
        <w:t xml:space="preserve">e ha utilizado información proveniente de planes de desarrollo así como </w:t>
      </w:r>
      <w:r w:rsidR="00462843" w:rsidRPr="008A416B">
        <w:rPr>
          <w:rFonts w:cs="Arial"/>
          <w:szCs w:val="22"/>
        </w:rPr>
        <w:t xml:space="preserve">también </w:t>
      </w:r>
      <w:r w:rsidR="00270016" w:rsidRPr="008A416B">
        <w:rPr>
          <w:rFonts w:cs="Arial"/>
          <w:szCs w:val="22"/>
        </w:rPr>
        <w:t>estimaciones indirectas a través de metodologías específicas de cada sector.</w:t>
      </w:r>
    </w:p>
    <w:p w:rsidR="00270016" w:rsidRPr="008A416B" w:rsidRDefault="00270016" w:rsidP="00B51B51">
      <w:pPr>
        <w:widowControl w:val="0"/>
        <w:rPr>
          <w:rFonts w:cs="Arial"/>
          <w:szCs w:val="22"/>
        </w:rPr>
      </w:pPr>
    </w:p>
    <w:p w:rsidR="00270016" w:rsidRPr="008A416B" w:rsidRDefault="00270016" w:rsidP="00B51B51">
      <w:pPr>
        <w:widowControl w:val="0"/>
        <w:rPr>
          <w:rFonts w:cs="Arial"/>
          <w:szCs w:val="22"/>
        </w:rPr>
      </w:pPr>
      <w:r w:rsidRPr="008A416B">
        <w:rPr>
          <w:rFonts w:cs="Arial"/>
          <w:szCs w:val="22"/>
        </w:rPr>
        <w:t xml:space="preserve">Para la caracterización histórica de las demandas se ha </w:t>
      </w:r>
      <w:r w:rsidR="003201FA" w:rsidRPr="008A416B">
        <w:rPr>
          <w:rFonts w:cs="Arial"/>
          <w:szCs w:val="22"/>
        </w:rPr>
        <w:t>empleado</w:t>
      </w:r>
      <w:r w:rsidRPr="008A416B">
        <w:rPr>
          <w:rFonts w:cs="Arial"/>
          <w:szCs w:val="22"/>
        </w:rPr>
        <w:t xml:space="preserve"> como referencia la revisión de información consignada </w:t>
      </w:r>
      <w:r w:rsidR="00BD7B05" w:rsidRPr="008A416B">
        <w:rPr>
          <w:rFonts w:cs="Arial"/>
          <w:szCs w:val="22"/>
        </w:rPr>
        <w:t>en estudios técnicos que se han realizado previamente y donde se han realizados diversas estimaciones de la demanda para distintos sectores</w:t>
      </w:r>
      <w:r w:rsidR="003201FA" w:rsidRPr="008A416B">
        <w:rPr>
          <w:rFonts w:cs="Arial"/>
          <w:szCs w:val="22"/>
        </w:rPr>
        <w:t xml:space="preserve"> a nivel de cuencas</w:t>
      </w:r>
      <w:r w:rsidR="0054616A">
        <w:rPr>
          <w:rFonts w:cs="Arial"/>
          <w:szCs w:val="22"/>
        </w:rPr>
        <w:t>.</w:t>
      </w:r>
      <w:r w:rsidR="00BD7B05" w:rsidRPr="008A416B">
        <w:rPr>
          <w:rFonts w:cs="Arial"/>
          <w:szCs w:val="22"/>
        </w:rPr>
        <w:t xml:space="preserve"> Estos estudios son los siguientes:</w:t>
      </w:r>
    </w:p>
    <w:p w:rsidR="00BD7B05" w:rsidRPr="008A416B" w:rsidRDefault="00BD7B05" w:rsidP="00B51B51">
      <w:pPr>
        <w:widowControl w:val="0"/>
        <w:rPr>
          <w:rFonts w:cs="Arial"/>
          <w:szCs w:val="22"/>
        </w:rPr>
      </w:pPr>
    </w:p>
    <w:p w:rsidR="00BD7B05" w:rsidRPr="008A416B" w:rsidRDefault="00DA3EFF" w:rsidP="00145762">
      <w:pPr>
        <w:pStyle w:val="NormalSangra"/>
        <w:numPr>
          <w:ilvl w:val="0"/>
          <w:numId w:val="1"/>
        </w:numPr>
        <w:tabs>
          <w:tab w:val="clear" w:pos="870"/>
        </w:tabs>
        <w:ind w:left="709" w:hanging="709"/>
        <w:rPr>
          <w:sz w:val="22"/>
          <w:szCs w:val="22"/>
        </w:rPr>
      </w:pPr>
      <w:r w:rsidRPr="008A416B">
        <w:rPr>
          <w:sz w:val="22"/>
          <w:szCs w:val="22"/>
        </w:rPr>
        <w:t>Análisis del Uso Actual y Futuro de los Recursos Hídricos de Chile. IPLA, 1996.</w:t>
      </w:r>
    </w:p>
    <w:p w:rsidR="00DA3EFF" w:rsidRPr="008A416B" w:rsidRDefault="00DA3EFF" w:rsidP="00145762">
      <w:pPr>
        <w:pStyle w:val="NormalSangra"/>
        <w:numPr>
          <w:ilvl w:val="0"/>
          <w:numId w:val="1"/>
        </w:numPr>
        <w:tabs>
          <w:tab w:val="clear" w:pos="870"/>
        </w:tabs>
        <w:ind w:left="709" w:hanging="709"/>
        <w:rPr>
          <w:sz w:val="22"/>
          <w:szCs w:val="22"/>
        </w:rPr>
      </w:pPr>
      <w:r w:rsidRPr="008A416B">
        <w:rPr>
          <w:sz w:val="22"/>
          <w:szCs w:val="22"/>
        </w:rPr>
        <w:t>Estimaciones de Demanda de Agua y Proyecciones Futuras</w:t>
      </w:r>
      <w:r w:rsidR="0054616A">
        <w:rPr>
          <w:sz w:val="22"/>
          <w:szCs w:val="22"/>
        </w:rPr>
        <w:t xml:space="preserve"> Zona II</w:t>
      </w:r>
      <w:r w:rsidRPr="008A416B">
        <w:rPr>
          <w:sz w:val="22"/>
          <w:szCs w:val="22"/>
        </w:rPr>
        <w:t>: Regiones V a XII y Región Metropolitana. Ayala, Cabrera y Asociados Ltda., 2007.</w:t>
      </w:r>
    </w:p>
    <w:p w:rsidR="00BF4739" w:rsidRPr="008A416B" w:rsidRDefault="00BF4739" w:rsidP="00B51B51">
      <w:pPr>
        <w:widowControl w:val="0"/>
        <w:rPr>
          <w:rFonts w:cs="Arial"/>
          <w:szCs w:val="22"/>
        </w:rPr>
      </w:pPr>
    </w:p>
    <w:p w:rsidR="004C4EE9" w:rsidRPr="008A416B" w:rsidRDefault="004C4EE9" w:rsidP="00B51B51">
      <w:pPr>
        <w:widowControl w:val="0"/>
        <w:rPr>
          <w:rFonts w:cs="Arial"/>
          <w:szCs w:val="22"/>
        </w:rPr>
      </w:pPr>
      <w:bookmarkStart w:id="214" w:name="OLE_LINK5"/>
      <w:bookmarkStart w:id="215" w:name="OLE_LINK6"/>
      <w:r w:rsidRPr="008A416B">
        <w:rPr>
          <w:rFonts w:cs="Arial"/>
          <w:szCs w:val="22"/>
        </w:rPr>
        <w:t>Respecto de la estimación de las demandas según consumo, las estimaciones se han realizado a partir de la información pública que se cuenta de estos sectores, En aquellos caos en que no se ha dispuesto de dicha información se han realizado estimaciones de tipo indirecto.</w:t>
      </w:r>
    </w:p>
    <w:p w:rsidR="004C4EE9" w:rsidRPr="008A416B" w:rsidRDefault="004C4EE9" w:rsidP="00B51B51">
      <w:pPr>
        <w:widowControl w:val="0"/>
        <w:rPr>
          <w:rFonts w:cs="Arial"/>
          <w:szCs w:val="22"/>
        </w:rPr>
      </w:pPr>
    </w:p>
    <w:p w:rsidR="004C4EE9" w:rsidRPr="008A416B" w:rsidRDefault="004C4EE9" w:rsidP="00B51B51">
      <w:pPr>
        <w:widowControl w:val="0"/>
        <w:rPr>
          <w:rFonts w:cs="Arial"/>
          <w:szCs w:val="22"/>
        </w:rPr>
      </w:pPr>
      <w:r w:rsidRPr="008A416B">
        <w:rPr>
          <w:rFonts w:cs="Arial"/>
          <w:szCs w:val="22"/>
        </w:rPr>
        <w:t>En lo que sigue se presenta una descripción en detalle de las metodologías y resultados alcanzados en la estimación de las demandas.</w:t>
      </w:r>
    </w:p>
    <w:p w:rsidR="004C4EE9" w:rsidRPr="008A416B" w:rsidRDefault="004C4EE9" w:rsidP="00B51B51">
      <w:pPr>
        <w:widowControl w:val="0"/>
        <w:rPr>
          <w:rFonts w:cs="Arial"/>
          <w:szCs w:val="22"/>
        </w:rPr>
      </w:pPr>
    </w:p>
    <w:p w:rsidR="009057BF" w:rsidRPr="008A416B" w:rsidRDefault="009A32C6" w:rsidP="00B51B51">
      <w:pPr>
        <w:pStyle w:val="Ttulo2"/>
        <w:keepNext w:val="0"/>
      </w:pPr>
      <w:bookmarkStart w:id="216" w:name="_Toc344391816"/>
      <w:bookmarkEnd w:id="214"/>
      <w:bookmarkEnd w:id="215"/>
      <w:r w:rsidRPr="008A416B">
        <w:t>Sistematización de Información de Derechos de Aprovechamiento</w:t>
      </w:r>
      <w:bookmarkEnd w:id="216"/>
    </w:p>
    <w:p w:rsidR="00557855" w:rsidRPr="008A416B" w:rsidRDefault="00557855" w:rsidP="00B51B51">
      <w:pPr>
        <w:widowControl w:val="0"/>
      </w:pPr>
    </w:p>
    <w:p w:rsidR="00557855" w:rsidRPr="008A416B" w:rsidRDefault="00557855" w:rsidP="00B51B51">
      <w:pPr>
        <w:widowControl w:val="0"/>
      </w:pPr>
      <w:r w:rsidRPr="008A416B">
        <w:t xml:space="preserve">Tal como fue mencionado </w:t>
      </w:r>
      <w:r w:rsidR="00383B80" w:rsidRPr="008A416B">
        <w:t>anteriormente</w:t>
      </w:r>
      <w:r w:rsidR="00C21BF0" w:rsidRPr="008A416B">
        <w:t>,</w:t>
      </w:r>
      <w:r w:rsidR="00383B80" w:rsidRPr="008A416B">
        <w:t xml:space="preserve"> </w:t>
      </w:r>
      <w:r w:rsidR="00C21BF0" w:rsidRPr="008A416B">
        <w:t>l</w:t>
      </w:r>
      <w:r w:rsidRPr="008A416B">
        <w:t xml:space="preserve">a estimación de las demandas por sector </w:t>
      </w:r>
      <w:r w:rsidR="00383B80" w:rsidRPr="008A416B">
        <w:t xml:space="preserve">ha considerado </w:t>
      </w:r>
      <w:r w:rsidR="0054616A">
        <w:t>realizar una</w:t>
      </w:r>
      <w:r w:rsidR="00C21BF0" w:rsidRPr="008A416B">
        <w:t xml:space="preserve"> </w:t>
      </w:r>
      <w:r w:rsidR="00383B80" w:rsidRPr="008A416B">
        <w:t xml:space="preserve">caracterización según derechos de aprovechamientos de aguas superficiales y subterráneos </w:t>
      </w:r>
      <w:r w:rsidR="00C21BF0" w:rsidRPr="008A416B">
        <w:t xml:space="preserve">que se encuentran </w:t>
      </w:r>
      <w:r w:rsidR="00383B80" w:rsidRPr="008A416B">
        <w:t>constituidos y en trámite.</w:t>
      </w:r>
    </w:p>
    <w:p w:rsidR="00C21BF0" w:rsidRPr="008A416B" w:rsidRDefault="00C21BF0" w:rsidP="00B51B51">
      <w:pPr>
        <w:widowControl w:val="0"/>
      </w:pPr>
    </w:p>
    <w:p w:rsidR="00C21BF0" w:rsidRPr="008A416B" w:rsidRDefault="00C21BF0" w:rsidP="00B51B51">
      <w:pPr>
        <w:widowControl w:val="0"/>
      </w:pPr>
      <w:r w:rsidRPr="008A416B">
        <w:t xml:space="preserve">Para la realización de la presente caracterización se ha dispuesto de los registros de propiedad de aguas que administra el Catastro Público de Aguas (CPA) de </w:t>
      </w:r>
      <w:smartTag w:uri="urn:schemas-microsoft-com:office:smarttags" w:element="PersonName">
        <w:smartTagPr>
          <w:attr w:name="ProductID" w:val="la DGA-MOP"/>
        </w:smartTagPr>
        <w:r w:rsidRPr="008A416B">
          <w:t>la DGA-MOP</w:t>
        </w:r>
      </w:smartTag>
      <w:r w:rsidRPr="008A416B">
        <w:t xml:space="preserve"> a fecha junio de 2012.</w:t>
      </w:r>
    </w:p>
    <w:p w:rsidR="00C21BF0" w:rsidRPr="008A416B" w:rsidRDefault="00C21BF0" w:rsidP="00B51B51">
      <w:pPr>
        <w:widowControl w:val="0"/>
      </w:pPr>
    </w:p>
    <w:p w:rsidR="008831F3" w:rsidRDefault="008831F3" w:rsidP="00B51B51">
      <w:pPr>
        <w:widowControl w:val="0"/>
      </w:pPr>
      <w:r w:rsidRPr="008A416B">
        <w:t>La información recabada de los derechos de aprovechamiento da cuenta de la información del titular, ubicación del punto de captación y características principales del derecho entre otros.</w:t>
      </w:r>
    </w:p>
    <w:p w:rsidR="0049518E" w:rsidRPr="008A416B" w:rsidRDefault="0049518E" w:rsidP="00B51B51">
      <w:pPr>
        <w:widowControl w:val="0"/>
      </w:pPr>
    </w:p>
    <w:p w:rsidR="00C21BF0" w:rsidRPr="008A416B" w:rsidRDefault="008831F3" w:rsidP="00B51B51">
      <w:pPr>
        <w:widowControl w:val="0"/>
      </w:pPr>
      <w:r w:rsidRPr="008A416B">
        <w:lastRenderedPageBreak/>
        <w:t>Esta información</w:t>
      </w:r>
      <w:r w:rsidR="00C21BF0" w:rsidRPr="008A416B">
        <w:t xml:space="preserve"> </w:t>
      </w:r>
      <w:r w:rsidR="00F37775" w:rsidRPr="008A416B">
        <w:t xml:space="preserve">fue </w:t>
      </w:r>
      <w:r w:rsidR="00C21BF0" w:rsidRPr="008A416B">
        <w:t xml:space="preserve">sistematizada </w:t>
      </w:r>
      <w:r w:rsidR="00F37775" w:rsidRPr="008A416B">
        <w:t>en planillas Excel considerándose los siguientes campos de información.</w:t>
      </w:r>
    </w:p>
    <w:p w:rsidR="00F37775" w:rsidRPr="008A416B" w:rsidRDefault="00F37775" w:rsidP="00B51B51">
      <w:pPr>
        <w:widowControl w:val="0"/>
      </w:pPr>
    </w:p>
    <w:p w:rsidR="008831F3" w:rsidRPr="008A416B" w:rsidRDefault="008831F3" w:rsidP="00B51B51">
      <w:pPr>
        <w:widowControl w:val="0"/>
      </w:pPr>
      <w:r w:rsidRPr="008A416B">
        <w:t>Dado que los registros de derechos de aprovechamiento no cuentan en su totalidad con la definición del uso de los recursos hídricos</w:t>
      </w:r>
      <w:r w:rsidR="00A05BB2" w:rsidRPr="008A416B">
        <w:t>, para aquellos casos en que esta información no se encontraba disponible se efectuó su asignación considerándose los siguientes criterios.</w:t>
      </w:r>
    </w:p>
    <w:p w:rsidR="008831F3" w:rsidRPr="008A416B" w:rsidRDefault="008831F3" w:rsidP="00B51B51">
      <w:pPr>
        <w:widowControl w:val="0"/>
      </w:pPr>
    </w:p>
    <w:p w:rsidR="008831F3" w:rsidRPr="008A416B" w:rsidRDefault="00931468" w:rsidP="00B51B51">
      <w:pPr>
        <w:pStyle w:val="NormalSangra"/>
        <w:ind w:firstLine="0"/>
        <w:rPr>
          <w:sz w:val="22"/>
          <w:szCs w:val="22"/>
        </w:rPr>
      </w:pPr>
      <w:r w:rsidRPr="008A416B">
        <w:rPr>
          <w:sz w:val="22"/>
          <w:szCs w:val="22"/>
        </w:rPr>
        <w:t>S</w:t>
      </w:r>
      <w:r w:rsidR="008831F3" w:rsidRPr="008A416B">
        <w:rPr>
          <w:sz w:val="22"/>
          <w:szCs w:val="22"/>
        </w:rPr>
        <w:t>e clasificó su uso según el caudal otorgado, luego de acuerdo al nombre</w:t>
      </w:r>
      <w:r w:rsidR="00537151">
        <w:rPr>
          <w:sz w:val="22"/>
          <w:szCs w:val="22"/>
        </w:rPr>
        <w:t xml:space="preserve"> del propietario y/o indicación</w:t>
      </w:r>
      <w:r w:rsidR="008831F3" w:rsidRPr="008A416B">
        <w:rPr>
          <w:sz w:val="22"/>
          <w:szCs w:val="22"/>
        </w:rPr>
        <w:t xml:space="preserve"> (observación)</w:t>
      </w:r>
      <w:r w:rsidR="00537151">
        <w:rPr>
          <w:sz w:val="22"/>
          <w:szCs w:val="22"/>
        </w:rPr>
        <w:t xml:space="preserve"> incluida en listado entregado.</w:t>
      </w:r>
      <w:r w:rsidR="008831F3" w:rsidRPr="008A416B">
        <w:rPr>
          <w:sz w:val="22"/>
          <w:szCs w:val="22"/>
        </w:rPr>
        <w:t xml:space="preserve"> Específicamente se utilizó los siguientes criterios:</w:t>
      </w:r>
    </w:p>
    <w:p w:rsidR="008831F3" w:rsidRPr="008A416B" w:rsidRDefault="008831F3" w:rsidP="00B51B51">
      <w:pPr>
        <w:widowControl w:val="0"/>
        <w:rPr>
          <w:szCs w:val="22"/>
        </w:rPr>
      </w:pPr>
    </w:p>
    <w:p w:rsidR="008831F3" w:rsidRPr="008A416B" w:rsidRDefault="008831F3" w:rsidP="00145762">
      <w:pPr>
        <w:pStyle w:val="NormalSangra"/>
        <w:numPr>
          <w:ilvl w:val="0"/>
          <w:numId w:val="1"/>
        </w:numPr>
        <w:tabs>
          <w:tab w:val="clear" w:pos="870"/>
        </w:tabs>
        <w:ind w:left="709" w:hanging="709"/>
        <w:rPr>
          <w:sz w:val="22"/>
          <w:szCs w:val="22"/>
        </w:rPr>
      </w:pPr>
      <w:r w:rsidRPr="008A416B">
        <w:rPr>
          <w:sz w:val="22"/>
          <w:szCs w:val="22"/>
        </w:rPr>
        <w:t>Caudales menores a 0</w:t>
      </w:r>
      <w:r w:rsidR="00931468" w:rsidRPr="008A416B">
        <w:rPr>
          <w:sz w:val="22"/>
          <w:szCs w:val="22"/>
        </w:rPr>
        <w:t>,</w:t>
      </w:r>
      <w:r w:rsidRPr="008A416B">
        <w:rPr>
          <w:sz w:val="22"/>
          <w:szCs w:val="22"/>
        </w:rPr>
        <w:t xml:space="preserve">5 l/s </w:t>
      </w:r>
      <w:r w:rsidRPr="008A416B">
        <w:rPr>
          <w:sz w:val="22"/>
          <w:szCs w:val="22"/>
        </w:rPr>
        <w:sym w:font="Wingdings" w:char="F0E8"/>
      </w:r>
      <w:r w:rsidR="00537151">
        <w:rPr>
          <w:sz w:val="22"/>
          <w:szCs w:val="22"/>
        </w:rPr>
        <w:t xml:space="preserve"> Uso domé</w:t>
      </w:r>
      <w:r w:rsidRPr="008A416B">
        <w:rPr>
          <w:sz w:val="22"/>
          <w:szCs w:val="22"/>
        </w:rPr>
        <w:t>stico (es decir agua potable y riego particular).</w:t>
      </w:r>
    </w:p>
    <w:p w:rsidR="008831F3" w:rsidRPr="008A416B" w:rsidRDefault="008831F3" w:rsidP="00145762">
      <w:pPr>
        <w:pStyle w:val="NormalSangra"/>
        <w:numPr>
          <w:ilvl w:val="0"/>
          <w:numId w:val="1"/>
        </w:numPr>
        <w:tabs>
          <w:tab w:val="clear" w:pos="870"/>
        </w:tabs>
        <w:ind w:left="709" w:hanging="709"/>
        <w:rPr>
          <w:sz w:val="22"/>
          <w:szCs w:val="22"/>
        </w:rPr>
      </w:pPr>
      <w:r w:rsidRPr="008A416B">
        <w:rPr>
          <w:sz w:val="22"/>
          <w:szCs w:val="22"/>
        </w:rPr>
        <w:t xml:space="preserve">Uso Potable </w:t>
      </w:r>
      <w:r w:rsidRPr="008A416B">
        <w:rPr>
          <w:sz w:val="22"/>
          <w:szCs w:val="22"/>
        </w:rPr>
        <w:sym w:font="Wingdings" w:char="F0E8"/>
      </w:r>
      <w:r w:rsidRPr="008A416B">
        <w:rPr>
          <w:sz w:val="22"/>
          <w:szCs w:val="22"/>
        </w:rPr>
        <w:t xml:space="preserve"> Empresas Sanitarias y Sistemas de Agua Potable Rural</w:t>
      </w:r>
    </w:p>
    <w:p w:rsidR="008831F3" w:rsidRPr="008A416B" w:rsidRDefault="008831F3" w:rsidP="00145762">
      <w:pPr>
        <w:pStyle w:val="NormalSangra"/>
        <w:numPr>
          <w:ilvl w:val="0"/>
          <w:numId w:val="1"/>
        </w:numPr>
        <w:tabs>
          <w:tab w:val="clear" w:pos="870"/>
        </w:tabs>
        <w:ind w:left="709" w:hanging="709"/>
        <w:rPr>
          <w:sz w:val="22"/>
          <w:szCs w:val="22"/>
        </w:rPr>
      </w:pPr>
      <w:r w:rsidRPr="008A416B">
        <w:rPr>
          <w:sz w:val="22"/>
          <w:szCs w:val="22"/>
        </w:rPr>
        <w:t xml:space="preserve">Uso Industrial </w:t>
      </w:r>
      <w:r w:rsidRPr="008A416B">
        <w:rPr>
          <w:sz w:val="22"/>
          <w:szCs w:val="22"/>
        </w:rPr>
        <w:sym w:font="Wingdings" w:char="F0E8"/>
      </w:r>
      <w:r w:rsidRPr="008A416B">
        <w:rPr>
          <w:sz w:val="22"/>
          <w:szCs w:val="22"/>
        </w:rPr>
        <w:t xml:space="preserve"> Industrias, Forestales, Ganaderas, etc. </w:t>
      </w:r>
    </w:p>
    <w:p w:rsidR="008831F3" w:rsidRPr="008A416B" w:rsidRDefault="008831F3" w:rsidP="00145762">
      <w:pPr>
        <w:pStyle w:val="NormalSangra"/>
        <w:numPr>
          <w:ilvl w:val="0"/>
          <w:numId w:val="1"/>
        </w:numPr>
        <w:tabs>
          <w:tab w:val="clear" w:pos="870"/>
        </w:tabs>
        <w:ind w:left="709" w:hanging="709"/>
        <w:rPr>
          <w:sz w:val="22"/>
          <w:szCs w:val="22"/>
        </w:rPr>
      </w:pPr>
      <w:r w:rsidRPr="008A416B">
        <w:rPr>
          <w:sz w:val="22"/>
          <w:szCs w:val="22"/>
        </w:rPr>
        <w:t>Uso Riego</w:t>
      </w:r>
      <w:r w:rsidRPr="008A416B">
        <w:rPr>
          <w:sz w:val="22"/>
          <w:szCs w:val="22"/>
        </w:rPr>
        <w:sym w:font="Wingdings" w:char="F0E8"/>
      </w:r>
      <w:r w:rsidRPr="008A416B">
        <w:rPr>
          <w:sz w:val="22"/>
          <w:szCs w:val="22"/>
        </w:rPr>
        <w:t xml:space="preserve"> Particulares, Agrícolas, Inversiones, etc.</w:t>
      </w:r>
    </w:p>
    <w:p w:rsidR="008831F3" w:rsidRPr="008A416B" w:rsidRDefault="008831F3" w:rsidP="00145762">
      <w:pPr>
        <w:pStyle w:val="NormalSangra"/>
        <w:numPr>
          <w:ilvl w:val="0"/>
          <w:numId w:val="1"/>
        </w:numPr>
        <w:tabs>
          <w:tab w:val="clear" w:pos="870"/>
        </w:tabs>
        <w:ind w:left="709" w:hanging="709"/>
        <w:rPr>
          <w:sz w:val="22"/>
          <w:szCs w:val="22"/>
        </w:rPr>
      </w:pPr>
      <w:r w:rsidRPr="008A416B">
        <w:rPr>
          <w:sz w:val="22"/>
          <w:szCs w:val="22"/>
        </w:rPr>
        <w:t>Otros U</w:t>
      </w:r>
      <w:r w:rsidR="00E776FD">
        <w:rPr>
          <w:sz w:val="22"/>
          <w:szCs w:val="22"/>
        </w:rPr>
        <w:t>sos (Recreacional, Turísticos, D</w:t>
      </w:r>
      <w:r w:rsidRPr="008A416B">
        <w:rPr>
          <w:sz w:val="22"/>
          <w:szCs w:val="22"/>
        </w:rPr>
        <w:t xml:space="preserve">eportivos) </w:t>
      </w:r>
      <w:r w:rsidRPr="008A416B">
        <w:rPr>
          <w:sz w:val="22"/>
          <w:szCs w:val="22"/>
        </w:rPr>
        <w:sym w:font="Wingdings" w:char="F0E8"/>
      </w:r>
      <w:r w:rsidRPr="008A416B">
        <w:rPr>
          <w:sz w:val="22"/>
          <w:szCs w:val="22"/>
        </w:rPr>
        <w:t xml:space="preserve"> Bancos, Universidades, Sociedades Turísticas, Clubes Deportivos, etc.</w:t>
      </w:r>
    </w:p>
    <w:p w:rsidR="008831F3" w:rsidRPr="008A416B" w:rsidRDefault="008831F3" w:rsidP="00B51B51">
      <w:pPr>
        <w:widowControl w:val="0"/>
      </w:pPr>
    </w:p>
    <w:p w:rsidR="00383B80" w:rsidRPr="008A416B" w:rsidRDefault="00E024C7" w:rsidP="00B51B51">
      <w:pPr>
        <w:widowControl w:val="0"/>
      </w:pPr>
      <w:r w:rsidRPr="008A416B">
        <w:t>Por otra parte</w:t>
      </w:r>
      <w:r w:rsidR="00537151">
        <w:t>,</w:t>
      </w:r>
      <w:r w:rsidRPr="008A416B">
        <w:t xml:space="preserve"> a objeto de asignar los derechos de aprovechamientos a las subcuencas de </w:t>
      </w:r>
      <w:smartTag w:uri="urn:schemas-microsoft-com:office:smarttags" w:element="PersonName">
        <w:smartTagPr>
          <w:attr w:name="ProductID" w:val="la Región"/>
        </w:smartTagPr>
        <w:r w:rsidRPr="008A416B">
          <w:t>la Región</w:t>
        </w:r>
      </w:smartTag>
      <w:r w:rsidR="00537151">
        <w:t xml:space="preserve"> de O’Higgins,</w:t>
      </w:r>
      <w:r w:rsidRPr="008A416B">
        <w:t xml:space="preserve"> se empleó la información de coordenadas UTM que se encuentran informadas por el CPA.</w:t>
      </w:r>
    </w:p>
    <w:p w:rsidR="00E024C7" w:rsidRPr="008A416B" w:rsidRDefault="00E024C7" w:rsidP="00B51B51">
      <w:pPr>
        <w:widowControl w:val="0"/>
      </w:pPr>
    </w:p>
    <w:p w:rsidR="00E024C7" w:rsidRPr="008A416B" w:rsidRDefault="00E024C7" w:rsidP="00B51B51">
      <w:pPr>
        <w:widowControl w:val="0"/>
      </w:pPr>
      <w:r w:rsidRPr="008A416B">
        <w:t>El procedimiento fue el siguiente:</w:t>
      </w:r>
    </w:p>
    <w:p w:rsidR="00E024C7" w:rsidRPr="008A416B" w:rsidRDefault="00E024C7" w:rsidP="00B51B51">
      <w:pPr>
        <w:widowControl w:val="0"/>
      </w:pPr>
    </w:p>
    <w:p w:rsidR="00931B24" w:rsidRPr="008A416B" w:rsidRDefault="00931B24" w:rsidP="00145762">
      <w:pPr>
        <w:pStyle w:val="NormalSangra"/>
        <w:numPr>
          <w:ilvl w:val="0"/>
          <w:numId w:val="1"/>
        </w:numPr>
        <w:tabs>
          <w:tab w:val="clear" w:pos="870"/>
        </w:tabs>
        <w:ind w:left="709" w:hanging="709"/>
        <w:rPr>
          <w:sz w:val="22"/>
          <w:szCs w:val="22"/>
        </w:rPr>
      </w:pPr>
      <w:r w:rsidRPr="008A416B">
        <w:rPr>
          <w:sz w:val="22"/>
          <w:szCs w:val="22"/>
        </w:rPr>
        <w:t>Se adoptó como sistema de referencia coordenadas UTM en Datum WGS 1984 huso 19.</w:t>
      </w:r>
    </w:p>
    <w:p w:rsidR="00931B24" w:rsidRPr="008A416B" w:rsidRDefault="00931B24" w:rsidP="00145762">
      <w:pPr>
        <w:pStyle w:val="NormalSangra"/>
        <w:numPr>
          <w:ilvl w:val="0"/>
          <w:numId w:val="1"/>
        </w:numPr>
        <w:tabs>
          <w:tab w:val="clear" w:pos="870"/>
        </w:tabs>
        <w:ind w:left="709" w:hanging="709"/>
        <w:rPr>
          <w:sz w:val="22"/>
          <w:szCs w:val="22"/>
        </w:rPr>
      </w:pPr>
      <w:r w:rsidRPr="008A416B">
        <w:rPr>
          <w:sz w:val="22"/>
          <w:szCs w:val="22"/>
        </w:rPr>
        <w:t>Aquellos puntos de captación que se encuentran representados en coordenadas UTM y datum distinto al WGS 1984 o bien en coordenadas geográficas se procedió a su transformación.</w:t>
      </w:r>
    </w:p>
    <w:p w:rsidR="00DF3EEB" w:rsidRPr="008A416B" w:rsidRDefault="00931B24" w:rsidP="00145762">
      <w:pPr>
        <w:pStyle w:val="NormalSangra"/>
        <w:numPr>
          <w:ilvl w:val="0"/>
          <w:numId w:val="1"/>
        </w:numPr>
        <w:tabs>
          <w:tab w:val="clear" w:pos="870"/>
        </w:tabs>
        <w:ind w:left="709" w:hanging="709"/>
        <w:rPr>
          <w:sz w:val="22"/>
          <w:szCs w:val="22"/>
        </w:rPr>
      </w:pPr>
      <w:r w:rsidRPr="008A416B">
        <w:rPr>
          <w:sz w:val="22"/>
          <w:szCs w:val="22"/>
        </w:rPr>
        <w:t>Para aquellos derechos en los cuales no se dispone de información de coordenadas de sus puntos de captación, se utilizó como referencia la información de subcuencas informada por el CPA y las referencias geográficas.</w:t>
      </w:r>
      <w:r w:rsidR="009547E2">
        <w:rPr>
          <w:sz w:val="22"/>
          <w:szCs w:val="22"/>
        </w:rPr>
        <w:t xml:space="preserve"> En última instancia para aquellos derechos en que se contaba solo con información de la comuna se determinó el centroide de ésta y se asignó a una subcuenca.</w:t>
      </w:r>
      <w:r w:rsidR="00AA581B">
        <w:rPr>
          <w:sz w:val="22"/>
          <w:szCs w:val="22"/>
        </w:rPr>
        <w:t xml:space="preserve"> </w:t>
      </w:r>
      <w:r w:rsidR="00DF3EEB" w:rsidRPr="008A416B">
        <w:rPr>
          <w:sz w:val="22"/>
          <w:szCs w:val="22"/>
        </w:rPr>
        <w:t>No obstante el procedimiento adoptado existe</w:t>
      </w:r>
      <w:r w:rsidR="00D20879" w:rsidRPr="008A416B">
        <w:rPr>
          <w:sz w:val="22"/>
          <w:szCs w:val="22"/>
        </w:rPr>
        <w:t>n</w:t>
      </w:r>
      <w:r w:rsidR="00DF3EEB" w:rsidRPr="008A416B">
        <w:rPr>
          <w:sz w:val="22"/>
          <w:szCs w:val="22"/>
        </w:rPr>
        <w:t xml:space="preserve"> derechos </w:t>
      </w:r>
      <w:r w:rsidR="00D20879" w:rsidRPr="008A416B">
        <w:rPr>
          <w:sz w:val="22"/>
          <w:szCs w:val="22"/>
        </w:rPr>
        <w:t>en los que no es posible identificar el punto de captación.</w:t>
      </w:r>
    </w:p>
    <w:p w:rsidR="00D20879" w:rsidRPr="008A416B" w:rsidRDefault="00D20879" w:rsidP="00B51B51">
      <w:pPr>
        <w:pStyle w:val="NormalSangra"/>
        <w:ind w:firstLine="0"/>
        <w:rPr>
          <w:sz w:val="22"/>
          <w:szCs w:val="22"/>
        </w:rPr>
      </w:pPr>
    </w:p>
    <w:p w:rsidR="00D20879" w:rsidRDefault="00D20879" w:rsidP="00B51B51">
      <w:pPr>
        <w:pStyle w:val="Ttulo2"/>
        <w:keepNext w:val="0"/>
      </w:pPr>
      <w:bookmarkStart w:id="217" w:name="_Toc344391817"/>
      <w:r w:rsidRPr="008A416B">
        <w:t>Levantamiento de Información de Demandas</w:t>
      </w:r>
      <w:bookmarkEnd w:id="217"/>
    </w:p>
    <w:p w:rsidR="0049518E" w:rsidRPr="0049518E" w:rsidRDefault="0049518E" w:rsidP="0049518E"/>
    <w:p w:rsidR="006912EF" w:rsidRPr="008A416B" w:rsidRDefault="006912EF" w:rsidP="0049518E">
      <w:pPr>
        <w:pStyle w:val="Ttulo3"/>
      </w:pPr>
      <w:bookmarkStart w:id="218" w:name="_Toc344391818"/>
      <w:r w:rsidRPr="008A416B">
        <w:t>Demandas según Derechos de Aprovechamiento</w:t>
      </w:r>
      <w:bookmarkEnd w:id="218"/>
    </w:p>
    <w:p w:rsidR="006912EF" w:rsidRPr="00F56AEE" w:rsidRDefault="006912EF" w:rsidP="00B51B51">
      <w:pPr>
        <w:pStyle w:val="Ttulo4Ttulo4"/>
        <w:keepNext w:val="0"/>
        <w:widowControl w:val="0"/>
      </w:pPr>
      <w:bookmarkStart w:id="219" w:name="_Toc344391819"/>
      <w:r w:rsidRPr="00F56AEE">
        <w:t>Aguas Superficiales</w:t>
      </w:r>
      <w:bookmarkEnd w:id="219"/>
    </w:p>
    <w:p w:rsidR="006912EF" w:rsidRPr="00F56AEE" w:rsidRDefault="006912EF" w:rsidP="00B51B51">
      <w:pPr>
        <w:widowControl w:val="0"/>
      </w:pPr>
    </w:p>
    <w:p w:rsidR="004F1BEF" w:rsidRPr="00F56AEE" w:rsidRDefault="004F1BEF" w:rsidP="004F1BEF">
      <w:r w:rsidRPr="00F56AEE">
        <w:t>A partir de la sistematización de derechos de aprovechamientos de aguas superficiales constituidos fue posible realizar una caracterización de las demandas para los sectores de riego, agua potable, industria, minería y otros.</w:t>
      </w:r>
    </w:p>
    <w:p w:rsidR="004F1BEF" w:rsidRPr="00F56AEE" w:rsidRDefault="004F1BEF" w:rsidP="004F1BEF"/>
    <w:p w:rsidR="00FC48B5" w:rsidRPr="00F56AEE" w:rsidRDefault="00FC48B5" w:rsidP="00FC48B5">
      <w:r w:rsidRPr="00F56AEE">
        <w:t>En el caso particular de los derechos asociados a riego además se ha incoporado la información de las organizaciones de usuarios lo cual permitió definir los canales que operan en las subcuencas de interés.</w:t>
      </w:r>
    </w:p>
    <w:p w:rsidR="00FC48B5" w:rsidRPr="00F56AEE" w:rsidRDefault="00FC48B5" w:rsidP="00FC48B5">
      <w:r w:rsidRPr="00F56AEE">
        <w:lastRenderedPageBreak/>
        <w:t xml:space="preserve">A modo de resumen en </w:t>
      </w:r>
      <w:smartTag w:uri="urn:schemas-microsoft-com:office:smarttags" w:element="PersonName">
        <w:smartTagPr>
          <w:attr w:name="ProductID" w:val="la ￼￼￼￼￼￼￼￼￼￼￼￼￼￼￼￼￼￼￼￼￼￼￼￼￼￼￼￼￼￼￼￼￼￼￼￼￼￼￼￼￼Tabla"/>
        </w:smartTagPr>
        <w:r w:rsidRPr="00F56AEE">
          <w:t>la Tabla</w:t>
        </w:r>
      </w:smartTag>
      <w:r w:rsidRPr="00F56AEE">
        <w:t xml:space="preserve"> siguiente se presenta el resumen de organizaciones por cuenca con indicación del caudal expresada tanto en acciones como en l/s.</w:t>
      </w:r>
    </w:p>
    <w:p w:rsidR="004C4EE9" w:rsidRPr="00F56AEE" w:rsidRDefault="004C4EE9" w:rsidP="00B51B51">
      <w:pPr>
        <w:widowControl w:val="0"/>
      </w:pPr>
    </w:p>
    <w:p w:rsidR="004F1BEF" w:rsidRPr="00F56AEE" w:rsidRDefault="004F1BEF" w:rsidP="004F1BEF">
      <w:pPr>
        <w:pStyle w:val="Epgrafe"/>
      </w:pPr>
      <w:r w:rsidRPr="00F56AEE">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r w:rsidRPr="00F56AEE">
        <w:t xml:space="preserve"> </w:t>
      </w:r>
      <w:r w:rsidR="00FC48B5" w:rsidRPr="00F56AEE">
        <w:t>Resumen de Derechos Asociados a Organizaciones de Usuarios</w:t>
      </w:r>
    </w:p>
    <w:tbl>
      <w:tblPr>
        <w:tblW w:w="8480" w:type="dxa"/>
        <w:tblInd w:w="55" w:type="dxa"/>
        <w:tblCellMar>
          <w:left w:w="70" w:type="dxa"/>
          <w:right w:w="70" w:type="dxa"/>
        </w:tblCellMar>
        <w:tblLook w:val="0000" w:firstRow="0" w:lastRow="0" w:firstColumn="0" w:lastColumn="0" w:noHBand="0" w:noVBand="0"/>
      </w:tblPr>
      <w:tblGrid>
        <w:gridCol w:w="1980"/>
        <w:gridCol w:w="1200"/>
        <w:gridCol w:w="1840"/>
        <w:gridCol w:w="1420"/>
        <w:gridCol w:w="920"/>
        <w:gridCol w:w="1120"/>
      </w:tblGrid>
      <w:tr w:rsidR="00F56AEE" w:rsidRPr="00F56AEE">
        <w:trPr>
          <w:trHeight w:val="81"/>
        </w:trPr>
        <w:tc>
          <w:tcPr>
            <w:tcW w:w="1980" w:type="dxa"/>
            <w:vMerge w:val="restart"/>
            <w:tcBorders>
              <w:top w:val="single" w:sz="4" w:space="0" w:color="auto"/>
              <w:left w:val="single" w:sz="4" w:space="0" w:color="auto"/>
              <w:right w:val="single" w:sz="4" w:space="0" w:color="auto"/>
            </w:tcBorders>
            <w:shd w:val="clear" w:color="auto" w:fill="auto"/>
            <w:vAlign w:val="center"/>
          </w:tcPr>
          <w:p w:rsidR="00F56AEE" w:rsidRPr="00F56AEE" w:rsidRDefault="00F56AEE" w:rsidP="00FC48B5">
            <w:pPr>
              <w:jc w:val="center"/>
              <w:rPr>
                <w:rFonts w:cs="Arial"/>
                <w:sz w:val="20"/>
                <w:szCs w:val="20"/>
              </w:rPr>
            </w:pPr>
            <w:r w:rsidRPr="00F56AEE">
              <w:rPr>
                <w:rFonts w:cs="Arial"/>
                <w:sz w:val="20"/>
                <w:szCs w:val="20"/>
              </w:rPr>
              <w:t>Tipo</w:t>
            </w:r>
          </w:p>
        </w:tc>
        <w:tc>
          <w:tcPr>
            <w:tcW w:w="1200" w:type="dxa"/>
            <w:vMerge w:val="restart"/>
            <w:tcBorders>
              <w:top w:val="single" w:sz="4" w:space="0" w:color="auto"/>
              <w:left w:val="nil"/>
              <w:right w:val="single" w:sz="4" w:space="0" w:color="auto"/>
            </w:tcBorders>
            <w:shd w:val="clear" w:color="auto" w:fill="auto"/>
            <w:vAlign w:val="center"/>
          </w:tcPr>
          <w:p w:rsidR="00F56AEE" w:rsidRPr="00F56AEE" w:rsidRDefault="00F56AEE" w:rsidP="00FC48B5">
            <w:pPr>
              <w:jc w:val="center"/>
              <w:rPr>
                <w:rFonts w:cs="Arial"/>
                <w:sz w:val="20"/>
                <w:szCs w:val="20"/>
              </w:rPr>
            </w:pPr>
            <w:r w:rsidRPr="00F56AEE">
              <w:rPr>
                <w:rFonts w:cs="Arial"/>
                <w:sz w:val="20"/>
                <w:szCs w:val="20"/>
              </w:rPr>
              <w:t>Unidad</w:t>
            </w:r>
          </w:p>
        </w:tc>
        <w:tc>
          <w:tcPr>
            <w:tcW w:w="4180" w:type="dxa"/>
            <w:gridSpan w:val="3"/>
            <w:tcBorders>
              <w:top w:val="single" w:sz="4" w:space="0" w:color="auto"/>
              <w:left w:val="nil"/>
              <w:bottom w:val="single" w:sz="4" w:space="0" w:color="auto"/>
              <w:right w:val="single" w:sz="4" w:space="0" w:color="auto"/>
            </w:tcBorders>
            <w:shd w:val="clear" w:color="auto" w:fill="auto"/>
            <w:vAlign w:val="center"/>
          </w:tcPr>
          <w:p w:rsidR="00F56AEE" w:rsidRPr="00F56AEE" w:rsidRDefault="00F56AEE" w:rsidP="00FC48B5">
            <w:pPr>
              <w:jc w:val="center"/>
              <w:rPr>
                <w:rFonts w:cs="Arial"/>
                <w:sz w:val="20"/>
                <w:szCs w:val="20"/>
              </w:rPr>
            </w:pPr>
            <w:r w:rsidRPr="00F56AEE">
              <w:rPr>
                <w:rFonts w:cs="Arial"/>
                <w:sz w:val="20"/>
                <w:szCs w:val="20"/>
              </w:rPr>
              <w:t>Subcuencas</w:t>
            </w:r>
          </w:p>
        </w:tc>
        <w:tc>
          <w:tcPr>
            <w:tcW w:w="1120" w:type="dxa"/>
            <w:vMerge w:val="restart"/>
            <w:tcBorders>
              <w:top w:val="single" w:sz="4" w:space="0" w:color="auto"/>
              <w:left w:val="nil"/>
              <w:right w:val="single" w:sz="4" w:space="0" w:color="auto"/>
            </w:tcBorders>
            <w:shd w:val="clear" w:color="auto" w:fill="auto"/>
            <w:vAlign w:val="center"/>
          </w:tcPr>
          <w:p w:rsidR="00F56AEE" w:rsidRPr="00F56AEE" w:rsidRDefault="00F56AEE" w:rsidP="00FC48B5">
            <w:pPr>
              <w:jc w:val="center"/>
              <w:rPr>
                <w:rFonts w:cs="Arial"/>
                <w:sz w:val="20"/>
                <w:szCs w:val="20"/>
              </w:rPr>
            </w:pPr>
            <w:r w:rsidRPr="00F56AEE">
              <w:rPr>
                <w:rFonts w:cs="Arial"/>
                <w:sz w:val="20"/>
                <w:szCs w:val="20"/>
              </w:rPr>
              <w:t>Total</w:t>
            </w:r>
          </w:p>
        </w:tc>
      </w:tr>
      <w:tr w:rsidR="00F56AEE" w:rsidRPr="00F56AEE">
        <w:trPr>
          <w:trHeight w:val="163"/>
        </w:trPr>
        <w:tc>
          <w:tcPr>
            <w:tcW w:w="1980" w:type="dxa"/>
            <w:vMerge/>
            <w:tcBorders>
              <w:left w:val="single" w:sz="4" w:space="0" w:color="auto"/>
              <w:bottom w:val="single" w:sz="4" w:space="0" w:color="auto"/>
              <w:right w:val="single" w:sz="4" w:space="0" w:color="auto"/>
            </w:tcBorders>
            <w:shd w:val="clear" w:color="auto" w:fill="auto"/>
            <w:vAlign w:val="center"/>
          </w:tcPr>
          <w:p w:rsidR="00F56AEE" w:rsidRPr="00F56AEE" w:rsidRDefault="00F56AEE" w:rsidP="00FC48B5">
            <w:pPr>
              <w:jc w:val="center"/>
              <w:rPr>
                <w:rFonts w:cs="Arial"/>
                <w:sz w:val="20"/>
                <w:szCs w:val="20"/>
              </w:rPr>
            </w:pPr>
          </w:p>
        </w:tc>
        <w:tc>
          <w:tcPr>
            <w:tcW w:w="1200" w:type="dxa"/>
            <w:vMerge/>
            <w:tcBorders>
              <w:left w:val="nil"/>
              <w:bottom w:val="single" w:sz="4" w:space="0" w:color="auto"/>
              <w:right w:val="single" w:sz="4" w:space="0" w:color="auto"/>
            </w:tcBorders>
            <w:shd w:val="clear" w:color="auto" w:fill="auto"/>
            <w:vAlign w:val="center"/>
          </w:tcPr>
          <w:p w:rsidR="00F56AEE" w:rsidRPr="00F56AEE" w:rsidRDefault="00F56AEE" w:rsidP="00FC48B5">
            <w:pPr>
              <w:jc w:val="center"/>
              <w:rPr>
                <w:rFonts w:cs="Arial"/>
                <w:sz w:val="20"/>
                <w:szCs w:val="20"/>
              </w:rPr>
            </w:pPr>
          </w:p>
        </w:tc>
        <w:tc>
          <w:tcPr>
            <w:tcW w:w="1840" w:type="dxa"/>
            <w:tcBorders>
              <w:top w:val="single" w:sz="4" w:space="0" w:color="auto"/>
              <w:left w:val="nil"/>
              <w:bottom w:val="single" w:sz="4" w:space="0" w:color="auto"/>
              <w:right w:val="single" w:sz="4" w:space="0" w:color="auto"/>
            </w:tcBorders>
            <w:shd w:val="clear" w:color="auto" w:fill="auto"/>
            <w:vAlign w:val="center"/>
          </w:tcPr>
          <w:p w:rsidR="00F56AEE" w:rsidRPr="00F56AEE" w:rsidRDefault="00F56AEE" w:rsidP="00F56AEE">
            <w:pPr>
              <w:jc w:val="center"/>
              <w:rPr>
                <w:rFonts w:cs="Arial"/>
                <w:sz w:val="20"/>
                <w:szCs w:val="20"/>
              </w:rPr>
            </w:pPr>
            <w:r w:rsidRPr="00F56AEE">
              <w:rPr>
                <w:rFonts w:cs="Arial"/>
                <w:sz w:val="20"/>
                <w:szCs w:val="20"/>
              </w:rPr>
              <w:t>601</w:t>
            </w:r>
          </w:p>
        </w:tc>
        <w:tc>
          <w:tcPr>
            <w:tcW w:w="1420" w:type="dxa"/>
            <w:tcBorders>
              <w:top w:val="single" w:sz="4" w:space="0" w:color="auto"/>
              <w:left w:val="nil"/>
              <w:bottom w:val="single" w:sz="4" w:space="0" w:color="auto"/>
              <w:right w:val="single" w:sz="4" w:space="0" w:color="auto"/>
            </w:tcBorders>
            <w:shd w:val="clear" w:color="auto" w:fill="auto"/>
            <w:vAlign w:val="center"/>
          </w:tcPr>
          <w:p w:rsidR="00F56AEE" w:rsidRPr="00F56AEE" w:rsidRDefault="00F56AEE" w:rsidP="00F56AEE">
            <w:pPr>
              <w:jc w:val="center"/>
              <w:rPr>
                <w:rFonts w:cs="Arial"/>
                <w:sz w:val="20"/>
                <w:szCs w:val="20"/>
              </w:rPr>
            </w:pPr>
            <w:r w:rsidRPr="00F56AEE">
              <w:rPr>
                <w:rFonts w:cs="Arial"/>
                <w:sz w:val="20"/>
                <w:szCs w:val="20"/>
              </w:rPr>
              <w:t>602</w:t>
            </w:r>
          </w:p>
        </w:tc>
        <w:tc>
          <w:tcPr>
            <w:tcW w:w="920" w:type="dxa"/>
            <w:tcBorders>
              <w:top w:val="single" w:sz="4" w:space="0" w:color="auto"/>
              <w:left w:val="nil"/>
              <w:bottom w:val="single" w:sz="4" w:space="0" w:color="auto"/>
              <w:right w:val="single" w:sz="4" w:space="0" w:color="auto"/>
            </w:tcBorders>
            <w:shd w:val="clear" w:color="auto" w:fill="auto"/>
            <w:vAlign w:val="center"/>
          </w:tcPr>
          <w:p w:rsidR="00F56AEE" w:rsidRPr="00F56AEE" w:rsidRDefault="00F56AEE" w:rsidP="00F56AEE">
            <w:pPr>
              <w:jc w:val="center"/>
              <w:rPr>
                <w:rFonts w:cs="Arial"/>
                <w:sz w:val="20"/>
                <w:szCs w:val="20"/>
              </w:rPr>
            </w:pPr>
            <w:r w:rsidRPr="00F56AEE">
              <w:rPr>
                <w:rFonts w:cs="Arial"/>
                <w:sz w:val="20"/>
                <w:szCs w:val="20"/>
              </w:rPr>
              <w:t>603</w:t>
            </w:r>
          </w:p>
        </w:tc>
        <w:tc>
          <w:tcPr>
            <w:tcW w:w="1120" w:type="dxa"/>
            <w:vMerge/>
            <w:tcBorders>
              <w:left w:val="nil"/>
              <w:bottom w:val="single" w:sz="4" w:space="0" w:color="auto"/>
              <w:right w:val="single" w:sz="4" w:space="0" w:color="auto"/>
            </w:tcBorders>
            <w:shd w:val="clear" w:color="auto" w:fill="auto"/>
            <w:vAlign w:val="center"/>
          </w:tcPr>
          <w:p w:rsidR="00F56AEE" w:rsidRPr="00F56AEE" w:rsidRDefault="00F56AEE" w:rsidP="00FC48B5">
            <w:pPr>
              <w:jc w:val="center"/>
              <w:rPr>
                <w:rFonts w:cs="Arial"/>
                <w:sz w:val="20"/>
                <w:szCs w:val="20"/>
              </w:rPr>
            </w:pPr>
          </w:p>
        </w:tc>
      </w:tr>
      <w:tr w:rsidR="00FC48B5"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Asoción Canalistas</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129.993</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422.556</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552.550</w:t>
            </w:r>
          </w:p>
        </w:tc>
      </w:tr>
      <w:tr w:rsidR="00FC48B5"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4.594</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346</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4.940</w:t>
            </w:r>
          </w:p>
        </w:tc>
      </w:tr>
      <w:tr w:rsidR="00FC48B5" w:rsidRPr="00F56AEE">
        <w:trPr>
          <w:trHeight w:val="255"/>
        </w:trPr>
        <w:tc>
          <w:tcPr>
            <w:tcW w:w="1980" w:type="dxa"/>
            <w:tcBorders>
              <w:top w:val="single" w:sz="4" w:space="0" w:color="auto"/>
              <w:left w:val="single" w:sz="4" w:space="0" w:color="auto"/>
              <w:bottom w:val="nil"/>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Comunidad de Aguas</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221.058</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22.019</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10.000</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253.076</w:t>
            </w:r>
          </w:p>
        </w:tc>
      </w:tr>
      <w:tr w:rsidR="00FC48B5" w:rsidRPr="00F56AEE">
        <w:trPr>
          <w:trHeight w:val="255"/>
        </w:trPr>
        <w:tc>
          <w:tcPr>
            <w:tcW w:w="1980" w:type="dxa"/>
            <w:tcBorders>
              <w:top w:val="nil"/>
              <w:left w:val="single" w:sz="4" w:space="0" w:color="auto"/>
              <w:bottom w:val="nil"/>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17.888</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30.707</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174</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48.769</w:t>
            </w:r>
          </w:p>
        </w:tc>
      </w:tr>
      <w:tr w:rsidR="00FC48B5" w:rsidRPr="00F56AEE">
        <w:trPr>
          <w:trHeight w:val="255"/>
        </w:trPr>
        <w:tc>
          <w:tcPr>
            <w:tcW w:w="1980" w:type="dxa"/>
            <w:tcBorders>
              <w:top w:val="single" w:sz="4" w:space="0" w:color="auto"/>
              <w:left w:val="single" w:sz="4" w:space="0" w:color="auto"/>
              <w:bottom w:val="nil"/>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Junta de Vigilancia</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139.946</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26.378</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166.324</w:t>
            </w:r>
          </w:p>
        </w:tc>
      </w:tr>
      <w:tr w:rsidR="00FC48B5" w:rsidRPr="00F56AEE">
        <w:trPr>
          <w:trHeight w:val="255"/>
        </w:trPr>
        <w:tc>
          <w:tcPr>
            <w:tcW w:w="1980" w:type="dxa"/>
            <w:tcBorders>
              <w:top w:val="nil"/>
              <w:left w:val="single" w:sz="4" w:space="0" w:color="auto"/>
              <w:bottom w:val="single" w:sz="4" w:space="0" w:color="auto"/>
              <w:right w:val="single" w:sz="4" w:space="0" w:color="auto"/>
            </w:tcBorders>
            <w:shd w:val="clear" w:color="auto" w:fill="auto"/>
            <w:noWrap/>
            <w:vAlign w:val="bottom"/>
          </w:tcPr>
          <w:p w:rsidR="00FC48B5" w:rsidRPr="00F56AEE" w:rsidRDefault="00FC48B5" w:rsidP="00FC48B5">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0</w:t>
            </w:r>
          </w:p>
        </w:tc>
        <w:tc>
          <w:tcPr>
            <w:tcW w:w="14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1.693</w:t>
            </w:r>
          </w:p>
        </w:tc>
        <w:tc>
          <w:tcPr>
            <w:tcW w:w="9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FC48B5" w:rsidRPr="00F56AEE" w:rsidRDefault="00FC48B5" w:rsidP="00FC48B5">
            <w:pPr>
              <w:jc w:val="center"/>
              <w:rPr>
                <w:rFonts w:cs="Arial"/>
                <w:sz w:val="20"/>
                <w:szCs w:val="20"/>
              </w:rPr>
            </w:pPr>
            <w:r w:rsidRPr="00F56AEE">
              <w:rPr>
                <w:rFonts w:cs="Arial"/>
                <w:sz w:val="20"/>
                <w:szCs w:val="20"/>
              </w:rPr>
              <w:t>1.693</w:t>
            </w:r>
          </w:p>
        </w:tc>
      </w:tr>
    </w:tbl>
    <w:p w:rsidR="004F1BEF" w:rsidRPr="00F56AEE" w:rsidRDefault="004F1BEF" w:rsidP="00B51B51">
      <w:pPr>
        <w:widowControl w:val="0"/>
      </w:pPr>
    </w:p>
    <w:p w:rsidR="00FC48B5" w:rsidRPr="00F56AEE" w:rsidRDefault="00FC48B5" w:rsidP="00FC48B5">
      <w:r w:rsidRPr="00F56AEE">
        <w:t xml:space="preserve">La información de derechos de aprovechamiento se ha efectuado a nivel mensual quedando los caudales expresados en l/s. </w:t>
      </w:r>
    </w:p>
    <w:p w:rsidR="00FC48B5" w:rsidRPr="00F56AEE" w:rsidRDefault="00FC48B5" w:rsidP="00B51B51">
      <w:pPr>
        <w:widowControl w:val="0"/>
      </w:pPr>
    </w:p>
    <w:p w:rsidR="004C4EE9" w:rsidRPr="00F56AEE" w:rsidRDefault="004C4EE9" w:rsidP="00B51B51">
      <w:pPr>
        <w:widowControl w:val="0"/>
      </w:pPr>
      <w:r w:rsidRPr="00F56AEE">
        <w:t>Es por ello que para los derechos que poseen esta distribución mensual se ha ut</w:t>
      </w:r>
      <w:r w:rsidR="00537151" w:rsidRPr="00F56AEE">
        <w:t>ilizado esta información como vá</w:t>
      </w:r>
      <w:r w:rsidRPr="00F56AEE">
        <w:t>lida, en tanto para aquellos derechos de ejercicio permanente y continuo en donde no se discrimina un caudal mensual se asume que el caudal otorgado es uniforme en cada mes.</w:t>
      </w:r>
    </w:p>
    <w:p w:rsidR="004C4EE9" w:rsidRPr="00F56AEE" w:rsidRDefault="004C4EE9" w:rsidP="00B51B51">
      <w:pPr>
        <w:widowControl w:val="0"/>
      </w:pPr>
    </w:p>
    <w:p w:rsidR="004C4EE9" w:rsidRPr="00F56AEE" w:rsidRDefault="004C4EE9" w:rsidP="00B51B51">
      <w:pPr>
        <w:widowControl w:val="0"/>
      </w:pPr>
      <w:r w:rsidRPr="00F56AEE">
        <w:t>Junto con ello en forma complementaría se entrega una estimación del caudal promedio anual también quedando expresado en l/s.</w:t>
      </w:r>
    </w:p>
    <w:p w:rsidR="004C4EE9" w:rsidRPr="00F56AEE" w:rsidRDefault="004C4EE9" w:rsidP="00B51B51">
      <w:pPr>
        <w:widowControl w:val="0"/>
      </w:pPr>
    </w:p>
    <w:p w:rsidR="00AA581B" w:rsidRPr="00F56AEE" w:rsidRDefault="00AA581B" w:rsidP="00B51B51">
      <w:pPr>
        <w:widowControl w:val="0"/>
      </w:pPr>
      <w:r w:rsidRPr="00F56AEE">
        <w:t xml:space="preserve">A modo de resumen en </w:t>
      </w:r>
      <w:smartTag w:uri="urn:schemas-microsoft-com:office:smarttags" w:element="PersonName">
        <w:smartTagPr>
          <w:attr w:name="ProductID" w:val="la ￼￼￼￼￼￼￼￼￼￼￼￼￼￼￼￼￼￼￼￼￼￼￼￼￼￼￼￼￼￼￼￼￼￼￼￼￼￼￼￼￼Tabla"/>
        </w:smartTagPr>
        <w:r w:rsidRPr="00F56AEE">
          <w:t xml:space="preserve">la </w:t>
        </w:r>
        <w:r w:rsidRPr="00F56AEE">
          <w:fldChar w:fldCharType="begin"/>
        </w:r>
        <w:r w:rsidRPr="00F56AEE">
          <w:instrText xml:space="preserve"> REF _Ref338337676 \h </w:instrText>
        </w:r>
        <w:r w:rsidR="004F1BEF" w:rsidRPr="00F56AEE">
          <w:instrText xml:space="preserve"> \* MERGEFORMAT </w:instrText>
        </w:r>
        <w:r w:rsidRPr="00F56AEE">
          <w:fldChar w:fldCharType="separate"/>
        </w:r>
        <w:r w:rsidR="00264070">
          <w:t>Tabla</w:t>
        </w:r>
      </w:smartTag>
      <w:r w:rsidR="00264070">
        <w:t xml:space="preserve"> </w:t>
      </w:r>
      <w:r w:rsidR="00264070">
        <w:rPr>
          <w:noProof/>
        </w:rPr>
        <w:t>5.2</w:t>
      </w:r>
      <w:r w:rsidRPr="00F56AEE">
        <w:fldChar w:fldCharType="end"/>
      </w:r>
      <w:r w:rsidRPr="00F56AEE">
        <w:t xml:space="preserve"> se presentan las demandas mensuales de los derechos superficiales consuntivos permanentes según uso para </w:t>
      </w:r>
      <w:smartTag w:uri="urn:schemas-microsoft-com:office:smarttags" w:element="PersonName">
        <w:smartTagPr>
          <w:attr w:name="ProductID" w:val="la Región"/>
        </w:smartTagPr>
        <w:r w:rsidRPr="00F56AEE">
          <w:t>la Región</w:t>
        </w:r>
      </w:smartTag>
      <w:r w:rsidRPr="00F56AEE">
        <w:t xml:space="preserve"> de Valparaíso.</w:t>
      </w:r>
    </w:p>
    <w:p w:rsidR="00AA581B" w:rsidRPr="00F56AEE" w:rsidRDefault="00AA581B" w:rsidP="00B51B51">
      <w:pPr>
        <w:widowControl w:val="0"/>
      </w:pPr>
    </w:p>
    <w:p w:rsidR="00AA581B" w:rsidRDefault="00AA581B" w:rsidP="00B51B51">
      <w:pPr>
        <w:widowControl w:val="0"/>
      </w:pPr>
      <w:r w:rsidRPr="00F56AEE">
        <w:t xml:space="preserve">Al considerar el promedio anual se observa que la principal demanda corresponde al uso en riego representando un </w:t>
      </w:r>
      <w:r w:rsidR="00A1753B" w:rsidRPr="00F56AEE">
        <w:t>83</w:t>
      </w:r>
      <w:r w:rsidRPr="00F56AEE">
        <w:t>,</w:t>
      </w:r>
      <w:r w:rsidR="00A1753B" w:rsidRPr="00F56AEE">
        <w:t>3</w:t>
      </w:r>
      <w:r w:rsidRPr="00F56AEE">
        <w:t xml:space="preserve">% del total, siguiéndole en importancia el uso </w:t>
      </w:r>
      <w:r w:rsidR="00A1753B" w:rsidRPr="00F56AEE">
        <w:t xml:space="preserve">de minería (9,5%) y agua </w:t>
      </w:r>
      <w:r w:rsidRPr="00F56AEE">
        <w:t>potable (</w:t>
      </w:r>
      <w:r w:rsidR="00A1753B" w:rsidRPr="00F56AEE">
        <w:t>2</w:t>
      </w:r>
      <w:r w:rsidRPr="00F56AEE">
        <w:t>,</w:t>
      </w:r>
      <w:r w:rsidR="00A1753B" w:rsidRPr="00F56AEE">
        <w:t>6</w:t>
      </w:r>
      <w:r w:rsidR="004F1BEF" w:rsidRPr="00F56AEE">
        <w:t>%).</w:t>
      </w:r>
    </w:p>
    <w:p w:rsidR="00AA581B" w:rsidRPr="00680B79" w:rsidRDefault="00AA581B" w:rsidP="00B51B51">
      <w:pPr>
        <w:widowControl w:val="0"/>
        <w:jc w:val="left"/>
      </w:pPr>
    </w:p>
    <w:p w:rsidR="00AA581B" w:rsidRDefault="00AA581B" w:rsidP="00B51B51">
      <w:pPr>
        <w:pStyle w:val="Epgrafe"/>
        <w:widowControl w:val="0"/>
      </w:pPr>
      <w:bookmarkStart w:id="220" w:name="_Ref338337676"/>
      <w:r>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bookmarkEnd w:id="220"/>
      <w:r>
        <w:t xml:space="preserve"> Resumen de Demandas de Aguas según Usos. Derechos Superficiales Consuntivos Permanentes en l/s</w:t>
      </w:r>
    </w:p>
    <w:tbl>
      <w:tblPr>
        <w:tblW w:w="9468" w:type="dxa"/>
        <w:jc w:val="center"/>
        <w:tblLayout w:type="fixed"/>
        <w:tblCellMar>
          <w:left w:w="0" w:type="dxa"/>
          <w:right w:w="0" w:type="dxa"/>
        </w:tblCellMar>
        <w:tblLook w:val="0000" w:firstRow="0" w:lastRow="0" w:firstColumn="0" w:lastColumn="0" w:noHBand="0" w:noVBand="0"/>
      </w:tblPr>
      <w:tblGrid>
        <w:gridCol w:w="702"/>
        <w:gridCol w:w="605"/>
        <w:gridCol w:w="621"/>
        <w:gridCol w:w="622"/>
        <w:gridCol w:w="643"/>
        <w:gridCol w:w="600"/>
        <w:gridCol w:w="622"/>
        <w:gridCol w:w="621"/>
        <w:gridCol w:w="622"/>
        <w:gridCol w:w="621"/>
        <w:gridCol w:w="622"/>
        <w:gridCol w:w="622"/>
        <w:gridCol w:w="621"/>
        <w:gridCol w:w="702"/>
        <w:gridCol w:w="622"/>
      </w:tblGrid>
      <w:tr w:rsidR="0049518E" w:rsidRPr="0049518E">
        <w:trPr>
          <w:trHeight w:val="510"/>
          <w:jc w:val="center"/>
        </w:trPr>
        <w:tc>
          <w:tcPr>
            <w:tcW w:w="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A581B" w:rsidRPr="0049518E" w:rsidRDefault="00AA581B" w:rsidP="00B51B51">
            <w:pPr>
              <w:widowControl w:val="0"/>
              <w:jc w:val="center"/>
              <w:rPr>
                <w:rFonts w:cs="Arial"/>
                <w:sz w:val="14"/>
                <w:szCs w:val="16"/>
              </w:rPr>
            </w:pPr>
            <w:r w:rsidRPr="0049518E">
              <w:rPr>
                <w:rFonts w:cs="Arial"/>
                <w:sz w:val="14"/>
                <w:szCs w:val="16"/>
              </w:rPr>
              <w:t>Usos</w:t>
            </w:r>
          </w:p>
        </w:tc>
        <w:tc>
          <w:tcPr>
            <w:tcW w:w="605"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Abr</w:t>
            </w:r>
          </w:p>
        </w:tc>
        <w:tc>
          <w:tcPr>
            <w:tcW w:w="621"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May</w:t>
            </w:r>
          </w:p>
        </w:tc>
        <w:tc>
          <w:tcPr>
            <w:tcW w:w="622"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Jun</w:t>
            </w:r>
          </w:p>
        </w:tc>
        <w:tc>
          <w:tcPr>
            <w:tcW w:w="643"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Jul</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Ago</w:t>
            </w:r>
          </w:p>
        </w:tc>
        <w:tc>
          <w:tcPr>
            <w:tcW w:w="622"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Sep</w:t>
            </w:r>
          </w:p>
        </w:tc>
        <w:tc>
          <w:tcPr>
            <w:tcW w:w="621"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Oct</w:t>
            </w:r>
          </w:p>
        </w:tc>
        <w:tc>
          <w:tcPr>
            <w:tcW w:w="622"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Nov</w:t>
            </w:r>
          </w:p>
        </w:tc>
        <w:tc>
          <w:tcPr>
            <w:tcW w:w="621" w:type="dxa"/>
            <w:tcBorders>
              <w:top w:val="single" w:sz="4" w:space="0" w:color="auto"/>
              <w:left w:val="nil"/>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Dic</w:t>
            </w:r>
          </w:p>
        </w:tc>
        <w:tc>
          <w:tcPr>
            <w:tcW w:w="622" w:type="dxa"/>
            <w:tcBorders>
              <w:top w:val="single" w:sz="4" w:space="0" w:color="auto"/>
              <w:left w:val="nil"/>
              <w:bottom w:val="single" w:sz="4" w:space="0" w:color="auto"/>
              <w:right w:val="single" w:sz="4" w:space="0" w:color="auto"/>
            </w:tcBorders>
            <w:vAlign w:val="center"/>
          </w:tcPr>
          <w:p w:rsidR="00AA581B" w:rsidRPr="0049518E" w:rsidRDefault="00AA581B" w:rsidP="00B51B51">
            <w:pPr>
              <w:widowControl w:val="0"/>
              <w:jc w:val="center"/>
              <w:rPr>
                <w:rFonts w:cs="Arial"/>
                <w:bCs/>
                <w:sz w:val="14"/>
                <w:szCs w:val="16"/>
              </w:rPr>
            </w:pPr>
            <w:r w:rsidRPr="0049518E">
              <w:rPr>
                <w:rFonts w:cs="Arial"/>
                <w:bCs/>
                <w:sz w:val="14"/>
                <w:szCs w:val="16"/>
              </w:rPr>
              <w:t>Ene</w:t>
            </w:r>
          </w:p>
        </w:tc>
        <w:tc>
          <w:tcPr>
            <w:tcW w:w="622" w:type="dxa"/>
            <w:tcBorders>
              <w:top w:val="single" w:sz="4" w:space="0" w:color="auto"/>
              <w:left w:val="single" w:sz="4" w:space="0" w:color="auto"/>
              <w:bottom w:val="single" w:sz="4" w:space="0" w:color="auto"/>
              <w:right w:val="single" w:sz="4" w:space="0" w:color="auto"/>
            </w:tcBorders>
            <w:vAlign w:val="center"/>
          </w:tcPr>
          <w:p w:rsidR="00AA581B" w:rsidRPr="0049518E" w:rsidRDefault="00AA581B" w:rsidP="00B51B51">
            <w:pPr>
              <w:widowControl w:val="0"/>
              <w:jc w:val="center"/>
              <w:rPr>
                <w:rFonts w:cs="Arial"/>
                <w:bCs/>
                <w:sz w:val="14"/>
                <w:szCs w:val="16"/>
              </w:rPr>
            </w:pPr>
            <w:r w:rsidRPr="0049518E">
              <w:rPr>
                <w:rFonts w:cs="Arial"/>
                <w:bCs/>
                <w:sz w:val="14"/>
                <w:szCs w:val="16"/>
              </w:rPr>
              <w:t>Feb</w:t>
            </w:r>
          </w:p>
        </w:tc>
        <w:tc>
          <w:tcPr>
            <w:tcW w:w="621" w:type="dxa"/>
            <w:tcBorders>
              <w:top w:val="single" w:sz="4" w:space="0" w:color="auto"/>
              <w:left w:val="single" w:sz="4" w:space="0" w:color="auto"/>
              <w:bottom w:val="single" w:sz="4" w:space="0" w:color="auto"/>
              <w:right w:val="single" w:sz="4" w:space="0" w:color="auto"/>
            </w:tcBorders>
            <w:vAlign w:val="center"/>
          </w:tcPr>
          <w:p w:rsidR="00AA581B" w:rsidRPr="0049518E" w:rsidRDefault="00AA581B" w:rsidP="00B51B51">
            <w:pPr>
              <w:widowControl w:val="0"/>
              <w:jc w:val="center"/>
              <w:rPr>
                <w:rFonts w:cs="Arial"/>
                <w:bCs/>
                <w:sz w:val="14"/>
                <w:szCs w:val="16"/>
              </w:rPr>
            </w:pPr>
            <w:r w:rsidRPr="0049518E">
              <w:rPr>
                <w:rFonts w:cs="Arial"/>
                <w:bCs/>
                <w:sz w:val="14"/>
                <w:szCs w:val="16"/>
              </w:rPr>
              <w:t>Mar</w:t>
            </w:r>
          </w:p>
        </w:tc>
        <w:tc>
          <w:tcPr>
            <w:tcW w:w="702" w:type="dxa"/>
            <w:tcBorders>
              <w:top w:val="single" w:sz="4" w:space="0" w:color="auto"/>
              <w:left w:val="single" w:sz="4" w:space="0" w:color="auto"/>
              <w:bottom w:val="single" w:sz="4" w:space="0" w:color="auto"/>
              <w:right w:val="single" w:sz="4" w:space="0" w:color="auto"/>
            </w:tcBorders>
            <w:shd w:val="clear" w:color="auto" w:fill="auto"/>
            <w:vAlign w:val="center"/>
          </w:tcPr>
          <w:p w:rsidR="00AA581B" w:rsidRPr="0049518E" w:rsidRDefault="00AA581B" w:rsidP="00B51B51">
            <w:pPr>
              <w:widowControl w:val="0"/>
              <w:jc w:val="center"/>
              <w:rPr>
                <w:rFonts w:cs="Arial"/>
                <w:bCs/>
                <w:sz w:val="14"/>
                <w:szCs w:val="16"/>
              </w:rPr>
            </w:pPr>
            <w:r w:rsidRPr="0049518E">
              <w:rPr>
                <w:rFonts w:cs="Arial"/>
                <w:bCs/>
                <w:sz w:val="14"/>
                <w:szCs w:val="16"/>
              </w:rPr>
              <w:t>Promedio Anual</w:t>
            </w:r>
          </w:p>
        </w:tc>
        <w:tc>
          <w:tcPr>
            <w:tcW w:w="622" w:type="dxa"/>
            <w:tcBorders>
              <w:top w:val="single" w:sz="4" w:space="0" w:color="auto"/>
              <w:left w:val="nil"/>
              <w:bottom w:val="single" w:sz="4" w:space="0" w:color="auto"/>
              <w:right w:val="single" w:sz="4" w:space="0" w:color="auto"/>
            </w:tcBorders>
            <w:shd w:val="clear" w:color="auto" w:fill="auto"/>
            <w:noWrap/>
            <w:vAlign w:val="center"/>
          </w:tcPr>
          <w:p w:rsidR="00AA581B" w:rsidRPr="0049518E" w:rsidRDefault="00AA581B" w:rsidP="00B51B51">
            <w:pPr>
              <w:widowControl w:val="0"/>
              <w:jc w:val="center"/>
              <w:rPr>
                <w:rFonts w:cs="Arial"/>
                <w:bCs/>
                <w:sz w:val="14"/>
                <w:szCs w:val="16"/>
              </w:rPr>
            </w:pPr>
            <w:r w:rsidRPr="0049518E">
              <w:rPr>
                <w:rFonts w:cs="Arial"/>
                <w:bCs/>
                <w:sz w:val="14"/>
                <w:szCs w:val="16"/>
              </w:rPr>
              <w:t>%</w:t>
            </w:r>
          </w:p>
        </w:tc>
      </w:tr>
      <w:tr w:rsidR="0049518E" w:rsidRPr="0049518E">
        <w:trPr>
          <w:trHeight w:val="255"/>
          <w:jc w:val="center"/>
        </w:trPr>
        <w:tc>
          <w:tcPr>
            <w:tcW w:w="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Riego</w:t>
            </w:r>
          </w:p>
        </w:tc>
        <w:tc>
          <w:tcPr>
            <w:tcW w:w="605"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72.769,0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72.831,4</w:t>
            </w:r>
          </w:p>
        </w:tc>
        <w:tc>
          <w:tcPr>
            <w:tcW w:w="622"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76.977,5</w:t>
            </w:r>
          </w:p>
        </w:tc>
        <w:tc>
          <w:tcPr>
            <w:tcW w:w="643"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74.859,9</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77.555,3</w:t>
            </w:r>
          </w:p>
        </w:tc>
        <w:tc>
          <w:tcPr>
            <w:tcW w:w="622"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72.497,4</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73.227,7</w:t>
            </w:r>
          </w:p>
        </w:tc>
        <w:tc>
          <w:tcPr>
            <w:tcW w:w="622"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71.412,5</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71.347,9</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62.614,7</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62.616,6</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67.648,2</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71.363,2</w:t>
            </w:r>
          </w:p>
        </w:tc>
        <w:tc>
          <w:tcPr>
            <w:tcW w:w="622" w:type="dxa"/>
            <w:tcBorders>
              <w:top w:val="single" w:sz="4" w:space="0" w:color="auto"/>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83,3</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Agua Potable</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4.298,9</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9.524,9</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2.447,9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1.164,9</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2.229,7</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2,6</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Industrial</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209,1</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1.281,3</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4.271,0</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6.906,6</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3.441,1</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745,6</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209,2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208,8</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208,7</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208,5</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208,5</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208,6</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1.508,9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1,8</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Minería</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8.315,2</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8.295,2</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5.952,2</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8.352,2</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8.144,4</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9,5</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Doméstico</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1.243,3</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1.243,8</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1.244,0</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1.243,9</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1.243,7</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1.243,4</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1.243,1</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1.220,1</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1.243,1</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1.243,1</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1.241,5</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1,4</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Otros Usos</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1.199,2</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1,4</w:t>
            </w:r>
          </w:p>
        </w:tc>
      </w:tr>
      <w:tr w:rsidR="0049518E" w:rsidRPr="0049518E">
        <w:trPr>
          <w:trHeight w:val="255"/>
          <w:jc w:val="center"/>
        </w:trPr>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rPr>
                <w:rFonts w:cs="Arial"/>
                <w:sz w:val="14"/>
                <w:szCs w:val="16"/>
              </w:rPr>
            </w:pPr>
            <w:r w:rsidRPr="0049518E">
              <w:rPr>
                <w:rFonts w:cs="Arial"/>
                <w:sz w:val="14"/>
                <w:szCs w:val="16"/>
              </w:rPr>
              <w:t>Total (l/s)</w:t>
            </w:r>
          </w:p>
        </w:tc>
        <w:tc>
          <w:tcPr>
            <w:tcW w:w="605"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84.937,8</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86.072,9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96.342,9</w:t>
            </w:r>
          </w:p>
        </w:tc>
        <w:tc>
          <w:tcPr>
            <w:tcW w:w="643"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102.086,8</w:t>
            </w:r>
          </w:p>
        </w:tc>
        <w:tc>
          <w:tcPr>
            <w:tcW w:w="600"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94.239,5</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85.202,8</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85.396,4</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83.580,9</w:t>
            </w:r>
          </w:p>
        </w:tc>
        <w:tc>
          <w:tcPr>
            <w:tcW w:w="621"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83.479,1</w:t>
            </w:r>
          </w:p>
        </w:tc>
        <w:tc>
          <w:tcPr>
            <w:tcW w:w="622" w:type="dxa"/>
            <w:tcBorders>
              <w:top w:val="single" w:sz="4" w:space="0" w:color="auto"/>
              <w:left w:val="nil"/>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74.702,7</w:t>
            </w:r>
          </w:p>
        </w:tc>
        <w:tc>
          <w:tcPr>
            <w:tcW w:w="622"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72.384,6</w:t>
            </w:r>
          </w:p>
        </w:tc>
        <w:tc>
          <w:tcPr>
            <w:tcW w:w="621" w:type="dxa"/>
            <w:tcBorders>
              <w:top w:val="single" w:sz="4" w:space="0" w:color="auto"/>
              <w:left w:val="single" w:sz="4" w:space="0" w:color="auto"/>
              <w:bottom w:val="single" w:sz="4" w:space="0" w:color="auto"/>
              <w:right w:val="single" w:sz="4" w:space="0" w:color="auto"/>
            </w:tcBorders>
            <w:vAlign w:val="center"/>
          </w:tcPr>
          <w:p w:rsidR="00A1753B" w:rsidRPr="0049518E" w:rsidRDefault="00A1753B" w:rsidP="00B51B51">
            <w:pPr>
              <w:widowControl w:val="0"/>
              <w:jc w:val="center"/>
              <w:rPr>
                <w:rFonts w:cs="Arial"/>
                <w:bCs/>
                <w:sz w:val="14"/>
                <w:szCs w:val="16"/>
              </w:rPr>
            </w:pPr>
            <w:r w:rsidRPr="0049518E">
              <w:rPr>
                <w:rFonts w:cs="Arial"/>
                <w:bCs/>
                <w:sz w:val="14"/>
                <w:szCs w:val="16"/>
              </w:rPr>
              <w:t>79.816,3</w:t>
            </w:r>
          </w:p>
        </w:tc>
        <w:tc>
          <w:tcPr>
            <w:tcW w:w="702" w:type="dxa"/>
            <w:tcBorders>
              <w:top w:val="nil"/>
              <w:left w:val="single" w:sz="4" w:space="0" w:color="auto"/>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85.686,9</w:t>
            </w:r>
          </w:p>
        </w:tc>
        <w:tc>
          <w:tcPr>
            <w:tcW w:w="622" w:type="dxa"/>
            <w:tcBorders>
              <w:top w:val="nil"/>
              <w:left w:val="nil"/>
              <w:bottom w:val="single" w:sz="4" w:space="0" w:color="auto"/>
              <w:right w:val="single" w:sz="4" w:space="0" w:color="auto"/>
            </w:tcBorders>
            <w:shd w:val="clear" w:color="auto" w:fill="auto"/>
            <w:noWrap/>
            <w:vAlign w:val="center"/>
          </w:tcPr>
          <w:p w:rsidR="00A1753B" w:rsidRPr="0049518E" w:rsidRDefault="00A1753B" w:rsidP="00B51B51">
            <w:pPr>
              <w:widowControl w:val="0"/>
              <w:jc w:val="center"/>
              <w:rPr>
                <w:rFonts w:cs="Arial"/>
                <w:bCs/>
                <w:sz w:val="14"/>
                <w:szCs w:val="16"/>
              </w:rPr>
            </w:pPr>
            <w:r w:rsidRPr="0049518E">
              <w:rPr>
                <w:rFonts w:cs="Arial"/>
                <w:bCs/>
                <w:sz w:val="14"/>
                <w:szCs w:val="16"/>
              </w:rPr>
              <w:t>100,0</w:t>
            </w:r>
          </w:p>
        </w:tc>
      </w:tr>
    </w:tbl>
    <w:p w:rsidR="00AA581B" w:rsidRDefault="00AA581B" w:rsidP="00B51B51">
      <w:pPr>
        <w:widowControl w:val="0"/>
      </w:pPr>
    </w:p>
    <w:p w:rsidR="00393AFF" w:rsidRDefault="00F56AEE" w:rsidP="00B51B51">
      <w:pPr>
        <w:widowControl w:val="0"/>
      </w:pPr>
      <w:r>
        <w:t xml:space="preserve">En </w:t>
      </w:r>
      <w:smartTag w:uri="urn:schemas-microsoft-com:office:smarttags" w:element="PersonName">
        <w:smartTagPr>
          <w:attr w:name="ProductID" w:val="la ￼￼￼￼￼￼￼￼￼￼￼￼￼￼￼￼￼￼￼￼￼￼￼￼￼￼￼￼￼￼￼￼￼￼￼￼￼￼￼￼￼Tabla"/>
        </w:smartTagPr>
        <w:r>
          <w:t xml:space="preserve">la </w:t>
        </w:r>
        <w:r>
          <w:fldChar w:fldCharType="begin"/>
        </w:r>
        <w:r>
          <w:instrText xml:space="preserve"> REF _Ref342041708 \h </w:instrText>
        </w:r>
        <w:r>
          <w:fldChar w:fldCharType="separate"/>
        </w:r>
        <w:r w:rsidR="00264070">
          <w:t>Tabla</w:t>
        </w:r>
      </w:smartTag>
      <w:r w:rsidR="00264070">
        <w:t xml:space="preserve"> </w:t>
      </w:r>
      <w:r w:rsidR="00264070">
        <w:rPr>
          <w:noProof/>
        </w:rPr>
        <w:t>5</w:t>
      </w:r>
      <w:r w:rsidR="00264070">
        <w:t>.</w:t>
      </w:r>
      <w:r w:rsidR="00264070">
        <w:rPr>
          <w:noProof/>
        </w:rPr>
        <w:t>3</w:t>
      </w:r>
      <w:r>
        <w:fldChar w:fldCharType="end"/>
      </w:r>
      <w:r>
        <w:t xml:space="preserve"> se </w:t>
      </w:r>
      <w:r w:rsidR="00AA581B">
        <w:t>presentan las demandas mensuales de los derechos superficiales consuntivos eventuales.</w:t>
      </w:r>
      <w:r w:rsidR="00393AFF">
        <w:t xml:space="preserve"> De la misma forma que para los derechos permanentes la principal demanda se encuentra representada por el uso de riego.</w:t>
      </w:r>
    </w:p>
    <w:p w:rsidR="00AA581B" w:rsidRDefault="00AA581B" w:rsidP="00B51B51">
      <w:pPr>
        <w:widowControl w:val="0"/>
      </w:pPr>
    </w:p>
    <w:p w:rsidR="00AA581B" w:rsidRDefault="00FC48B5" w:rsidP="00B51B51">
      <w:pPr>
        <w:pStyle w:val="Epgrafe"/>
        <w:widowControl w:val="0"/>
      </w:pPr>
      <w:bookmarkStart w:id="221" w:name="_Ref338339060"/>
      <w:r>
        <w:br w:type="page"/>
      </w:r>
      <w:bookmarkStart w:id="222" w:name="_Ref342041708"/>
      <w:r w:rsidR="00AA581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bookmarkEnd w:id="221"/>
      <w:bookmarkEnd w:id="222"/>
      <w:r w:rsidR="00AA581B">
        <w:t xml:space="preserve"> Resumen de Demandas de Aguas según Usos. Derechos Superficiales Consuntivos Eventuales en l/s</w:t>
      </w:r>
    </w:p>
    <w:tbl>
      <w:tblPr>
        <w:tblW w:w="9203" w:type="dxa"/>
        <w:tblInd w:w="51" w:type="dxa"/>
        <w:tblCellMar>
          <w:left w:w="28" w:type="dxa"/>
          <w:right w:w="28" w:type="dxa"/>
        </w:tblCellMar>
        <w:tblLook w:val="0000" w:firstRow="0" w:lastRow="0" w:firstColumn="0" w:lastColumn="0" w:noHBand="0" w:noVBand="0"/>
      </w:tblPr>
      <w:tblGrid>
        <w:gridCol w:w="835"/>
        <w:gridCol w:w="601"/>
        <w:gridCol w:w="601"/>
        <w:gridCol w:w="601"/>
        <w:gridCol w:w="601"/>
        <w:gridCol w:w="601"/>
        <w:gridCol w:w="601"/>
        <w:gridCol w:w="601"/>
        <w:gridCol w:w="601"/>
        <w:gridCol w:w="601"/>
        <w:gridCol w:w="601"/>
        <w:gridCol w:w="601"/>
        <w:gridCol w:w="601"/>
        <w:gridCol w:w="728"/>
        <w:gridCol w:w="452"/>
      </w:tblGrid>
      <w:tr w:rsidR="00AA581B" w:rsidRPr="00F03152">
        <w:trPr>
          <w:trHeight w:val="51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A581B" w:rsidRPr="00F03152" w:rsidRDefault="00AA581B" w:rsidP="00B51B51">
            <w:pPr>
              <w:widowControl w:val="0"/>
              <w:jc w:val="center"/>
              <w:rPr>
                <w:rFonts w:cs="Arial"/>
                <w:sz w:val="14"/>
                <w:szCs w:val="14"/>
              </w:rPr>
            </w:pPr>
            <w:r w:rsidRPr="00F03152">
              <w:rPr>
                <w:rFonts w:cs="Arial"/>
                <w:sz w:val="14"/>
                <w:szCs w:val="14"/>
              </w:rPr>
              <w:t>Usos</w:t>
            </w:r>
          </w:p>
        </w:tc>
        <w:tc>
          <w:tcPr>
            <w:tcW w:w="597"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Abr</w:t>
            </w:r>
          </w:p>
        </w:tc>
        <w:tc>
          <w:tcPr>
            <w:tcW w:w="599"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May</w:t>
            </w:r>
          </w:p>
        </w:tc>
        <w:tc>
          <w:tcPr>
            <w:tcW w:w="599"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Jun</w:t>
            </w:r>
          </w:p>
        </w:tc>
        <w:tc>
          <w:tcPr>
            <w:tcW w:w="599"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Jul</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Ago</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Sep</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Oct</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Nov</w:t>
            </w:r>
          </w:p>
        </w:tc>
        <w:tc>
          <w:tcPr>
            <w:tcW w:w="600" w:type="dxa"/>
            <w:tcBorders>
              <w:top w:val="single" w:sz="4" w:space="0" w:color="auto"/>
              <w:left w:val="nil"/>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Dic</w:t>
            </w:r>
          </w:p>
        </w:tc>
        <w:tc>
          <w:tcPr>
            <w:tcW w:w="598" w:type="dxa"/>
            <w:tcBorders>
              <w:top w:val="single" w:sz="4" w:space="0" w:color="auto"/>
              <w:left w:val="nil"/>
              <w:bottom w:val="single" w:sz="4" w:space="0" w:color="auto"/>
              <w:right w:val="single" w:sz="4" w:space="0" w:color="auto"/>
            </w:tcBorders>
            <w:vAlign w:val="center"/>
          </w:tcPr>
          <w:p w:rsidR="00AA581B" w:rsidRPr="00F03152" w:rsidRDefault="00AA581B" w:rsidP="00B51B51">
            <w:pPr>
              <w:widowControl w:val="0"/>
              <w:jc w:val="center"/>
              <w:rPr>
                <w:rFonts w:cs="Arial"/>
                <w:bCs/>
                <w:sz w:val="14"/>
                <w:szCs w:val="14"/>
              </w:rPr>
            </w:pPr>
            <w:r w:rsidRPr="00F03152">
              <w:rPr>
                <w:rFonts w:cs="Arial"/>
                <w:bCs/>
                <w:sz w:val="14"/>
                <w:szCs w:val="14"/>
              </w:rPr>
              <w:t>Ene</w:t>
            </w:r>
          </w:p>
        </w:tc>
        <w:tc>
          <w:tcPr>
            <w:tcW w:w="598" w:type="dxa"/>
            <w:tcBorders>
              <w:top w:val="single" w:sz="4" w:space="0" w:color="auto"/>
              <w:left w:val="single" w:sz="4" w:space="0" w:color="auto"/>
              <w:bottom w:val="single" w:sz="4" w:space="0" w:color="auto"/>
              <w:right w:val="single" w:sz="4" w:space="0" w:color="auto"/>
            </w:tcBorders>
            <w:vAlign w:val="center"/>
          </w:tcPr>
          <w:p w:rsidR="00AA581B" w:rsidRPr="00F03152" w:rsidRDefault="00AA581B" w:rsidP="00B51B51">
            <w:pPr>
              <w:widowControl w:val="0"/>
              <w:jc w:val="center"/>
              <w:rPr>
                <w:rFonts w:cs="Arial"/>
                <w:bCs/>
                <w:sz w:val="14"/>
                <w:szCs w:val="14"/>
              </w:rPr>
            </w:pPr>
            <w:r w:rsidRPr="00F03152">
              <w:rPr>
                <w:rFonts w:cs="Arial"/>
                <w:bCs/>
                <w:sz w:val="14"/>
                <w:szCs w:val="14"/>
              </w:rPr>
              <w:t>Feb</w:t>
            </w:r>
          </w:p>
        </w:tc>
        <w:tc>
          <w:tcPr>
            <w:tcW w:w="598" w:type="dxa"/>
            <w:tcBorders>
              <w:top w:val="single" w:sz="4" w:space="0" w:color="auto"/>
              <w:left w:val="single" w:sz="4" w:space="0" w:color="auto"/>
              <w:bottom w:val="single" w:sz="4" w:space="0" w:color="auto"/>
              <w:right w:val="single" w:sz="4" w:space="0" w:color="auto"/>
            </w:tcBorders>
            <w:vAlign w:val="center"/>
          </w:tcPr>
          <w:p w:rsidR="00AA581B" w:rsidRPr="00F03152" w:rsidRDefault="00AA581B" w:rsidP="00B51B51">
            <w:pPr>
              <w:widowControl w:val="0"/>
              <w:jc w:val="center"/>
              <w:rPr>
                <w:rFonts w:cs="Arial"/>
                <w:bCs/>
                <w:sz w:val="14"/>
                <w:szCs w:val="14"/>
              </w:rPr>
            </w:pPr>
            <w:r w:rsidRPr="00F03152">
              <w:rPr>
                <w:rFonts w:cs="Arial"/>
                <w:bCs/>
                <w:sz w:val="14"/>
                <w:szCs w:val="14"/>
              </w:rPr>
              <w:t>Mar</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rsidR="00AA581B" w:rsidRPr="00F03152" w:rsidRDefault="00AA581B" w:rsidP="00B51B51">
            <w:pPr>
              <w:widowControl w:val="0"/>
              <w:jc w:val="center"/>
              <w:rPr>
                <w:rFonts w:cs="Arial"/>
                <w:bCs/>
                <w:sz w:val="14"/>
                <w:szCs w:val="14"/>
              </w:rPr>
            </w:pPr>
            <w:r w:rsidRPr="00F03152">
              <w:rPr>
                <w:rFonts w:cs="Arial"/>
                <w:bCs/>
                <w:sz w:val="14"/>
                <w:szCs w:val="14"/>
              </w:rPr>
              <w:t>Promedio Anual</w:t>
            </w:r>
          </w:p>
        </w:tc>
        <w:tc>
          <w:tcPr>
            <w:tcW w:w="452" w:type="dxa"/>
            <w:tcBorders>
              <w:top w:val="single" w:sz="4" w:space="0" w:color="auto"/>
              <w:left w:val="nil"/>
              <w:bottom w:val="single" w:sz="4" w:space="0" w:color="auto"/>
              <w:right w:val="single" w:sz="4" w:space="0" w:color="auto"/>
            </w:tcBorders>
            <w:shd w:val="clear" w:color="auto" w:fill="auto"/>
            <w:noWrap/>
            <w:vAlign w:val="center"/>
          </w:tcPr>
          <w:p w:rsidR="00AA581B" w:rsidRPr="00F03152" w:rsidRDefault="00AA581B" w:rsidP="00B51B51">
            <w:pPr>
              <w:widowControl w:val="0"/>
              <w:jc w:val="center"/>
              <w:rPr>
                <w:rFonts w:cs="Arial"/>
                <w:bCs/>
                <w:sz w:val="14"/>
                <w:szCs w:val="14"/>
              </w:rPr>
            </w:pPr>
            <w:r w:rsidRPr="00F03152">
              <w:rPr>
                <w:rFonts w:cs="Arial"/>
                <w:bCs/>
                <w:sz w:val="14"/>
                <w:szCs w:val="14"/>
              </w:rPr>
              <w:t>%</w:t>
            </w:r>
          </w:p>
        </w:tc>
      </w:tr>
      <w:tr w:rsidR="00393AFF" w:rsidRPr="00393AFF">
        <w:trPr>
          <w:trHeight w:val="255"/>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Riego</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10.369,8</w:t>
            </w:r>
          </w:p>
        </w:tc>
        <w:tc>
          <w:tcPr>
            <w:tcW w:w="599"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14.011,8</w:t>
            </w:r>
          </w:p>
        </w:tc>
        <w:tc>
          <w:tcPr>
            <w:tcW w:w="599"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13.589,4</w:t>
            </w:r>
          </w:p>
        </w:tc>
        <w:tc>
          <w:tcPr>
            <w:tcW w:w="599"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15.709,5</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13.614,5</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13.660,5</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11.182,8</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12.919,8</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12.132,1</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18.342,7</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15.231,0</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13.291,8</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13.671,3</w:t>
            </w:r>
          </w:p>
        </w:tc>
        <w:tc>
          <w:tcPr>
            <w:tcW w:w="452" w:type="dxa"/>
            <w:tcBorders>
              <w:top w:val="single" w:sz="4" w:space="0" w:color="auto"/>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63,4</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Agua Potable</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Industrial</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5,3</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12.134,7</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10.614,3</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7.999,9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10.758,0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7.542,6</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1.906,7</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321,3</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0,6</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0,1</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0,3</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1,1</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4.273,7</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19,8</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Minería</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3.100,0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3.379,0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3.379,0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3.379,0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379,0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379,0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379,0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379,0</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100,0</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100,0</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100,0</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1.262,8</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5,9</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Doméstico</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0,7</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3,3</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1,1</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0,5</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0,3</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0,9</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0,9</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0,0</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Otros Usos</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2.349,9</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10,9</w:t>
            </w:r>
          </w:p>
        </w:tc>
      </w:tr>
      <w:tr w:rsidR="00393AFF" w:rsidRPr="00393AFF">
        <w:trPr>
          <w:trHeight w:val="255"/>
        </w:trPr>
        <w:tc>
          <w:tcPr>
            <w:tcW w:w="835" w:type="dxa"/>
            <w:tcBorders>
              <w:top w:val="nil"/>
              <w:left w:val="single" w:sz="4" w:space="0" w:color="auto"/>
              <w:bottom w:val="single" w:sz="4" w:space="0" w:color="auto"/>
              <w:right w:val="single" w:sz="4" w:space="0" w:color="auto"/>
            </w:tcBorders>
            <w:shd w:val="clear" w:color="auto" w:fill="auto"/>
            <w:noWrap/>
            <w:vAlign w:val="center"/>
          </w:tcPr>
          <w:p w:rsidR="00393AFF" w:rsidRPr="00F03152" w:rsidRDefault="00393AFF" w:rsidP="00B51B51">
            <w:pPr>
              <w:widowControl w:val="0"/>
              <w:rPr>
                <w:rFonts w:cs="Arial"/>
                <w:sz w:val="14"/>
                <w:szCs w:val="14"/>
              </w:rPr>
            </w:pPr>
            <w:r w:rsidRPr="00F03152">
              <w:rPr>
                <w:rFonts w:cs="Arial"/>
                <w:sz w:val="14"/>
                <w:szCs w:val="14"/>
              </w:rPr>
              <w:t>Total</w:t>
            </w:r>
            <w:r>
              <w:rPr>
                <w:rFonts w:cs="Arial"/>
                <w:sz w:val="14"/>
                <w:szCs w:val="14"/>
              </w:rPr>
              <w:t xml:space="preserve"> (l/s)</w:t>
            </w:r>
          </w:p>
        </w:tc>
        <w:tc>
          <w:tcPr>
            <w:tcW w:w="597"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12.826,2</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31.596,4</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29.932,6</w:t>
            </w:r>
          </w:p>
        </w:tc>
        <w:tc>
          <w:tcPr>
            <w:tcW w:w="599"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29.438,3</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30.101,4</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23.932,8</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15.821,8</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15.972,9</w:t>
            </w:r>
          </w:p>
        </w:tc>
        <w:tc>
          <w:tcPr>
            <w:tcW w:w="600"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14.862,7</w:t>
            </w:r>
          </w:p>
        </w:tc>
        <w:tc>
          <w:tcPr>
            <w:tcW w:w="598" w:type="dxa"/>
            <w:tcBorders>
              <w:top w:val="single" w:sz="4" w:space="0" w:color="auto"/>
              <w:left w:val="nil"/>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20.793,1</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17.681,5</w:t>
            </w:r>
          </w:p>
        </w:tc>
        <w:tc>
          <w:tcPr>
            <w:tcW w:w="598" w:type="dxa"/>
            <w:tcBorders>
              <w:top w:val="single" w:sz="4" w:space="0" w:color="auto"/>
              <w:left w:val="single" w:sz="4" w:space="0" w:color="auto"/>
              <w:bottom w:val="single" w:sz="4" w:space="0" w:color="auto"/>
              <w:right w:val="single" w:sz="4" w:space="0" w:color="auto"/>
            </w:tcBorders>
            <w:vAlign w:val="center"/>
          </w:tcPr>
          <w:p w:rsidR="00393AFF" w:rsidRPr="00393AFF" w:rsidRDefault="00393AFF" w:rsidP="00B51B51">
            <w:pPr>
              <w:widowControl w:val="0"/>
              <w:jc w:val="center"/>
              <w:rPr>
                <w:rFonts w:cs="Arial"/>
                <w:bCs/>
                <w:sz w:val="14"/>
                <w:szCs w:val="14"/>
              </w:rPr>
            </w:pPr>
            <w:r w:rsidRPr="00393AFF">
              <w:rPr>
                <w:rFonts w:cs="Arial"/>
                <w:bCs/>
                <w:sz w:val="14"/>
                <w:szCs w:val="14"/>
              </w:rPr>
              <w:t>15.743,6</w:t>
            </w:r>
          </w:p>
        </w:tc>
        <w:tc>
          <w:tcPr>
            <w:tcW w:w="728" w:type="dxa"/>
            <w:tcBorders>
              <w:top w:val="nil"/>
              <w:left w:val="single" w:sz="4" w:space="0" w:color="auto"/>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21.558,6</w:t>
            </w:r>
          </w:p>
        </w:tc>
        <w:tc>
          <w:tcPr>
            <w:tcW w:w="452" w:type="dxa"/>
            <w:tcBorders>
              <w:top w:val="nil"/>
              <w:left w:val="nil"/>
              <w:bottom w:val="single" w:sz="4" w:space="0" w:color="auto"/>
              <w:right w:val="single" w:sz="4" w:space="0" w:color="auto"/>
            </w:tcBorders>
            <w:shd w:val="clear" w:color="auto" w:fill="auto"/>
            <w:noWrap/>
            <w:vAlign w:val="center"/>
          </w:tcPr>
          <w:p w:rsidR="00393AFF" w:rsidRPr="00393AFF" w:rsidRDefault="00393AFF" w:rsidP="00B51B51">
            <w:pPr>
              <w:widowControl w:val="0"/>
              <w:jc w:val="center"/>
              <w:rPr>
                <w:rFonts w:cs="Arial"/>
                <w:bCs/>
                <w:sz w:val="14"/>
                <w:szCs w:val="14"/>
              </w:rPr>
            </w:pPr>
            <w:r w:rsidRPr="00393AFF">
              <w:rPr>
                <w:rFonts w:cs="Arial"/>
                <w:bCs/>
                <w:sz w:val="14"/>
                <w:szCs w:val="14"/>
              </w:rPr>
              <w:t>100,0</w:t>
            </w:r>
          </w:p>
        </w:tc>
      </w:tr>
    </w:tbl>
    <w:p w:rsidR="00AA581B" w:rsidRDefault="00AA581B" w:rsidP="00B51B51">
      <w:pPr>
        <w:widowControl w:val="0"/>
      </w:pPr>
    </w:p>
    <w:p w:rsidR="00AA581B" w:rsidRDefault="00AA581B" w:rsidP="00B51B51">
      <w:pPr>
        <w:widowControl w:val="0"/>
      </w:pPr>
      <w:r>
        <w:t xml:space="preserve">En </w:t>
      </w:r>
      <w:smartTag w:uri="urn:schemas-microsoft-com:office:smarttags" w:element="PersonName">
        <w:smartTagPr>
          <w:attr w:name="ProductID" w:val="la ￼￼￼￼￼￼￼￼￼￼￼￼￼￼￼￼￼￼￼￼￼￼￼￼￼￼￼￼￼￼￼￼￼￼￼￼￼￼￼￼￼Tabla"/>
        </w:smartTagPr>
        <w:r>
          <w:t xml:space="preserve">la </w:t>
        </w:r>
        <w:r w:rsidR="00BD6D96">
          <w:fldChar w:fldCharType="begin"/>
        </w:r>
        <w:r w:rsidR="00BD6D96">
          <w:instrText xml:space="preserve"> REF _Ref336951947 \h </w:instrText>
        </w:r>
        <w:r w:rsidR="00BD6D96">
          <w:fldChar w:fldCharType="separate"/>
        </w:r>
        <w:r w:rsidR="00264070" w:rsidRPr="008A416B">
          <w:t>Tabla</w:t>
        </w:r>
      </w:smartTag>
      <w:r w:rsidR="00264070" w:rsidRPr="008A416B">
        <w:t xml:space="preserve"> </w:t>
      </w:r>
      <w:r w:rsidR="00264070">
        <w:rPr>
          <w:noProof/>
        </w:rPr>
        <w:t>5</w:t>
      </w:r>
      <w:r w:rsidR="00264070">
        <w:t>.</w:t>
      </w:r>
      <w:r w:rsidR="00264070">
        <w:rPr>
          <w:noProof/>
        </w:rPr>
        <w:t>4</w:t>
      </w:r>
      <w:r w:rsidR="00BD6D96">
        <w:fldChar w:fldCharType="end"/>
      </w:r>
      <w:r w:rsidR="00BD6D96">
        <w:t xml:space="preserve"> </w:t>
      </w:r>
      <w:r>
        <w:t xml:space="preserve">a </w:t>
      </w:r>
      <w:r w:rsidR="00FE7D93">
        <w:fldChar w:fldCharType="begin"/>
      </w:r>
      <w:r w:rsidR="00FE7D93">
        <w:instrText xml:space="preserve"> REF _Ref336951968 \h </w:instrText>
      </w:r>
      <w:r w:rsidR="00FE7D93">
        <w:fldChar w:fldCharType="separate"/>
      </w:r>
      <w:r w:rsidR="00264070" w:rsidRPr="008A416B">
        <w:t xml:space="preserve">Tabla </w:t>
      </w:r>
      <w:r w:rsidR="00264070">
        <w:rPr>
          <w:noProof/>
        </w:rPr>
        <w:t>5</w:t>
      </w:r>
      <w:r w:rsidR="00264070">
        <w:t>.</w:t>
      </w:r>
      <w:r w:rsidR="00264070">
        <w:rPr>
          <w:noProof/>
        </w:rPr>
        <w:t>9</w:t>
      </w:r>
      <w:r w:rsidR="00FE7D93">
        <w:fldChar w:fldCharType="end"/>
      </w:r>
      <w:r w:rsidR="00FE7D93">
        <w:t xml:space="preserve"> </w:t>
      </w:r>
      <w:r>
        <w:t xml:space="preserve">se </w:t>
      </w:r>
      <w:r w:rsidRPr="00680B79">
        <w:t xml:space="preserve">presenta el detalle de las demandas </w:t>
      </w:r>
      <w:r>
        <w:t xml:space="preserve">según usos para las subcuencas de </w:t>
      </w:r>
      <w:smartTag w:uri="urn:schemas-microsoft-com:office:smarttags" w:element="PersonName">
        <w:smartTagPr>
          <w:attr w:name="ProductID" w:val="la Región"/>
        </w:smartTagPr>
        <w:r>
          <w:t>la Región</w:t>
        </w:r>
      </w:smartTag>
      <w:r>
        <w:t xml:space="preserve"> de O´Higgins, para los derechos consuntivos tanto de ejercicio eventual como permanente. </w:t>
      </w:r>
      <w:r w:rsidR="003406D8">
        <w:t xml:space="preserve">También </w:t>
      </w:r>
      <w:r>
        <w:t xml:space="preserve">en </w:t>
      </w:r>
      <w:smartTag w:uri="urn:schemas-microsoft-com:office:smarttags" w:element="PersonName">
        <w:smartTagPr>
          <w:attr w:name="ProductID" w:val="la ￼￼￼￼￼￼￼￼￼￼￼￼￼￼￼￼￼￼￼￼￼￼￼￼￼￼￼￼￼￼￼￼￼￼￼￼￼￼￼￼￼ Tabla"/>
        </w:smartTagPr>
        <w:r>
          <w:t xml:space="preserve">la </w:t>
        </w:r>
        <w:r w:rsidR="00BD6D96">
          <w:t xml:space="preserve"> </w:t>
        </w:r>
        <w:r w:rsidR="003406D8">
          <w:fldChar w:fldCharType="begin"/>
        </w:r>
        <w:r w:rsidR="003406D8">
          <w:instrText xml:space="preserve"> REF _Ref338404451 \h </w:instrText>
        </w:r>
        <w:r w:rsidR="003406D8">
          <w:fldChar w:fldCharType="separate"/>
        </w:r>
        <w:r w:rsidR="00264070" w:rsidRPr="00C624DE">
          <w:t>Tabla</w:t>
        </w:r>
      </w:smartTag>
      <w:r w:rsidR="00264070" w:rsidRPr="00C624DE">
        <w:t xml:space="preserve"> </w:t>
      </w:r>
      <w:r w:rsidR="00264070">
        <w:rPr>
          <w:noProof/>
        </w:rPr>
        <w:t>5</w:t>
      </w:r>
      <w:r w:rsidR="00264070">
        <w:t>.</w:t>
      </w:r>
      <w:r w:rsidR="00264070">
        <w:rPr>
          <w:noProof/>
        </w:rPr>
        <w:t>10</w:t>
      </w:r>
      <w:r w:rsidR="003406D8">
        <w:fldChar w:fldCharType="end"/>
      </w:r>
      <w:r w:rsidR="003406D8">
        <w:t xml:space="preserve"> </w:t>
      </w:r>
      <w:r>
        <w:t xml:space="preserve">y </w:t>
      </w:r>
      <w:r w:rsidR="003406D8">
        <w:fldChar w:fldCharType="begin"/>
      </w:r>
      <w:r w:rsidR="003406D8">
        <w:instrText xml:space="preserve"> REF _Ref338404464 \h </w:instrText>
      </w:r>
      <w:r w:rsidR="003406D8">
        <w:fldChar w:fldCharType="separate"/>
      </w:r>
      <w:r w:rsidR="00264070" w:rsidRPr="00C624DE">
        <w:t xml:space="preserve">Tabla </w:t>
      </w:r>
      <w:r w:rsidR="00264070">
        <w:rPr>
          <w:noProof/>
        </w:rPr>
        <w:t>5</w:t>
      </w:r>
      <w:r w:rsidR="00264070">
        <w:t>.</w:t>
      </w:r>
      <w:r w:rsidR="00264070">
        <w:rPr>
          <w:noProof/>
        </w:rPr>
        <w:t>11</w:t>
      </w:r>
      <w:r w:rsidR="003406D8">
        <w:fldChar w:fldCharType="end"/>
      </w:r>
      <w:r w:rsidR="003406D8">
        <w:t xml:space="preserve"> </w:t>
      </w:r>
      <w:r>
        <w:t>se presenta un resumen de los derechos no consuntivos diferenciados en permanentes y eventuales.</w:t>
      </w:r>
    </w:p>
    <w:p w:rsidR="00FC48B5" w:rsidRPr="00407DB3" w:rsidRDefault="00FC48B5" w:rsidP="00FC48B5">
      <w:pPr>
        <w:pStyle w:val="Ttulo4Ttulo4"/>
      </w:pPr>
      <w:bookmarkStart w:id="223" w:name="_Toc336885476"/>
      <w:bookmarkStart w:id="224" w:name="_Toc344391820"/>
      <w:r w:rsidRPr="00407DB3">
        <w:t>Aguas Subterráneas</w:t>
      </w:r>
      <w:bookmarkEnd w:id="223"/>
      <w:bookmarkEnd w:id="224"/>
    </w:p>
    <w:p w:rsidR="00FC48B5" w:rsidRPr="008A416B" w:rsidRDefault="00FC48B5" w:rsidP="00FC48B5">
      <w:pPr>
        <w:widowControl w:val="0"/>
      </w:pPr>
    </w:p>
    <w:p w:rsidR="00FC48B5" w:rsidRPr="008A416B" w:rsidRDefault="00FC48B5" w:rsidP="00FC48B5">
      <w:pPr>
        <w:widowControl w:val="0"/>
      </w:pPr>
      <w:r w:rsidRPr="008A416B">
        <w:t>De igual modo para los derechos de aprovechamiento de aguas subterráneas se realizó una caracterización de las demandas utilizando los criterios antes señalados.</w:t>
      </w:r>
    </w:p>
    <w:p w:rsidR="00FC48B5" w:rsidRPr="008A416B" w:rsidRDefault="00FC48B5" w:rsidP="00FC48B5">
      <w:pPr>
        <w:widowControl w:val="0"/>
      </w:pPr>
    </w:p>
    <w:p w:rsidR="00FC48B5" w:rsidRPr="008A416B" w:rsidRDefault="00FC48B5" w:rsidP="00FC48B5">
      <w:pPr>
        <w:widowControl w:val="0"/>
      </w:pPr>
      <w:r w:rsidRPr="008A416B">
        <w:t>Dado que los derechos de aguas subterráneas son de ejercicio permanente y continuo en donde no se discrimina un caudal mensual se asume que el caudal otorgado es uniforme en cada mes.</w:t>
      </w:r>
    </w:p>
    <w:p w:rsidR="00FC48B5" w:rsidRPr="008A416B" w:rsidRDefault="00FC48B5" w:rsidP="00FC48B5">
      <w:pPr>
        <w:widowControl w:val="0"/>
      </w:pPr>
    </w:p>
    <w:p w:rsidR="00FC48B5" w:rsidRPr="008A416B" w:rsidRDefault="00FC48B5" w:rsidP="00FC48B5">
      <w:pPr>
        <w:widowControl w:val="0"/>
        <w:rPr>
          <w:rFonts w:cs="Arial"/>
          <w:lang w:val="es-ES_tradnl"/>
        </w:rPr>
      </w:pPr>
      <w:r w:rsidRPr="008A416B">
        <w:rPr>
          <w:rFonts w:cs="Arial"/>
          <w:lang w:val="es-ES_tradnl"/>
        </w:rPr>
        <w:t>De acuerdo con los valores presentados, se pueden sacar las siguientes principales conclusiones generales.</w:t>
      </w:r>
    </w:p>
    <w:p w:rsidR="00FC48B5" w:rsidRPr="008A416B" w:rsidRDefault="00FC48B5" w:rsidP="00FC48B5">
      <w:pPr>
        <w:widowControl w:val="0"/>
        <w:rPr>
          <w:rFonts w:cs="Arial"/>
          <w:lang w:val="es-ES_tradnl"/>
        </w:rPr>
      </w:pPr>
    </w:p>
    <w:p w:rsidR="00FC48B5" w:rsidRPr="008A416B" w:rsidRDefault="00FC48B5" w:rsidP="00145762">
      <w:pPr>
        <w:widowControl w:val="0"/>
        <w:numPr>
          <w:ilvl w:val="0"/>
          <w:numId w:val="13"/>
        </w:numPr>
        <w:rPr>
          <w:rFonts w:cs="Arial"/>
          <w:lang w:val="es-ES_tradnl"/>
        </w:rPr>
      </w:pPr>
      <w:r w:rsidRPr="008A416B">
        <w:rPr>
          <w:rFonts w:cs="Arial"/>
          <w:lang w:val="es-ES_tradnl"/>
        </w:rPr>
        <w:t>El número de derechos de aguas subterráneas constituidos con coordenadas representan el 94% del total; en términos de caudal, vienen a ser el 84 % del total (“total” corresponde a la suma de los con y sin coordenadas).</w:t>
      </w:r>
    </w:p>
    <w:p w:rsidR="00FC48B5" w:rsidRPr="008A416B" w:rsidRDefault="00FC48B5" w:rsidP="00145762">
      <w:pPr>
        <w:widowControl w:val="0"/>
        <w:numPr>
          <w:ilvl w:val="0"/>
          <w:numId w:val="13"/>
        </w:numPr>
        <w:rPr>
          <w:rFonts w:cs="Arial"/>
          <w:lang w:val="es-ES_tradnl"/>
        </w:rPr>
      </w:pPr>
      <w:r w:rsidRPr="008A416B">
        <w:rPr>
          <w:rFonts w:cs="Arial"/>
          <w:lang w:val="es-ES_tradnl"/>
        </w:rPr>
        <w:t>El uso más intenso lo constituye el riego, con un 66 % del uso total (en términos de caudal; en términos de número de derechos constituye el 45 % del total analizado); lo sigue el uso potable, con un 13 % en términos de caudal.</w:t>
      </w:r>
    </w:p>
    <w:p w:rsidR="00FC48B5" w:rsidRPr="008A416B" w:rsidRDefault="00FC48B5" w:rsidP="00B51B51">
      <w:pPr>
        <w:widowControl w:val="0"/>
        <w:rPr>
          <w:rFonts w:cs="Arial"/>
          <w:lang w:val="es-ES_tradnl"/>
        </w:rPr>
        <w:sectPr w:rsidR="00FC48B5" w:rsidRPr="008A416B" w:rsidSect="00F76146">
          <w:headerReference w:type="default" r:id="rId62"/>
          <w:footerReference w:type="default" r:id="rId63"/>
          <w:pgSz w:w="12242" w:h="15842" w:code="1"/>
          <w:pgMar w:top="1701" w:right="1418" w:bottom="1418" w:left="1418" w:header="851" w:footer="851" w:gutter="284"/>
          <w:pgNumType w:start="1"/>
          <w:cols w:space="708"/>
          <w:docGrid w:linePitch="360"/>
        </w:sectPr>
      </w:pPr>
    </w:p>
    <w:p w:rsidR="00E76289" w:rsidRPr="008A416B" w:rsidRDefault="00E76289" w:rsidP="00B51B51">
      <w:pPr>
        <w:pStyle w:val="Epgrafe"/>
        <w:widowControl w:val="0"/>
      </w:pPr>
      <w:bookmarkStart w:id="225" w:name="_Ref336333348"/>
      <w:bookmarkStart w:id="226" w:name="_Ref336951947"/>
      <w:r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bookmarkEnd w:id="225"/>
      <w:bookmarkEnd w:id="226"/>
      <w:r w:rsidRPr="008A416B">
        <w:t xml:space="preserve"> Demandas </w:t>
      </w:r>
      <w:r w:rsidR="00FE7D93">
        <w:t>Uso</w:t>
      </w:r>
      <w:r w:rsidRPr="008A416B">
        <w:t xml:space="preserve"> Riego según Derechos Constituidos</w:t>
      </w:r>
    </w:p>
    <w:tbl>
      <w:tblPr>
        <w:tblW w:w="21598" w:type="dxa"/>
        <w:jc w:val="center"/>
        <w:tblCellMar>
          <w:left w:w="70" w:type="dxa"/>
          <w:right w:w="70" w:type="dxa"/>
        </w:tblCellMar>
        <w:tblLook w:val="0000" w:firstRow="0" w:lastRow="0" w:firstColumn="0" w:lastColumn="0" w:noHBand="0" w:noVBand="0"/>
      </w:tblPr>
      <w:tblGrid>
        <w:gridCol w:w="1210"/>
        <w:gridCol w:w="5029"/>
        <w:gridCol w:w="1235"/>
        <w:gridCol w:w="1683"/>
        <w:gridCol w:w="919"/>
        <w:gridCol w:w="919"/>
        <w:gridCol w:w="1030"/>
        <w:gridCol w:w="1030"/>
        <w:gridCol w:w="919"/>
        <w:gridCol w:w="919"/>
        <w:gridCol w:w="919"/>
        <w:gridCol w:w="1030"/>
        <w:gridCol w:w="1030"/>
        <w:gridCol w:w="919"/>
        <w:gridCol w:w="919"/>
        <w:gridCol w:w="929"/>
        <w:gridCol w:w="959"/>
      </w:tblGrid>
      <w:tr w:rsidR="00393AFF" w:rsidRPr="008A416B">
        <w:trPr>
          <w:trHeight w:val="300"/>
          <w:jc w:val="center"/>
        </w:trPr>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bookmarkStart w:id="227" w:name="OLE_LINK13"/>
            <w:bookmarkStart w:id="228" w:name="OLE_LINK14"/>
            <w:r w:rsidRPr="004225FC">
              <w:rPr>
                <w:rFonts w:cs="Arial"/>
                <w:bCs/>
                <w:sz w:val="18"/>
                <w:szCs w:val="18"/>
              </w:rPr>
              <w:t xml:space="preserve">Código </w:t>
            </w:r>
          </w:p>
        </w:tc>
        <w:tc>
          <w:tcPr>
            <w:tcW w:w="5029"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35"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68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1030"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1030"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1030"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1030"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2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59"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0571</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406D8" w:rsidRPr="004225FC" w:rsidRDefault="003406D8" w:rsidP="00B51B51">
            <w:pPr>
              <w:widowControl w:val="0"/>
              <w:rPr>
                <w:rFonts w:cs="Arial"/>
                <w:sz w:val="20"/>
                <w:szCs w:val="20"/>
              </w:rPr>
            </w:pPr>
            <w:r w:rsidRPr="004225FC">
              <w:rPr>
                <w:rFonts w:cs="Arial"/>
                <w:sz w:val="20"/>
                <w:szCs w:val="20"/>
              </w:rPr>
              <w:t>Consuntivo</w:t>
            </w:r>
          </w:p>
          <w:p w:rsidR="003406D8" w:rsidRPr="004225FC" w:rsidRDefault="003406D8" w:rsidP="00B51B51">
            <w:pPr>
              <w:widowControl w:val="0"/>
              <w:rPr>
                <w:rFonts w:cs="Arial"/>
                <w:sz w:val="20"/>
                <w:szCs w:val="20"/>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746,7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746,7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746,7</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746,7</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752,0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vAlign w:val="center"/>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900,1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900,1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900,1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900,1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900,1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523,8</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0600</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Río Cachapoal Alto (Hasta Bajo Junta Río Claro)</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668,7</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0601</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Cachapoal Bajo</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1.805,7</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17.145,3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17.145,3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17.145,3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16.138,3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16.143,1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16.145,3</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16.394,6</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0602</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11.717,0</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0603</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2.047,1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2.047,1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2.058,8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2.058,8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2.058,8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2.058,8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2.023,3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2.023,3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2.023,3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2.047,1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2.047,1</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2.047,1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2.045,0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13.207,2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13.207,2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13.207,2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13.207,2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13.207,2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13.154,7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13.257,2</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13.227,8</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0604</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Estero Alhué</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305,0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414,5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414,5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414,5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414,5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314,5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314,5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305,0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305,0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305,0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344,7</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1.477,8</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0605</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Río Rapel</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311,2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784,2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627,2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2.039,2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643,7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1.394,7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3.578,5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3.574,6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9.746,1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6.634,9</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4.660,2</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2.856,7</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12.676,8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12.379,4</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12.817,7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11.250,2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12.775,5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11.326,5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12.202,0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10.612,8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10.672,8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2.479,0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2.479,0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7.509,1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9.931,7</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0610</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Costeras entre Río Rapel  y Estero Topocalma</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102,3</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0611</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Estero Topocalma</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256,5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287,5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308,5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249,5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220,5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218,5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192,2</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192,2</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232,2</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244,1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255,1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273,1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247,1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243,1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192,9</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217,8</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0612</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Costeras Entre E. Topocalma y E. Nilahue</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107,9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218,5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322,7</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449,7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290,7</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220,3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118,2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88,4</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80,9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80,5</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85,9</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193,9</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58,8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151,6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220,3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203,3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114,5</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72,2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61,0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56,3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54,6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54,4</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55,8</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112,1</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0613</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Estero Nilahue</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1.757,9</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2.873,6</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2.922,2</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3.532,3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2.965,8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2.933,3</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2.138,9</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986,3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282,6</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322,8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322,8</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352,8</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1.782,6</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10.085,1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10.115,1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12.282,1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12.282,1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12.282,1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10.299,1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10.309,1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10.095,1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10.085,1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10.085,1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10.085,1</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10.085,1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10.674,2</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0614</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Costeras entre Estero Nilahue y Límite Región</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2.061,1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3.822,1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3.361,1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3.311,1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3.361,1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2.894,1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2.418,1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2.085,1</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2.061,1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2.061,1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2.061,1</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2.061,1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2.629,9</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tcPr>
          <w:p w:rsidR="003406D8" w:rsidRPr="004225FC"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181,2</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367,0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828,0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238,0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828,0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245,0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182,3</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181,5</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181,1</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181,1</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314,6</w:t>
            </w:r>
          </w:p>
        </w:tc>
      </w:tr>
      <w:tr w:rsidR="003406D8" w:rsidRPr="008A416B">
        <w:trPr>
          <w:trHeight w:hRule="exact" w:val="284"/>
          <w:jc w:val="center"/>
        </w:trPr>
        <w:tc>
          <w:tcPr>
            <w:tcW w:w="1210" w:type="dxa"/>
            <w:vMerge w:val="restart"/>
            <w:tcBorders>
              <w:top w:val="nil"/>
              <w:left w:val="single" w:sz="4" w:space="0" w:color="auto"/>
              <w:bottom w:val="single" w:sz="4" w:space="0" w:color="auto"/>
              <w:right w:val="single" w:sz="4" w:space="0" w:color="auto"/>
            </w:tcBorders>
            <w:shd w:val="clear" w:color="auto" w:fill="auto"/>
            <w:noWrap/>
            <w:vAlign w:val="center"/>
          </w:tcPr>
          <w:p w:rsidR="003406D8" w:rsidRPr="008A416B" w:rsidRDefault="003406D8" w:rsidP="00B51B51">
            <w:pPr>
              <w:widowControl w:val="0"/>
              <w:jc w:val="center"/>
              <w:rPr>
                <w:rFonts w:cs="Arial"/>
                <w:sz w:val="18"/>
                <w:szCs w:val="18"/>
              </w:rPr>
            </w:pPr>
            <w:r w:rsidRPr="008A416B">
              <w:rPr>
                <w:rFonts w:cs="Arial"/>
                <w:sz w:val="18"/>
                <w:szCs w:val="18"/>
              </w:rPr>
              <w:t>S/I</w:t>
            </w:r>
          </w:p>
        </w:tc>
        <w:tc>
          <w:tcPr>
            <w:tcW w:w="5029" w:type="dxa"/>
            <w:vMerge w:val="restart"/>
            <w:tcBorders>
              <w:top w:val="nil"/>
              <w:left w:val="single" w:sz="4" w:space="0" w:color="auto"/>
              <w:bottom w:val="single" w:sz="4" w:space="0" w:color="000000"/>
              <w:right w:val="single" w:sz="4" w:space="0" w:color="auto"/>
            </w:tcBorders>
            <w:shd w:val="clear" w:color="auto" w:fill="auto"/>
            <w:noWrap/>
            <w:vAlign w:val="center"/>
          </w:tcPr>
          <w:p w:rsidR="003406D8" w:rsidRPr="008A416B" w:rsidRDefault="003406D8" w:rsidP="00B51B51">
            <w:pPr>
              <w:widowControl w:val="0"/>
              <w:rPr>
                <w:rFonts w:cs="Arial"/>
                <w:sz w:val="18"/>
                <w:szCs w:val="18"/>
              </w:rPr>
            </w:pPr>
            <w:r w:rsidRPr="008A416B">
              <w:rPr>
                <w:rFonts w:cs="Arial"/>
                <w:sz w:val="18"/>
                <w:szCs w:val="18"/>
              </w:rPr>
              <w:t>S/I</w:t>
            </w:r>
          </w:p>
        </w:tc>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406D8" w:rsidRPr="004225FC" w:rsidRDefault="003406D8" w:rsidP="00B51B51">
            <w:pPr>
              <w:widowControl w:val="0"/>
              <w:rPr>
                <w:rFonts w:cs="Arial"/>
              </w:rPr>
            </w:pPr>
            <w:r w:rsidRPr="004225FC">
              <w:rPr>
                <w:rFonts w:cs="Arial"/>
                <w:sz w:val="20"/>
                <w:szCs w:val="20"/>
              </w:rPr>
              <w:t>Consuntivo</w:t>
            </w: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0,0</w:t>
            </w:r>
          </w:p>
        </w:tc>
      </w:tr>
      <w:tr w:rsidR="003406D8" w:rsidRPr="008A416B">
        <w:trPr>
          <w:trHeight w:hRule="exact" w:val="284"/>
          <w:jc w:val="center"/>
        </w:trPr>
        <w:tc>
          <w:tcPr>
            <w:tcW w:w="1210" w:type="dxa"/>
            <w:vMerge/>
            <w:tcBorders>
              <w:top w:val="nil"/>
              <w:left w:val="single" w:sz="4" w:space="0" w:color="auto"/>
              <w:bottom w:val="single" w:sz="4" w:space="0" w:color="auto"/>
              <w:right w:val="single" w:sz="4" w:space="0" w:color="auto"/>
            </w:tcBorders>
            <w:vAlign w:val="center"/>
          </w:tcPr>
          <w:p w:rsidR="003406D8" w:rsidRPr="008A416B" w:rsidRDefault="003406D8" w:rsidP="00B51B51">
            <w:pPr>
              <w:widowControl w:val="0"/>
              <w:jc w:val="left"/>
              <w:rPr>
                <w:rFonts w:cs="Arial"/>
                <w:sz w:val="18"/>
                <w:szCs w:val="18"/>
              </w:rPr>
            </w:pPr>
          </w:p>
        </w:tc>
        <w:tc>
          <w:tcPr>
            <w:tcW w:w="5029" w:type="dxa"/>
            <w:vMerge/>
            <w:tcBorders>
              <w:top w:val="nil"/>
              <w:left w:val="single" w:sz="4" w:space="0" w:color="auto"/>
              <w:bottom w:val="single" w:sz="4" w:space="0" w:color="000000"/>
              <w:right w:val="single" w:sz="4" w:space="0" w:color="auto"/>
            </w:tcBorders>
            <w:vAlign w:val="center"/>
          </w:tcPr>
          <w:p w:rsidR="003406D8" w:rsidRPr="008A416B" w:rsidRDefault="003406D8" w:rsidP="00B51B51">
            <w:pPr>
              <w:widowControl w:val="0"/>
              <w:rPr>
                <w:rFonts w:cs="Arial"/>
                <w:sz w:val="18"/>
                <w:szCs w:val="18"/>
              </w:rPr>
            </w:pPr>
          </w:p>
        </w:tc>
        <w:tc>
          <w:tcPr>
            <w:tcW w:w="1235" w:type="dxa"/>
            <w:vMerge/>
            <w:tcBorders>
              <w:top w:val="single" w:sz="4" w:space="0" w:color="auto"/>
              <w:left w:val="single" w:sz="4" w:space="0" w:color="auto"/>
              <w:bottom w:val="single" w:sz="4" w:space="0" w:color="auto"/>
              <w:right w:val="single" w:sz="4" w:space="0" w:color="auto"/>
            </w:tcBorders>
            <w:vAlign w:val="center"/>
          </w:tcPr>
          <w:p w:rsidR="003406D8" w:rsidRPr="008A416B" w:rsidRDefault="003406D8" w:rsidP="00B51B51">
            <w:pPr>
              <w:widowControl w:val="0"/>
              <w:rPr>
                <w:rFonts w:cs="Arial"/>
                <w:sz w:val="18"/>
                <w:szCs w:val="18"/>
              </w:rPr>
            </w:pPr>
          </w:p>
        </w:tc>
        <w:tc>
          <w:tcPr>
            <w:tcW w:w="1683" w:type="dxa"/>
            <w:tcBorders>
              <w:top w:val="single" w:sz="4" w:space="0" w:color="auto"/>
              <w:left w:val="nil"/>
              <w:bottom w:val="single" w:sz="4" w:space="0" w:color="auto"/>
              <w:right w:val="single" w:sz="4" w:space="0" w:color="auto"/>
            </w:tcBorders>
            <w:shd w:val="clear" w:color="auto" w:fill="auto"/>
            <w:noWrap/>
            <w:vAlign w:val="center"/>
          </w:tcPr>
          <w:p w:rsidR="003406D8" w:rsidRPr="008C4E8C" w:rsidRDefault="003406D8"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1030"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1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2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c>
          <w:tcPr>
            <w:tcW w:w="959" w:type="dxa"/>
            <w:tcBorders>
              <w:top w:val="nil"/>
              <w:left w:val="nil"/>
              <w:bottom w:val="single" w:sz="4" w:space="0" w:color="auto"/>
              <w:right w:val="single" w:sz="4" w:space="0" w:color="auto"/>
            </w:tcBorders>
            <w:shd w:val="clear" w:color="auto" w:fill="auto"/>
            <w:noWrap/>
            <w:vAlign w:val="center"/>
          </w:tcPr>
          <w:p w:rsidR="003406D8" w:rsidRPr="00A07BF9" w:rsidRDefault="003406D8" w:rsidP="00B51B51">
            <w:pPr>
              <w:widowControl w:val="0"/>
              <w:jc w:val="center"/>
              <w:rPr>
                <w:rFonts w:cs="Arial"/>
                <w:sz w:val="18"/>
                <w:szCs w:val="18"/>
              </w:rPr>
            </w:pPr>
            <w:r w:rsidRPr="00A07BF9">
              <w:rPr>
                <w:rFonts w:cs="Arial"/>
                <w:sz w:val="18"/>
                <w:szCs w:val="18"/>
              </w:rPr>
              <w:t>6.000,8</w:t>
            </w:r>
          </w:p>
        </w:tc>
      </w:tr>
      <w:bookmarkEnd w:id="227"/>
      <w:bookmarkEnd w:id="228"/>
    </w:tbl>
    <w:p w:rsidR="00E76289" w:rsidRPr="008A416B" w:rsidRDefault="00E76289" w:rsidP="00B51B51">
      <w:pPr>
        <w:widowControl w:val="0"/>
      </w:pPr>
    </w:p>
    <w:p w:rsidR="00E76289" w:rsidRPr="008A416B" w:rsidRDefault="00E76289" w:rsidP="00B51B51">
      <w:pPr>
        <w:widowControl w:val="0"/>
      </w:pPr>
    </w:p>
    <w:p w:rsidR="00E76289" w:rsidRPr="008A416B" w:rsidRDefault="00E76289" w:rsidP="00B51B51">
      <w:pPr>
        <w:widowControl w:val="0"/>
      </w:pPr>
    </w:p>
    <w:p w:rsidR="00E76289" w:rsidRPr="008A416B" w:rsidRDefault="00E76289" w:rsidP="00B51B51">
      <w:pPr>
        <w:pStyle w:val="Epgrafe"/>
        <w:widowControl w:val="0"/>
      </w:pPr>
      <w:r w:rsidRPr="008A416B">
        <w:br w:type="page"/>
      </w:r>
      <w:r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5</w:t>
      </w:r>
      <w:r w:rsidR="007F3102">
        <w:fldChar w:fldCharType="end"/>
      </w:r>
      <w:r w:rsidRPr="008A416B">
        <w:t xml:space="preserve"> Demandas </w:t>
      </w:r>
      <w:r w:rsidR="00FE7D93">
        <w:t>Uso</w:t>
      </w:r>
      <w:r w:rsidRPr="008A416B">
        <w:t xml:space="preserve"> Agua Potable según Derechos Constituidos</w:t>
      </w:r>
    </w:p>
    <w:tbl>
      <w:tblPr>
        <w:tblW w:w="21239" w:type="dxa"/>
        <w:jc w:val="center"/>
        <w:tblCellMar>
          <w:left w:w="70" w:type="dxa"/>
          <w:right w:w="70" w:type="dxa"/>
        </w:tblCellMar>
        <w:tblLook w:val="0000" w:firstRow="0" w:lastRow="0" w:firstColumn="0" w:lastColumn="0" w:noHBand="0" w:noVBand="0"/>
      </w:tblPr>
      <w:tblGrid>
        <w:gridCol w:w="1226"/>
        <w:gridCol w:w="5103"/>
        <w:gridCol w:w="1201"/>
        <w:gridCol w:w="1706"/>
        <w:gridCol w:w="841"/>
        <w:gridCol w:w="925"/>
        <w:gridCol w:w="925"/>
        <w:gridCol w:w="925"/>
        <w:gridCol w:w="925"/>
        <w:gridCol w:w="925"/>
        <w:gridCol w:w="925"/>
        <w:gridCol w:w="925"/>
        <w:gridCol w:w="925"/>
        <w:gridCol w:w="925"/>
        <w:gridCol w:w="925"/>
        <w:gridCol w:w="941"/>
        <w:gridCol w:w="971"/>
      </w:tblGrid>
      <w:tr w:rsidR="00393AFF" w:rsidRPr="008A416B">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0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706"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8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0571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71A66" w:rsidRPr="004225FC" w:rsidRDefault="00371A66" w:rsidP="00B51B51">
            <w:pPr>
              <w:widowControl w:val="0"/>
              <w:rPr>
                <w:rFonts w:cs="Arial"/>
                <w:sz w:val="20"/>
                <w:szCs w:val="20"/>
              </w:rPr>
            </w:pPr>
            <w:r w:rsidRPr="004225FC">
              <w:rPr>
                <w:rFonts w:cs="Arial"/>
                <w:sz w:val="20"/>
                <w:szCs w:val="20"/>
              </w:rPr>
              <w:t>Consuntivo</w:t>
            </w:r>
          </w:p>
          <w:p w:rsidR="00371A66" w:rsidRPr="004225FC" w:rsidRDefault="00371A66" w:rsidP="00B51B51">
            <w:pPr>
              <w:widowControl w:val="0"/>
              <w:rPr>
                <w:rFonts w:cs="Arial"/>
                <w:sz w:val="20"/>
                <w:szCs w:val="20"/>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Río Cachapoal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239,9</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Cachapoal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Estero Alhué</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0605</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Río Rapel</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900,0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0610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Costeras entre Río Rapel  y 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0611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0612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Costeras Entre E. Topocalma y E.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0613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Estero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3.159,0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8.385,0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1.308,0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25,0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1.089,8</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0614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Costeras entre Estero Nilahue y Límite Región</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371A66" w:rsidRPr="004225FC"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371A66" w:rsidRPr="008A416B" w:rsidRDefault="00371A66" w:rsidP="00B51B51">
            <w:pPr>
              <w:widowControl w:val="0"/>
              <w:jc w:val="center"/>
              <w:rPr>
                <w:rFonts w:cs="Arial"/>
                <w:sz w:val="18"/>
                <w:szCs w:val="18"/>
              </w:rPr>
            </w:pPr>
            <w:r w:rsidRPr="008A416B">
              <w:rPr>
                <w:rFonts w:cs="Arial"/>
                <w:sz w:val="18"/>
                <w:szCs w:val="18"/>
              </w:rPr>
              <w:t>S/I</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371A66" w:rsidRPr="008A416B" w:rsidRDefault="00371A66" w:rsidP="00B51B51">
            <w:pPr>
              <w:widowControl w:val="0"/>
              <w:rPr>
                <w:rFonts w:cs="Arial"/>
                <w:sz w:val="18"/>
                <w:szCs w:val="18"/>
              </w:rPr>
            </w:pPr>
            <w:r w:rsidRPr="008A416B">
              <w:rPr>
                <w:rFonts w:cs="Arial"/>
                <w:sz w:val="18"/>
                <w:szCs w:val="18"/>
              </w:rPr>
              <w:t>S/I</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371A66" w:rsidRPr="004225FC" w:rsidRDefault="00371A66" w:rsidP="00B51B51">
            <w:pPr>
              <w:widowControl w:val="0"/>
              <w:rPr>
                <w:rFonts w:cs="Arial"/>
              </w:rPr>
            </w:pPr>
            <w:r w:rsidRPr="004225FC">
              <w:rPr>
                <w:rFonts w:cs="Arial"/>
                <w:sz w:val="20"/>
                <w:szCs w:val="20"/>
              </w:rPr>
              <w:t>Consuntivo</w:t>
            </w: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r w:rsidR="00371A66"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371A66" w:rsidRPr="008A416B" w:rsidRDefault="00371A66"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371A66" w:rsidRPr="008A416B" w:rsidRDefault="00371A66"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371A66" w:rsidRPr="008A416B" w:rsidRDefault="00371A66" w:rsidP="00B51B51">
            <w:pPr>
              <w:widowControl w:val="0"/>
              <w:rPr>
                <w:rFonts w:cs="Arial"/>
                <w:sz w:val="18"/>
                <w:szCs w:val="18"/>
              </w:rPr>
            </w:pPr>
          </w:p>
        </w:tc>
        <w:tc>
          <w:tcPr>
            <w:tcW w:w="1706" w:type="dxa"/>
            <w:tcBorders>
              <w:top w:val="single" w:sz="4" w:space="0" w:color="auto"/>
              <w:left w:val="nil"/>
              <w:bottom w:val="single" w:sz="4" w:space="0" w:color="auto"/>
              <w:right w:val="single" w:sz="4" w:space="0" w:color="auto"/>
            </w:tcBorders>
            <w:shd w:val="clear" w:color="auto" w:fill="auto"/>
            <w:noWrap/>
            <w:vAlign w:val="center"/>
          </w:tcPr>
          <w:p w:rsidR="00371A66" w:rsidRPr="008C4E8C" w:rsidRDefault="00371A66"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371A66" w:rsidRPr="00A07BF9" w:rsidRDefault="00371A66" w:rsidP="00B51B51">
            <w:pPr>
              <w:widowControl w:val="0"/>
              <w:jc w:val="center"/>
              <w:rPr>
                <w:rFonts w:cs="Arial"/>
                <w:sz w:val="18"/>
                <w:szCs w:val="18"/>
              </w:rPr>
            </w:pPr>
            <w:r w:rsidRPr="00A07BF9">
              <w:rPr>
                <w:rFonts w:cs="Arial"/>
                <w:sz w:val="18"/>
                <w:szCs w:val="18"/>
              </w:rPr>
              <w:t>0,0</w:t>
            </w:r>
          </w:p>
        </w:tc>
      </w:tr>
    </w:tbl>
    <w:p w:rsidR="00E76289" w:rsidRPr="008A416B" w:rsidRDefault="00E76289" w:rsidP="00B51B51">
      <w:pPr>
        <w:widowControl w:val="0"/>
      </w:pPr>
    </w:p>
    <w:p w:rsidR="00E76289" w:rsidRPr="008A416B" w:rsidRDefault="00E76289" w:rsidP="00B51B51">
      <w:pPr>
        <w:widowControl w:val="0"/>
      </w:pPr>
    </w:p>
    <w:p w:rsidR="00E76289" w:rsidRPr="008A416B" w:rsidRDefault="00E76289" w:rsidP="00B51B51">
      <w:pPr>
        <w:pStyle w:val="Epgrafe"/>
        <w:widowControl w:val="0"/>
      </w:pPr>
      <w:r w:rsidRPr="008A416B">
        <w:br w:type="page"/>
      </w:r>
      <w:r w:rsidR="00DE7359"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r w:rsidR="00DE7359" w:rsidRPr="008A416B">
        <w:t xml:space="preserve"> Demandas </w:t>
      </w:r>
      <w:r w:rsidR="00FE7D93">
        <w:t>Uso</w:t>
      </w:r>
      <w:r w:rsidR="00DE7359" w:rsidRPr="008A416B">
        <w:t xml:space="preserve"> Industria según Derechos Constituidos</w:t>
      </w:r>
    </w:p>
    <w:tbl>
      <w:tblPr>
        <w:tblW w:w="21239" w:type="dxa"/>
        <w:jc w:val="center"/>
        <w:tblCellMar>
          <w:left w:w="70" w:type="dxa"/>
          <w:right w:w="70" w:type="dxa"/>
        </w:tblCellMar>
        <w:tblLook w:val="0000" w:firstRow="0" w:lastRow="0" w:firstColumn="0" w:lastColumn="0" w:noHBand="0" w:noVBand="0"/>
      </w:tblPr>
      <w:tblGrid>
        <w:gridCol w:w="1226"/>
        <w:gridCol w:w="5103"/>
        <w:gridCol w:w="1201"/>
        <w:gridCol w:w="1706"/>
        <w:gridCol w:w="841"/>
        <w:gridCol w:w="925"/>
        <w:gridCol w:w="925"/>
        <w:gridCol w:w="925"/>
        <w:gridCol w:w="925"/>
        <w:gridCol w:w="925"/>
        <w:gridCol w:w="925"/>
        <w:gridCol w:w="925"/>
        <w:gridCol w:w="925"/>
        <w:gridCol w:w="925"/>
        <w:gridCol w:w="925"/>
        <w:gridCol w:w="941"/>
        <w:gridCol w:w="971"/>
      </w:tblGrid>
      <w:tr w:rsidR="00393AFF" w:rsidRPr="008A416B">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0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706"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8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0571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7BF9" w:rsidRPr="004225FC" w:rsidRDefault="00A07BF9" w:rsidP="00B51B51">
            <w:pPr>
              <w:widowControl w:val="0"/>
              <w:rPr>
                <w:rFonts w:cs="Arial"/>
                <w:sz w:val="20"/>
                <w:szCs w:val="20"/>
              </w:rPr>
            </w:pPr>
            <w:r w:rsidRPr="004225FC">
              <w:rPr>
                <w:rFonts w:cs="Arial"/>
                <w:sz w:val="20"/>
                <w:szCs w:val="20"/>
              </w:rPr>
              <w:t>Consuntivo</w:t>
            </w:r>
          </w:p>
          <w:p w:rsidR="00A07BF9" w:rsidRPr="004225FC" w:rsidRDefault="00A07BF9" w:rsidP="00B51B51">
            <w:pPr>
              <w:widowControl w:val="0"/>
              <w:rPr>
                <w:rFonts w:cs="Arial"/>
                <w:sz w:val="20"/>
                <w:szCs w:val="20"/>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Cachapoal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Cachapoal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Alhué</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0605</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Rapel</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Río Rapel  y 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26,0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1,1</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9,8</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0,8</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0,9</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11.945,0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10.416,0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7.806,0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10.571,0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7.366,0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1.738,0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320,0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4.180,2</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1.193,4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4.182,4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6.818,4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3.353,4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659,4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124,4</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1.423,2</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 Topocalma y E.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167,9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167,9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167,9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167,9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167,9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165,8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83,8</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62,0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62,0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62,0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62,0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61,3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60,8</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Estero Nilahue y Límite Región</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S/I</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S/I</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A416B"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bl>
    <w:p w:rsidR="00E76289" w:rsidRPr="008A416B" w:rsidRDefault="00E76289" w:rsidP="00B51B51">
      <w:pPr>
        <w:widowControl w:val="0"/>
      </w:pPr>
    </w:p>
    <w:p w:rsidR="00DE7359" w:rsidRPr="008A416B" w:rsidRDefault="00DE7359" w:rsidP="00B51B51">
      <w:pPr>
        <w:widowControl w:val="0"/>
      </w:pPr>
    </w:p>
    <w:p w:rsidR="00DE7359" w:rsidRPr="008A416B" w:rsidRDefault="00DE7359" w:rsidP="00B51B51">
      <w:pPr>
        <w:widowControl w:val="0"/>
      </w:pPr>
    </w:p>
    <w:p w:rsidR="00E76289" w:rsidRPr="008A416B" w:rsidRDefault="00E76289" w:rsidP="00B51B51">
      <w:pPr>
        <w:widowControl w:val="0"/>
      </w:pPr>
    </w:p>
    <w:p w:rsidR="00DE7359" w:rsidRPr="008A416B" w:rsidRDefault="00B67223" w:rsidP="00B51B51">
      <w:pPr>
        <w:pStyle w:val="Epgrafe"/>
        <w:widowControl w:val="0"/>
      </w:pPr>
      <w:bookmarkStart w:id="229" w:name="OLE_LINK3"/>
      <w:bookmarkStart w:id="230" w:name="OLE_LINK4"/>
      <w:r>
        <w:br w:type="page"/>
      </w:r>
      <w:r w:rsidR="00DE7359"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r w:rsidR="00DE7359" w:rsidRPr="008A416B">
        <w:t xml:space="preserve"> Demandas </w:t>
      </w:r>
      <w:r w:rsidR="00FE7D93">
        <w:t>Uso</w:t>
      </w:r>
      <w:r w:rsidR="00DE7359" w:rsidRPr="008A416B">
        <w:t xml:space="preserve"> Minería según Derechos Constituidos</w:t>
      </w:r>
    </w:p>
    <w:tbl>
      <w:tblPr>
        <w:tblW w:w="21317" w:type="dxa"/>
        <w:jc w:val="center"/>
        <w:tblCellMar>
          <w:left w:w="70" w:type="dxa"/>
          <w:right w:w="70" w:type="dxa"/>
        </w:tblCellMar>
        <w:tblLook w:val="0000" w:firstRow="0" w:lastRow="0" w:firstColumn="0" w:lastColumn="0" w:noHBand="0" w:noVBand="0"/>
      </w:tblPr>
      <w:tblGrid>
        <w:gridCol w:w="1226"/>
        <w:gridCol w:w="5103"/>
        <w:gridCol w:w="1201"/>
        <w:gridCol w:w="1706"/>
        <w:gridCol w:w="919"/>
        <w:gridCol w:w="925"/>
        <w:gridCol w:w="925"/>
        <w:gridCol w:w="925"/>
        <w:gridCol w:w="925"/>
        <w:gridCol w:w="925"/>
        <w:gridCol w:w="925"/>
        <w:gridCol w:w="925"/>
        <w:gridCol w:w="925"/>
        <w:gridCol w:w="925"/>
        <w:gridCol w:w="925"/>
        <w:gridCol w:w="941"/>
        <w:gridCol w:w="971"/>
      </w:tblGrid>
      <w:tr w:rsidR="00393AFF" w:rsidRPr="004225FC">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bookmarkEnd w:id="229"/>
          <w:bookmarkEnd w:id="230"/>
          <w:p w:rsidR="00393AFF" w:rsidRPr="004225FC" w:rsidRDefault="00393AFF" w:rsidP="00B51B51">
            <w:pPr>
              <w:widowControl w:val="0"/>
              <w:jc w:val="center"/>
              <w:rPr>
                <w:rFonts w:cs="Arial"/>
                <w:bCs/>
                <w:sz w:val="18"/>
                <w:szCs w:val="18"/>
              </w:rPr>
            </w:pPr>
            <w:r w:rsidRPr="004225FC">
              <w:rPr>
                <w:rFonts w:cs="Arial"/>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0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706"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919"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0571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7BF9" w:rsidRPr="004225FC" w:rsidRDefault="00A07BF9" w:rsidP="00B51B51">
            <w:pPr>
              <w:widowControl w:val="0"/>
              <w:rPr>
                <w:rFonts w:cs="Arial"/>
                <w:sz w:val="20"/>
                <w:szCs w:val="20"/>
              </w:rPr>
            </w:pPr>
            <w:r w:rsidRPr="004225FC">
              <w:rPr>
                <w:rFonts w:cs="Arial"/>
                <w:sz w:val="20"/>
                <w:szCs w:val="20"/>
              </w:rPr>
              <w:t>Consuntivo</w:t>
            </w:r>
          </w:p>
          <w:p w:rsidR="00A07BF9" w:rsidRPr="004225FC" w:rsidRDefault="00A07BF9" w:rsidP="00B51B51">
            <w:pPr>
              <w:widowControl w:val="0"/>
              <w:rPr>
                <w:rFonts w:cs="Arial"/>
                <w:sz w:val="20"/>
                <w:szCs w:val="20"/>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Cachapoal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279,0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162,8</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4.272,5</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6.672,5</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6.472,5</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Cachapoal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1.000,0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974,7</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974,7</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Alhué</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100,0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668,0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648,0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705,0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697,2</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0605</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Rapel</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Río Rapel  y 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 Topocalma y E.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Estero Nilahue y Límite Región</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4225F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S/I</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S/I</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4225FC" w:rsidRDefault="00A07BF9" w:rsidP="00B51B51">
            <w:pPr>
              <w:widowControl w:val="0"/>
              <w:rPr>
                <w:rFonts w:cs="Arial"/>
              </w:rPr>
            </w:pPr>
            <w:r w:rsidRPr="004225F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A416B"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919"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bl>
    <w:p w:rsidR="00DE7359" w:rsidRPr="008A416B" w:rsidRDefault="00DE7359" w:rsidP="00B51B51">
      <w:pPr>
        <w:widowControl w:val="0"/>
      </w:pPr>
    </w:p>
    <w:p w:rsidR="00DE7359" w:rsidRPr="008A416B" w:rsidRDefault="00DE7359" w:rsidP="00B51B51">
      <w:pPr>
        <w:widowControl w:val="0"/>
      </w:pPr>
    </w:p>
    <w:p w:rsidR="00FE7D93" w:rsidRPr="008A416B" w:rsidRDefault="00FE7D93" w:rsidP="00B51B51">
      <w:pPr>
        <w:pStyle w:val="Epgrafe"/>
        <w:widowControl w:val="0"/>
      </w:pPr>
      <w:r>
        <w:br w:type="page"/>
      </w:r>
      <w:r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r w:rsidRPr="008A416B">
        <w:t xml:space="preserve"> Demandas </w:t>
      </w:r>
      <w:r>
        <w:t>Uso Doméstico</w:t>
      </w:r>
      <w:r w:rsidRPr="008A416B">
        <w:t xml:space="preserve"> según Derechos Constituidos</w:t>
      </w:r>
    </w:p>
    <w:tbl>
      <w:tblPr>
        <w:tblW w:w="21239" w:type="dxa"/>
        <w:jc w:val="center"/>
        <w:tblCellMar>
          <w:left w:w="70" w:type="dxa"/>
          <w:right w:w="70" w:type="dxa"/>
        </w:tblCellMar>
        <w:tblLook w:val="0000" w:firstRow="0" w:lastRow="0" w:firstColumn="0" w:lastColumn="0" w:noHBand="0" w:noVBand="0"/>
      </w:tblPr>
      <w:tblGrid>
        <w:gridCol w:w="1226"/>
        <w:gridCol w:w="5103"/>
        <w:gridCol w:w="1201"/>
        <w:gridCol w:w="1706"/>
        <w:gridCol w:w="841"/>
        <w:gridCol w:w="925"/>
        <w:gridCol w:w="925"/>
        <w:gridCol w:w="925"/>
        <w:gridCol w:w="925"/>
        <w:gridCol w:w="925"/>
        <w:gridCol w:w="925"/>
        <w:gridCol w:w="925"/>
        <w:gridCol w:w="925"/>
        <w:gridCol w:w="925"/>
        <w:gridCol w:w="925"/>
        <w:gridCol w:w="941"/>
        <w:gridCol w:w="971"/>
      </w:tblGrid>
      <w:tr w:rsidR="00393AFF" w:rsidRPr="008A416B">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0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706"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8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0571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20"/>
                <w:szCs w:val="20"/>
              </w:rPr>
            </w:pPr>
            <w:r w:rsidRPr="008C4E8C">
              <w:rPr>
                <w:rFonts w:cs="Arial"/>
                <w:sz w:val="20"/>
                <w:szCs w:val="20"/>
              </w:rPr>
              <w:t>Consuntivo</w:t>
            </w:r>
          </w:p>
          <w:p w:rsidR="00A07BF9" w:rsidRPr="008C4E8C" w:rsidRDefault="00A07BF9" w:rsidP="00B51B51">
            <w:pPr>
              <w:widowControl w:val="0"/>
              <w:rPr>
                <w:rFonts w:cs="Arial"/>
                <w:sz w:val="20"/>
                <w:szCs w:val="20"/>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3,0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Cachapoal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891,8</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891,8</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Cachapoal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296,7</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296,7</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0,5</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0,7</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Alhué</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23,0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21,1</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0605</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Rapel</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0,1</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Río Rapel  y 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0,4</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0,2</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4,8</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4,7</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4,7</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5,0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0,3</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 Topocalma y E.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0,1</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0,3</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19,9</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19,9</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1,9</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1,9</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Estero Nilahue y Límite Región</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0,9</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0,2</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0,4</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0,4</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0,5</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0,5</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S/I</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S/I</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A416B"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Default="00A07BF9" w:rsidP="00B51B51">
            <w:pPr>
              <w:widowControl w:val="0"/>
              <w:jc w:val="center"/>
              <w:rPr>
                <w:rFonts w:cs="Arial"/>
                <w:sz w:val="20"/>
                <w:szCs w:val="20"/>
              </w:rPr>
            </w:pPr>
            <w:r>
              <w:rPr>
                <w:rFonts w:cs="Arial"/>
                <w:sz w:val="20"/>
                <w:szCs w:val="20"/>
              </w:rPr>
              <w:t>0,0</w:t>
            </w:r>
          </w:p>
        </w:tc>
      </w:tr>
    </w:tbl>
    <w:p w:rsidR="00FE7D93" w:rsidRPr="008A416B" w:rsidRDefault="00FE7D93" w:rsidP="00B51B51">
      <w:pPr>
        <w:widowControl w:val="0"/>
      </w:pPr>
    </w:p>
    <w:p w:rsidR="00FE7D93" w:rsidRPr="008A416B" w:rsidRDefault="00FE7D93" w:rsidP="00B51B51">
      <w:pPr>
        <w:widowControl w:val="0"/>
      </w:pPr>
    </w:p>
    <w:p w:rsidR="009D09C2" w:rsidRPr="008A416B" w:rsidRDefault="009D09C2" w:rsidP="00B51B51">
      <w:pPr>
        <w:pStyle w:val="Epgrafe"/>
        <w:widowControl w:val="0"/>
      </w:pPr>
      <w:r w:rsidRPr="008A416B">
        <w:br w:type="page"/>
      </w:r>
      <w:bookmarkStart w:id="231" w:name="_Ref336333362"/>
      <w:bookmarkStart w:id="232" w:name="_Ref336951968"/>
      <w:r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bookmarkEnd w:id="231"/>
      <w:bookmarkEnd w:id="232"/>
      <w:r w:rsidRPr="008A416B">
        <w:t xml:space="preserve"> Demandas Otros </w:t>
      </w:r>
      <w:r w:rsidR="00FE7D93">
        <w:t>Usos</w:t>
      </w:r>
      <w:r w:rsidRPr="008A416B">
        <w:t xml:space="preserve"> según Derechos Constituidos</w:t>
      </w:r>
    </w:p>
    <w:tbl>
      <w:tblPr>
        <w:tblW w:w="21239" w:type="dxa"/>
        <w:jc w:val="center"/>
        <w:tblCellMar>
          <w:left w:w="70" w:type="dxa"/>
          <w:right w:w="70" w:type="dxa"/>
        </w:tblCellMar>
        <w:tblLook w:val="0000" w:firstRow="0" w:lastRow="0" w:firstColumn="0" w:lastColumn="0" w:noHBand="0" w:noVBand="0"/>
      </w:tblPr>
      <w:tblGrid>
        <w:gridCol w:w="1226"/>
        <w:gridCol w:w="5103"/>
        <w:gridCol w:w="1201"/>
        <w:gridCol w:w="1706"/>
        <w:gridCol w:w="841"/>
        <w:gridCol w:w="925"/>
        <w:gridCol w:w="925"/>
        <w:gridCol w:w="925"/>
        <w:gridCol w:w="925"/>
        <w:gridCol w:w="925"/>
        <w:gridCol w:w="925"/>
        <w:gridCol w:w="925"/>
        <w:gridCol w:w="925"/>
        <w:gridCol w:w="925"/>
        <w:gridCol w:w="925"/>
        <w:gridCol w:w="941"/>
        <w:gridCol w:w="971"/>
      </w:tblGrid>
      <w:tr w:rsidR="00393AFF" w:rsidRPr="008A416B">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Subcuenca</w:t>
            </w:r>
          </w:p>
        </w:tc>
        <w:tc>
          <w:tcPr>
            <w:tcW w:w="120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Tipo</w:t>
            </w:r>
          </w:p>
        </w:tc>
        <w:tc>
          <w:tcPr>
            <w:tcW w:w="1706"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Ejercicio Derecho</w:t>
            </w:r>
          </w:p>
        </w:tc>
        <w:tc>
          <w:tcPr>
            <w:tcW w:w="8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Abr</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May</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Jun</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Jul</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Ago</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Sep</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Oct</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Nov</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sidRPr="001D4534">
              <w:rPr>
                <w:rFonts w:cs="Arial"/>
                <w:b/>
                <w:bCs/>
                <w:sz w:val="18"/>
                <w:szCs w:val="18"/>
              </w:rPr>
              <w:t>Dic</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Ene</w:t>
            </w:r>
          </w:p>
        </w:tc>
        <w:tc>
          <w:tcPr>
            <w:tcW w:w="925"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Feb</w:t>
            </w:r>
          </w:p>
        </w:tc>
        <w:tc>
          <w:tcPr>
            <w:tcW w:w="941" w:type="dxa"/>
            <w:tcBorders>
              <w:top w:val="single" w:sz="4" w:space="0" w:color="auto"/>
              <w:left w:val="nil"/>
              <w:bottom w:val="single" w:sz="4" w:space="0" w:color="auto"/>
              <w:right w:val="single" w:sz="4" w:space="0" w:color="auto"/>
            </w:tcBorders>
            <w:shd w:val="clear" w:color="auto" w:fill="auto"/>
            <w:vAlign w:val="center"/>
          </w:tcPr>
          <w:p w:rsidR="00393AFF" w:rsidRPr="001D4534" w:rsidRDefault="00393AFF"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393AFF" w:rsidRPr="004225FC" w:rsidRDefault="00393AFF" w:rsidP="00B51B51">
            <w:pPr>
              <w:widowControl w:val="0"/>
              <w:jc w:val="center"/>
              <w:rPr>
                <w:rFonts w:cs="Arial"/>
                <w:bCs/>
                <w:sz w:val="18"/>
                <w:szCs w:val="18"/>
              </w:rPr>
            </w:pPr>
            <w:r w:rsidRPr="004225FC">
              <w:rPr>
                <w:rFonts w:cs="Arial"/>
                <w:bCs/>
                <w:sz w:val="18"/>
                <w:szCs w:val="18"/>
              </w:rPr>
              <w:t>Promedio</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0571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20"/>
                <w:szCs w:val="20"/>
              </w:rPr>
            </w:pPr>
            <w:r w:rsidRPr="008C4E8C">
              <w:rPr>
                <w:rFonts w:cs="Arial"/>
                <w:sz w:val="20"/>
                <w:szCs w:val="20"/>
              </w:rPr>
              <w:t>Consuntivo</w:t>
            </w:r>
          </w:p>
          <w:p w:rsidR="00A07BF9" w:rsidRPr="008C4E8C" w:rsidRDefault="00A07BF9" w:rsidP="00B51B51">
            <w:pPr>
              <w:widowControl w:val="0"/>
              <w:rPr>
                <w:rFonts w:cs="Arial"/>
                <w:sz w:val="20"/>
                <w:szCs w:val="20"/>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Cachapoal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Cachapoal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253,7</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630,0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nil"/>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27,0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13,6</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Alhué</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0605</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Río Rapel</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2.096,2</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525,4</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0610</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Río Rapel  y 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0611</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Topocalma</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0612</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 Topocalma y E.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0613</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Estero Nilahue</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0614</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Costeras entre Estero Nilahue y Límite Región</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tcPr>
          <w:p w:rsidR="00A07BF9" w:rsidRPr="008C4E8C"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val="restart"/>
            <w:tcBorders>
              <w:top w:val="nil"/>
              <w:left w:val="single" w:sz="4" w:space="0" w:color="auto"/>
              <w:bottom w:val="single" w:sz="4" w:space="0" w:color="auto"/>
              <w:right w:val="single" w:sz="4" w:space="0" w:color="auto"/>
            </w:tcBorders>
            <w:shd w:val="clear" w:color="auto" w:fill="auto"/>
            <w:noWrap/>
            <w:vAlign w:val="center"/>
          </w:tcPr>
          <w:p w:rsidR="00A07BF9" w:rsidRPr="008A416B" w:rsidRDefault="00A07BF9" w:rsidP="00B51B51">
            <w:pPr>
              <w:widowControl w:val="0"/>
              <w:jc w:val="center"/>
              <w:rPr>
                <w:rFonts w:cs="Arial"/>
                <w:sz w:val="18"/>
                <w:szCs w:val="18"/>
              </w:rPr>
            </w:pPr>
            <w:r w:rsidRPr="008A416B">
              <w:rPr>
                <w:rFonts w:cs="Arial"/>
                <w:sz w:val="18"/>
                <w:szCs w:val="18"/>
              </w:rPr>
              <w:t>S/I</w:t>
            </w:r>
          </w:p>
        </w:tc>
        <w:tc>
          <w:tcPr>
            <w:tcW w:w="5103" w:type="dxa"/>
            <w:vMerge w:val="restart"/>
            <w:tcBorders>
              <w:top w:val="nil"/>
              <w:left w:val="single" w:sz="4" w:space="0" w:color="auto"/>
              <w:bottom w:val="single" w:sz="4" w:space="0" w:color="000000"/>
              <w:right w:val="single" w:sz="4" w:space="0" w:color="auto"/>
            </w:tcBorders>
            <w:shd w:val="clear" w:color="auto" w:fill="auto"/>
            <w:noWrap/>
            <w:vAlign w:val="center"/>
          </w:tcPr>
          <w:p w:rsidR="00A07BF9" w:rsidRPr="008A416B" w:rsidRDefault="00A07BF9" w:rsidP="00B51B51">
            <w:pPr>
              <w:widowControl w:val="0"/>
              <w:rPr>
                <w:rFonts w:cs="Arial"/>
                <w:sz w:val="18"/>
                <w:szCs w:val="18"/>
              </w:rPr>
            </w:pPr>
            <w:r w:rsidRPr="008A416B">
              <w:rPr>
                <w:rFonts w:cs="Arial"/>
                <w:sz w:val="18"/>
                <w:szCs w:val="18"/>
              </w:rPr>
              <w:t>S/I</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A07BF9" w:rsidRPr="008C4E8C" w:rsidRDefault="00A07BF9" w:rsidP="00B51B51">
            <w:pPr>
              <w:widowControl w:val="0"/>
              <w:rPr>
                <w:rFonts w:cs="Arial"/>
              </w:rPr>
            </w:pPr>
            <w:r w:rsidRPr="008C4E8C">
              <w:rPr>
                <w:rFonts w:cs="Arial"/>
                <w:sz w:val="20"/>
                <w:szCs w:val="20"/>
              </w:rPr>
              <w:t>Consuntivo</w:t>
            </w: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sidRPr="008C4E8C">
              <w:rPr>
                <w:rFonts w:cs="Arial"/>
                <w:sz w:val="18"/>
                <w:szCs w:val="18"/>
              </w:rPr>
              <w:t>Eventual</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0,0</w:t>
            </w:r>
          </w:p>
        </w:tc>
      </w:tr>
      <w:tr w:rsidR="00A07BF9" w:rsidRPr="008A416B">
        <w:trPr>
          <w:trHeight w:hRule="exact" w:val="284"/>
          <w:jc w:val="center"/>
        </w:trPr>
        <w:tc>
          <w:tcPr>
            <w:tcW w:w="1226" w:type="dxa"/>
            <w:vMerge/>
            <w:tcBorders>
              <w:top w:val="nil"/>
              <w:left w:val="single" w:sz="4" w:space="0" w:color="auto"/>
              <w:bottom w:val="single" w:sz="4" w:space="0" w:color="auto"/>
              <w:right w:val="single" w:sz="4" w:space="0" w:color="auto"/>
            </w:tcBorders>
            <w:vAlign w:val="center"/>
          </w:tcPr>
          <w:p w:rsidR="00A07BF9" w:rsidRPr="008A416B" w:rsidRDefault="00A07BF9" w:rsidP="00B51B51">
            <w:pPr>
              <w:widowControl w:val="0"/>
              <w:jc w:val="left"/>
              <w:rPr>
                <w:rFonts w:cs="Arial"/>
                <w:sz w:val="18"/>
                <w:szCs w:val="18"/>
              </w:rPr>
            </w:pPr>
          </w:p>
        </w:tc>
        <w:tc>
          <w:tcPr>
            <w:tcW w:w="5103" w:type="dxa"/>
            <w:vMerge/>
            <w:tcBorders>
              <w:top w:val="nil"/>
              <w:left w:val="single" w:sz="4" w:space="0" w:color="auto"/>
              <w:bottom w:val="single" w:sz="4" w:space="0" w:color="000000"/>
              <w:right w:val="single" w:sz="4" w:space="0" w:color="auto"/>
            </w:tcBorders>
            <w:vAlign w:val="center"/>
          </w:tcPr>
          <w:p w:rsidR="00A07BF9" w:rsidRPr="008A416B" w:rsidRDefault="00A07BF9" w:rsidP="00B51B51">
            <w:pPr>
              <w:widowControl w:val="0"/>
              <w:rPr>
                <w:rFonts w:cs="Arial"/>
                <w:sz w:val="18"/>
                <w:szCs w:val="18"/>
              </w:rPr>
            </w:pPr>
          </w:p>
        </w:tc>
        <w:tc>
          <w:tcPr>
            <w:tcW w:w="1201" w:type="dxa"/>
            <w:vMerge/>
            <w:tcBorders>
              <w:top w:val="single" w:sz="4" w:space="0" w:color="auto"/>
              <w:left w:val="single" w:sz="4" w:space="0" w:color="auto"/>
              <w:bottom w:val="single" w:sz="4" w:space="0" w:color="auto"/>
              <w:right w:val="single" w:sz="4" w:space="0" w:color="auto"/>
            </w:tcBorders>
            <w:vAlign w:val="center"/>
          </w:tcPr>
          <w:p w:rsidR="00A07BF9" w:rsidRPr="008A416B" w:rsidRDefault="00A07BF9" w:rsidP="00B51B51">
            <w:pPr>
              <w:widowControl w:val="0"/>
              <w:rPr>
                <w:rFonts w:cs="Arial"/>
                <w:sz w:val="18"/>
                <w:szCs w:val="18"/>
              </w:rPr>
            </w:pPr>
          </w:p>
        </w:tc>
        <w:tc>
          <w:tcPr>
            <w:tcW w:w="1706" w:type="dxa"/>
            <w:tcBorders>
              <w:top w:val="nil"/>
              <w:left w:val="single" w:sz="4" w:space="0" w:color="auto"/>
              <w:bottom w:val="single" w:sz="4" w:space="0" w:color="auto"/>
              <w:right w:val="single" w:sz="4" w:space="0" w:color="auto"/>
            </w:tcBorders>
            <w:shd w:val="clear" w:color="auto" w:fill="auto"/>
            <w:noWrap/>
            <w:vAlign w:val="center"/>
          </w:tcPr>
          <w:p w:rsidR="00A07BF9" w:rsidRPr="008C4E8C" w:rsidRDefault="00A07BF9" w:rsidP="00B51B51">
            <w:pPr>
              <w:widowControl w:val="0"/>
              <w:rPr>
                <w:rFonts w:cs="Arial"/>
                <w:sz w:val="18"/>
                <w:szCs w:val="18"/>
              </w:rPr>
            </w:pPr>
            <w:r>
              <w:rPr>
                <w:rFonts w:cs="Arial"/>
                <w:sz w:val="18"/>
                <w:szCs w:val="18"/>
              </w:rPr>
              <w:t>Permanente</w:t>
            </w:r>
          </w:p>
        </w:tc>
        <w:tc>
          <w:tcPr>
            <w:tcW w:w="8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25"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4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c>
          <w:tcPr>
            <w:tcW w:w="971" w:type="dxa"/>
            <w:tcBorders>
              <w:top w:val="nil"/>
              <w:left w:val="nil"/>
              <w:bottom w:val="single" w:sz="4" w:space="0" w:color="auto"/>
              <w:right w:val="single" w:sz="4" w:space="0" w:color="auto"/>
            </w:tcBorders>
            <w:shd w:val="clear" w:color="auto" w:fill="auto"/>
            <w:noWrap/>
            <w:vAlign w:val="center"/>
          </w:tcPr>
          <w:p w:rsidR="00A07BF9" w:rsidRPr="00A07BF9" w:rsidRDefault="00A07BF9" w:rsidP="00B51B51">
            <w:pPr>
              <w:widowControl w:val="0"/>
              <w:jc w:val="center"/>
              <w:rPr>
                <w:rFonts w:cs="Arial"/>
                <w:sz w:val="18"/>
                <w:szCs w:val="18"/>
              </w:rPr>
            </w:pPr>
            <w:r w:rsidRPr="00A07BF9">
              <w:rPr>
                <w:rFonts w:cs="Arial"/>
                <w:sz w:val="18"/>
                <w:szCs w:val="18"/>
              </w:rPr>
              <w:t>3,3</w:t>
            </w:r>
          </w:p>
        </w:tc>
      </w:tr>
    </w:tbl>
    <w:p w:rsidR="00DE7359" w:rsidRPr="008A416B" w:rsidRDefault="00DE7359" w:rsidP="00B51B51">
      <w:pPr>
        <w:widowControl w:val="0"/>
      </w:pPr>
    </w:p>
    <w:p w:rsidR="009D09C2" w:rsidRPr="008A416B" w:rsidRDefault="009D09C2" w:rsidP="00B51B51">
      <w:pPr>
        <w:widowControl w:val="0"/>
      </w:pPr>
    </w:p>
    <w:p w:rsidR="00267D0D" w:rsidRDefault="00267D0D" w:rsidP="00B51B51">
      <w:pPr>
        <w:pStyle w:val="Epgrafe"/>
        <w:widowControl w:val="0"/>
      </w:pPr>
      <w:bookmarkStart w:id="233" w:name="_Ref338394572"/>
      <w:r>
        <w:br w:type="page"/>
      </w:r>
      <w:bookmarkStart w:id="234" w:name="_Ref338404451"/>
      <w:r w:rsidRPr="00C624DE">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bookmarkEnd w:id="233"/>
      <w:bookmarkEnd w:id="234"/>
      <w:r w:rsidRPr="00C624DE">
        <w:t xml:space="preserve"> </w:t>
      </w:r>
      <w:r>
        <w:t>Demandas de Derechos Superficiales No Consuntivos Permanentes (l/s)</w:t>
      </w:r>
    </w:p>
    <w:tbl>
      <w:tblPr>
        <w:tblW w:w="19924" w:type="dxa"/>
        <w:jc w:val="center"/>
        <w:tblCellMar>
          <w:left w:w="70" w:type="dxa"/>
          <w:right w:w="70" w:type="dxa"/>
        </w:tblCellMar>
        <w:tblLook w:val="0000" w:firstRow="0" w:lastRow="0" w:firstColumn="0" w:lastColumn="0" w:noHBand="0" w:noVBand="0"/>
      </w:tblPr>
      <w:tblGrid>
        <w:gridCol w:w="1226"/>
        <w:gridCol w:w="5103"/>
        <w:gridCol w:w="1052"/>
        <w:gridCol w:w="1052"/>
        <w:gridCol w:w="1052"/>
        <w:gridCol w:w="1052"/>
        <w:gridCol w:w="1052"/>
        <w:gridCol w:w="1052"/>
        <w:gridCol w:w="1052"/>
        <w:gridCol w:w="1052"/>
        <w:gridCol w:w="1052"/>
        <w:gridCol w:w="1052"/>
        <w:gridCol w:w="1052"/>
        <w:gridCol w:w="1052"/>
        <w:gridCol w:w="971"/>
      </w:tblGrid>
      <w:tr w:rsidR="00267D0D" w:rsidRPr="001D4534">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Subcuenca</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Abr</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May</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Jun</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Jul</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Ago</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Sep</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Oct</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Nov</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Dic</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Ene</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Feb</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Promedio</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0571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14.410,6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14.130,6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14.070,6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14.050,6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14.050,6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14.100,6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14.120,6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14.450,6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14.450,6</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14.265,6</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0600</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Río Cachapoal Alto (Hasta Bajo Junta Río Claro)</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201.681,6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197.321,6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214.391,6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198.661,6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196.901,6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201.261,6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214.741,6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269.311,6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305.501,6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303.511,6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262.951,6</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219.471,6</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232.142,4</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Cachapoal Bajo</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105.567,0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97.338,0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96.735,0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100.912,0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104.368,0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109.375,0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132.042,0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166.591,0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186.053,0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180.329,0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156.415,0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129.748,0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130.456,1</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0602</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187.705,4</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186.606,5</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186.652,8</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186.350,8</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185.876,8</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187.448,5</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191.912,0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205.676,2</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213.263,0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209.035,4</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204.268,2</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193.012,2</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194.817,3</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0603</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113.500,0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117.700,0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131.700,0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122.900,0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146.400,0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126.800,0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128.700,0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133.100,0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124.800,0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125.400,0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111.300,0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111.100,0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124.450,0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0604</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Estero Alhué</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0605</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Río Rapel</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86.230,0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94.470,0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109.614,0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128.586,0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169.962,0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88.530,0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70.510,0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47.108,0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52.356,0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31.000,0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31.000,0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39.780,0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79.095,5</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0610</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Costeras entre Río Rapel  y Estero Topocalma</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0611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Estero Topocalma</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0612</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Costeras Entre E. Topocalma y E. Nilahue</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0613</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Estero Nilahue</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0614</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Costeras entre Estero Nilahue y Límite Región</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0,0</w:t>
            </w:r>
          </w:p>
        </w:tc>
      </w:tr>
      <w:tr w:rsidR="00AC6830"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AC6830" w:rsidRPr="008A416B" w:rsidRDefault="00AC6830" w:rsidP="00B51B51">
            <w:pPr>
              <w:widowControl w:val="0"/>
              <w:jc w:val="center"/>
              <w:rPr>
                <w:rFonts w:cs="Arial"/>
                <w:sz w:val="18"/>
                <w:szCs w:val="18"/>
              </w:rPr>
            </w:pPr>
            <w:r w:rsidRPr="008A416B">
              <w:rPr>
                <w:rFonts w:cs="Arial"/>
                <w:sz w:val="18"/>
                <w:szCs w:val="18"/>
              </w:rPr>
              <w:t>S/I</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AC6830" w:rsidRPr="008A416B" w:rsidRDefault="00AC6830" w:rsidP="00B51B51">
            <w:pPr>
              <w:widowControl w:val="0"/>
              <w:rPr>
                <w:rFonts w:cs="Arial"/>
                <w:sz w:val="18"/>
                <w:szCs w:val="18"/>
              </w:rPr>
            </w:pPr>
            <w:r w:rsidRPr="008A416B">
              <w:rPr>
                <w:rFonts w:cs="Arial"/>
                <w:sz w:val="18"/>
                <w:szCs w:val="18"/>
              </w:rPr>
              <w:t>S/I</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1052"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c>
          <w:tcPr>
            <w:tcW w:w="971" w:type="dxa"/>
            <w:tcBorders>
              <w:top w:val="nil"/>
              <w:left w:val="nil"/>
              <w:bottom w:val="single" w:sz="4" w:space="0" w:color="auto"/>
              <w:right w:val="single" w:sz="4" w:space="0" w:color="auto"/>
            </w:tcBorders>
            <w:shd w:val="clear" w:color="auto" w:fill="auto"/>
            <w:noWrap/>
            <w:vAlign w:val="bottom"/>
          </w:tcPr>
          <w:p w:rsidR="00AC6830" w:rsidRPr="00AC6830" w:rsidRDefault="00AC6830" w:rsidP="00B51B51">
            <w:pPr>
              <w:widowControl w:val="0"/>
              <w:jc w:val="center"/>
              <w:rPr>
                <w:rFonts w:cs="Arial"/>
                <w:sz w:val="18"/>
                <w:szCs w:val="18"/>
              </w:rPr>
            </w:pPr>
            <w:r w:rsidRPr="00AC6830">
              <w:rPr>
                <w:rFonts w:cs="Arial"/>
                <w:sz w:val="18"/>
                <w:szCs w:val="18"/>
              </w:rPr>
              <w:t>6,0</w:t>
            </w:r>
          </w:p>
        </w:tc>
      </w:tr>
    </w:tbl>
    <w:p w:rsidR="00267D0D" w:rsidRDefault="00267D0D" w:rsidP="00B51B51">
      <w:pPr>
        <w:pStyle w:val="Epgrafe"/>
        <w:widowControl w:val="0"/>
      </w:pPr>
    </w:p>
    <w:p w:rsidR="00267D0D" w:rsidRDefault="00267D0D" w:rsidP="00B51B51">
      <w:pPr>
        <w:pStyle w:val="Epgrafe"/>
        <w:widowControl w:val="0"/>
      </w:pPr>
      <w:bookmarkStart w:id="235" w:name="_Ref338394583"/>
    </w:p>
    <w:p w:rsidR="00267D0D" w:rsidRDefault="00267D0D" w:rsidP="00B51B51">
      <w:pPr>
        <w:pStyle w:val="Epgrafe"/>
        <w:widowControl w:val="0"/>
      </w:pPr>
      <w:bookmarkStart w:id="236" w:name="_Ref338404464"/>
      <w:r w:rsidRPr="00C624DE">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w:t>
      </w:r>
      <w:r w:rsidR="007F3102">
        <w:fldChar w:fldCharType="end"/>
      </w:r>
      <w:bookmarkEnd w:id="235"/>
      <w:bookmarkEnd w:id="236"/>
      <w:r w:rsidRPr="00C624DE">
        <w:t xml:space="preserve"> </w:t>
      </w:r>
      <w:r>
        <w:t>Demandas de Derechos Superficiales No Consuntivos Eventuales (l/s)</w:t>
      </w:r>
    </w:p>
    <w:tbl>
      <w:tblPr>
        <w:tblW w:w="19924" w:type="dxa"/>
        <w:jc w:val="center"/>
        <w:tblCellMar>
          <w:left w:w="70" w:type="dxa"/>
          <w:right w:w="70" w:type="dxa"/>
        </w:tblCellMar>
        <w:tblLook w:val="0000" w:firstRow="0" w:lastRow="0" w:firstColumn="0" w:lastColumn="0" w:noHBand="0" w:noVBand="0"/>
      </w:tblPr>
      <w:tblGrid>
        <w:gridCol w:w="1226"/>
        <w:gridCol w:w="5103"/>
        <w:gridCol w:w="1052"/>
        <w:gridCol w:w="1052"/>
        <w:gridCol w:w="1052"/>
        <w:gridCol w:w="1052"/>
        <w:gridCol w:w="1052"/>
        <w:gridCol w:w="1052"/>
        <w:gridCol w:w="1052"/>
        <w:gridCol w:w="1052"/>
        <w:gridCol w:w="1052"/>
        <w:gridCol w:w="1052"/>
        <w:gridCol w:w="1052"/>
        <w:gridCol w:w="1052"/>
        <w:gridCol w:w="971"/>
      </w:tblGrid>
      <w:tr w:rsidR="00267D0D" w:rsidRPr="001D4534">
        <w:trPr>
          <w:trHeight w:val="300"/>
          <w:jc w:val="center"/>
        </w:trPr>
        <w:tc>
          <w:tcPr>
            <w:tcW w:w="1226" w:type="dxa"/>
            <w:tcBorders>
              <w:top w:val="single" w:sz="4" w:space="0" w:color="auto"/>
              <w:left w:val="single" w:sz="4" w:space="0" w:color="auto"/>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 xml:space="preserve">Código </w:t>
            </w:r>
          </w:p>
        </w:tc>
        <w:tc>
          <w:tcPr>
            <w:tcW w:w="5103"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Subcuenca</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Abr</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May</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Jun</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Jul</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Ago</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Sep</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Oct</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Nov</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Dic</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Ene</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Feb</w:t>
            </w:r>
          </w:p>
        </w:tc>
        <w:tc>
          <w:tcPr>
            <w:tcW w:w="1052"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Pr>
                <w:rFonts w:cs="Arial"/>
                <w:b/>
                <w:bCs/>
                <w:sz w:val="18"/>
                <w:szCs w:val="18"/>
              </w:rPr>
              <w:t>Mar</w:t>
            </w:r>
          </w:p>
        </w:tc>
        <w:tc>
          <w:tcPr>
            <w:tcW w:w="971" w:type="dxa"/>
            <w:tcBorders>
              <w:top w:val="single" w:sz="4" w:space="0" w:color="auto"/>
              <w:left w:val="nil"/>
              <w:bottom w:val="single" w:sz="4" w:space="0" w:color="auto"/>
              <w:right w:val="single" w:sz="4" w:space="0" w:color="auto"/>
            </w:tcBorders>
            <w:shd w:val="clear" w:color="auto" w:fill="auto"/>
            <w:vAlign w:val="center"/>
          </w:tcPr>
          <w:p w:rsidR="00267D0D" w:rsidRPr="001D4534" w:rsidRDefault="00267D0D" w:rsidP="00B51B51">
            <w:pPr>
              <w:widowControl w:val="0"/>
              <w:jc w:val="center"/>
              <w:rPr>
                <w:rFonts w:cs="Arial"/>
                <w:b/>
                <w:bCs/>
                <w:sz w:val="18"/>
                <w:szCs w:val="18"/>
              </w:rPr>
            </w:pPr>
            <w:r w:rsidRPr="001D4534">
              <w:rPr>
                <w:rFonts w:cs="Arial"/>
                <w:b/>
                <w:bCs/>
                <w:sz w:val="18"/>
                <w:szCs w:val="18"/>
              </w:rPr>
              <w:t>Promedio</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0571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 xml:space="preserve">Forma Parte de </w:t>
            </w:r>
            <w:smartTag w:uri="urn:schemas-microsoft-com:office:smarttags" w:element="PersonName">
              <w:smartTagPr>
                <w:attr w:name="ProductID" w:val="La Subcuenca"/>
              </w:smartTagPr>
              <w:r w:rsidRPr="008A416B">
                <w:rPr>
                  <w:rFonts w:cs="Arial"/>
                  <w:sz w:val="18"/>
                  <w:szCs w:val="18"/>
                </w:rPr>
                <w:t>La Subcuenca</w:t>
              </w:r>
            </w:smartTag>
            <w:r w:rsidRPr="008A416B">
              <w:rPr>
                <w:rFonts w:cs="Arial"/>
                <w:sz w:val="18"/>
                <w:szCs w:val="18"/>
              </w:rPr>
              <w:t xml:space="preserve"> del Río Maipo Medio</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40,0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300,0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160,0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260,0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330,0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330,0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135,0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0600</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Río Cachapoal Alto (Hasta Bajo Junta Río Claro)</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201.557,0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196.087,0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217.927,0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218.937,0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221.487,0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216.757,0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243.247,0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258.747,0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282.727,0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261.677,0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262.157,0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259.427,0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236.727,8</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Cachapoal Bajo</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42.640,0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92.555,0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209.778,0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210.361,0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139.385,0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133.348,0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102.561,0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191.672,0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196.170,0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100.851,0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163.735,0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64.007,0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137.255,3</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0602</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Pr>
                <w:rFonts w:cs="Arial"/>
                <w:sz w:val="18"/>
                <w:szCs w:val="18"/>
              </w:rPr>
              <w:t>Río Tinguiriri</w:t>
            </w:r>
            <w:r w:rsidRPr="008A416B">
              <w:rPr>
                <w:rFonts w:cs="Arial"/>
                <w:sz w:val="18"/>
                <w:szCs w:val="18"/>
              </w:rPr>
              <w:t>ca Alto (Hasta Bajo Junta Río Claro)</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182.668,6</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271.087,5</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270.961,2</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273.903,2</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271.787,2</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270.485,5</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278.582,0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227.277,8</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241.341,0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237.025,3</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216.718,8</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189.278,8</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244.259,7</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0603</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Pr>
                <w:rFonts w:cs="Arial"/>
                <w:sz w:val="18"/>
                <w:szCs w:val="18"/>
              </w:rPr>
              <w:t>Tinguiriri</w:t>
            </w:r>
            <w:r w:rsidRPr="008A416B">
              <w:rPr>
                <w:rFonts w:cs="Arial"/>
                <w:sz w:val="18"/>
                <w:szCs w:val="18"/>
              </w:rPr>
              <w:t>ca Bajo</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51.100,0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85.300,0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80.100,0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71.300,0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56.600,0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76.200,0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68.000,0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69.000,0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78.200,0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74.000,0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66.900,0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17.500,0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66.183,3</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0604</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Estero Alhué</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0605</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Río Rapel</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14.477,0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15.990,0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13.509,0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10.776,6</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7.737,0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16.746,0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16.649,0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18.462,2</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17.864,4</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20.000,0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13.877,0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14.537,6</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15.052,2</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0610</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Costeras entre Río Rapel  y Estero Topocalma</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0611</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Estero Topocalma</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0612</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Costeras Entre E. Topocalma y E. Nilahue</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0613</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Estero Nilahue</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0614</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Costeras entre Estero Nilahue y Límite Región</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r w:rsidR="008B07CD" w:rsidRPr="001D4534">
        <w:trPr>
          <w:trHeight w:hRule="exact" w:val="284"/>
          <w:jc w:val="center"/>
        </w:trPr>
        <w:tc>
          <w:tcPr>
            <w:tcW w:w="1226" w:type="dxa"/>
            <w:tcBorders>
              <w:top w:val="nil"/>
              <w:left w:val="single" w:sz="4" w:space="0" w:color="auto"/>
              <w:bottom w:val="single" w:sz="4" w:space="0" w:color="auto"/>
              <w:right w:val="single" w:sz="4" w:space="0" w:color="auto"/>
            </w:tcBorders>
            <w:shd w:val="clear" w:color="auto" w:fill="auto"/>
            <w:noWrap/>
            <w:vAlign w:val="center"/>
          </w:tcPr>
          <w:p w:rsidR="008B07CD" w:rsidRPr="008A416B" w:rsidRDefault="008B07CD" w:rsidP="00B51B51">
            <w:pPr>
              <w:widowControl w:val="0"/>
              <w:jc w:val="center"/>
              <w:rPr>
                <w:rFonts w:cs="Arial"/>
                <w:sz w:val="18"/>
                <w:szCs w:val="18"/>
              </w:rPr>
            </w:pPr>
            <w:r w:rsidRPr="008A416B">
              <w:rPr>
                <w:rFonts w:cs="Arial"/>
                <w:sz w:val="18"/>
                <w:szCs w:val="18"/>
              </w:rPr>
              <w:t>S/I</w:t>
            </w:r>
          </w:p>
        </w:tc>
        <w:tc>
          <w:tcPr>
            <w:tcW w:w="5103" w:type="dxa"/>
            <w:tcBorders>
              <w:top w:val="nil"/>
              <w:left w:val="single" w:sz="4" w:space="0" w:color="auto"/>
              <w:bottom w:val="single" w:sz="4" w:space="0" w:color="000000"/>
              <w:right w:val="single" w:sz="4" w:space="0" w:color="auto"/>
            </w:tcBorders>
            <w:shd w:val="clear" w:color="auto" w:fill="auto"/>
            <w:noWrap/>
            <w:vAlign w:val="center"/>
          </w:tcPr>
          <w:p w:rsidR="008B07CD" w:rsidRPr="008A416B" w:rsidRDefault="008B07CD" w:rsidP="00B51B51">
            <w:pPr>
              <w:widowControl w:val="0"/>
              <w:rPr>
                <w:rFonts w:cs="Arial"/>
                <w:sz w:val="18"/>
                <w:szCs w:val="18"/>
              </w:rPr>
            </w:pPr>
            <w:r w:rsidRPr="008A416B">
              <w:rPr>
                <w:rFonts w:cs="Arial"/>
                <w:sz w:val="18"/>
                <w:szCs w:val="18"/>
              </w:rPr>
              <w:t>S/I</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1052"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c>
          <w:tcPr>
            <w:tcW w:w="971" w:type="dxa"/>
            <w:tcBorders>
              <w:top w:val="nil"/>
              <w:left w:val="nil"/>
              <w:bottom w:val="single" w:sz="4" w:space="0" w:color="auto"/>
              <w:right w:val="single" w:sz="4" w:space="0" w:color="auto"/>
            </w:tcBorders>
            <w:shd w:val="clear" w:color="auto" w:fill="auto"/>
            <w:noWrap/>
            <w:vAlign w:val="bottom"/>
          </w:tcPr>
          <w:p w:rsidR="008B07CD" w:rsidRPr="008B07CD" w:rsidRDefault="008B07CD" w:rsidP="00B51B51">
            <w:pPr>
              <w:widowControl w:val="0"/>
              <w:jc w:val="center"/>
              <w:rPr>
                <w:rFonts w:cs="Arial"/>
                <w:sz w:val="18"/>
                <w:szCs w:val="18"/>
              </w:rPr>
            </w:pPr>
            <w:r w:rsidRPr="008B07CD">
              <w:rPr>
                <w:rFonts w:cs="Arial"/>
                <w:sz w:val="18"/>
                <w:szCs w:val="18"/>
              </w:rPr>
              <w:t>0,0</w:t>
            </w:r>
          </w:p>
        </w:tc>
      </w:tr>
    </w:tbl>
    <w:p w:rsidR="009D09C2" w:rsidRPr="008A416B" w:rsidRDefault="009D09C2" w:rsidP="00B51B51">
      <w:pPr>
        <w:widowControl w:val="0"/>
        <w:sectPr w:rsidR="009D09C2" w:rsidRPr="008A416B" w:rsidSect="00196B99">
          <w:pgSz w:w="24477" w:h="15842" w:orient="landscape" w:code="3"/>
          <w:pgMar w:top="1418" w:right="1701" w:bottom="1418" w:left="1418" w:header="851" w:footer="851" w:gutter="284"/>
          <w:cols w:space="708"/>
          <w:docGrid w:linePitch="360"/>
        </w:sectPr>
      </w:pPr>
    </w:p>
    <w:p w:rsidR="00AA581B" w:rsidRPr="00E30EAC" w:rsidRDefault="00AA581B" w:rsidP="00B51B51">
      <w:pPr>
        <w:widowControl w:val="0"/>
        <w:rPr>
          <w:rFonts w:cs="Arial"/>
          <w:sz w:val="16"/>
          <w:lang w:val="es-ES_tradnl"/>
        </w:rPr>
      </w:pPr>
    </w:p>
    <w:p w:rsidR="00AA581B" w:rsidRPr="008A416B" w:rsidRDefault="00AA581B" w:rsidP="00B51B51">
      <w:pPr>
        <w:widowControl w:val="0"/>
        <w:rPr>
          <w:lang w:val="es-ES_tradnl"/>
        </w:rPr>
      </w:pPr>
      <w:r w:rsidRPr="008A416B">
        <w:rPr>
          <w:lang w:val="es-ES_tradnl"/>
        </w:rPr>
        <w:t>Por otra parte en el siguiente cuadro se incluye la información de los derechos de aguas en trámite que fue procesada tanto para las aguas subterráneas como superficiales.</w:t>
      </w:r>
    </w:p>
    <w:p w:rsidR="00AA581B" w:rsidRDefault="00AA581B" w:rsidP="00B51B51">
      <w:pPr>
        <w:pStyle w:val="Epgrafe"/>
        <w:widowControl w:val="0"/>
      </w:pPr>
    </w:p>
    <w:p w:rsidR="00244AA2" w:rsidRPr="008A416B" w:rsidRDefault="00244AA2" w:rsidP="00B51B51">
      <w:pPr>
        <w:pStyle w:val="Epgrafe"/>
        <w:widowControl w:val="0"/>
      </w:pPr>
      <w:r w:rsidRPr="008A416B">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12</w:t>
      </w:r>
      <w:r w:rsidR="007F3102">
        <w:fldChar w:fldCharType="end"/>
      </w:r>
      <w:r w:rsidRPr="008A416B">
        <w:t xml:space="preserve"> Derechos de Aguas Subterráneas Constituidas con Coordenadas por Uso y por Subcuenca (l/s)</w:t>
      </w:r>
    </w:p>
    <w:tbl>
      <w:tblPr>
        <w:tblW w:w="8928" w:type="dxa"/>
        <w:jc w:val="center"/>
        <w:tblCellMar>
          <w:left w:w="70" w:type="dxa"/>
          <w:right w:w="70" w:type="dxa"/>
        </w:tblCellMar>
        <w:tblLook w:val="0000" w:firstRow="0" w:lastRow="0" w:firstColumn="0" w:lastColumn="0" w:noHBand="0" w:noVBand="0"/>
      </w:tblPr>
      <w:tblGrid>
        <w:gridCol w:w="1581"/>
        <w:gridCol w:w="1115"/>
        <w:gridCol w:w="1079"/>
        <w:gridCol w:w="980"/>
        <w:gridCol w:w="783"/>
        <w:gridCol w:w="792"/>
        <w:gridCol w:w="836"/>
        <w:gridCol w:w="881"/>
        <w:gridCol w:w="881"/>
      </w:tblGrid>
      <w:tr w:rsidR="005F39B0" w:rsidRPr="00E30EAC">
        <w:trPr>
          <w:jc w:val="center"/>
        </w:trPr>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Acuífero</w:t>
            </w:r>
          </w:p>
        </w:tc>
        <w:tc>
          <w:tcPr>
            <w:tcW w:w="1115"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Subcuenca</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Doméstico</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Industrial</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Minero</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Otros</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Potable</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Riego</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4F006D" w:rsidP="00B51B51">
            <w:pPr>
              <w:widowControl w:val="0"/>
              <w:jc w:val="center"/>
              <w:rPr>
                <w:rFonts w:cs="Arial"/>
                <w:bCs/>
                <w:color w:val="000000"/>
                <w:sz w:val="16"/>
                <w:szCs w:val="18"/>
              </w:rPr>
            </w:pPr>
            <w:r w:rsidRPr="00E30EAC">
              <w:rPr>
                <w:rFonts w:cs="Arial"/>
                <w:bCs/>
                <w:color w:val="000000"/>
                <w:sz w:val="16"/>
                <w:szCs w:val="18"/>
              </w:rPr>
              <w:t>Total</w:t>
            </w:r>
          </w:p>
        </w:tc>
      </w:tr>
      <w:tr w:rsidR="005F39B0" w:rsidRPr="00E30EAC">
        <w:trPr>
          <w:jc w:val="center"/>
        </w:trPr>
        <w:tc>
          <w:tcPr>
            <w:tcW w:w="1581" w:type="dxa"/>
            <w:tcBorders>
              <w:top w:val="single" w:sz="4" w:space="0" w:color="auto"/>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Estero Alhué</w:t>
            </w:r>
          </w:p>
        </w:tc>
        <w:tc>
          <w:tcPr>
            <w:tcW w:w="1115"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186,0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116,6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72,9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1.818,2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2.204,5</w:t>
            </w:r>
          </w:p>
        </w:tc>
      </w:tr>
      <w:tr w:rsidR="005F39B0" w:rsidRPr="00E30EAC">
        <w:trPr>
          <w:jc w:val="center"/>
        </w:trPr>
        <w:tc>
          <w:tcPr>
            <w:tcW w:w="1581" w:type="dxa"/>
            <w:tcBorders>
              <w:top w:val="nil"/>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Estero Nilahue</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0613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79,4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51,7</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699,8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161,4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1.690,9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2.683,2</w:t>
            </w:r>
          </w:p>
        </w:tc>
      </w:tr>
      <w:tr w:rsidR="005F39B0" w:rsidRPr="00E30EAC">
        <w:trPr>
          <w:jc w:val="center"/>
        </w:trPr>
        <w:tc>
          <w:tcPr>
            <w:tcW w:w="1581" w:type="dxa"/>
            <w:tcBorders>
              <w:top w:val="nil"/>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Río Angostura</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0571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203,3</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189,5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283,9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993,9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1.670,6</w:t>
            </w:r>
          </w:p>
        </w:tc>
      </w:tr>
      <w:tr w:rsidR="005F39B0" w:rsidRPr="00E30EAC">
        <w:trPr>
          <w:jc w:val="center"/>
        </w:trPr>
        <w:tc>
          <w:tcPr>
            <w:tcW w:w="1581" w:type="dxa"/>
            <w:vMerge w:val="restart"/>
            <w:tcBorders>
              <w:top w:val="nil"/>
              <w:left w:val="single" w:sz="8" w:space="0" w:color="auto"/>
              <w:bottom w:val="single" w:sz="4" w:space="0" w:color="auto"/>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Río Cachapoal</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165,6</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41,0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206,7</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109,5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2.126,5</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100,0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2.442,0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2.519,3</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13.636,7</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20.933,9</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0,1</w:t>
            </w:r>
          </w:p>
        </w:tc>
      </w:tr>
      <w:tr w:rsidR="005F39B0" w:rsidRPr="00E30EAC">
        <w:trPr>
          <w:jc w:val="center"/>
        </w:trPr>
        <w:tc>
          <w:tcPr>
            <w:tcW w:w="1581" w:type="dxa"/>
            <w:vMerge w:val="restart"/>
            <w:tcBorders>
              <w:top w:val="nil"/>
              <w:left w:val="single" w:sz="8" w:space="0" w:color="auto"/>
              <w:bottom w:val="single" w:sz="4" w:space="0" w:color="auto"/>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Río Tinguiririca</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127,9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293,9</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1.554,2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1.114,5</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9.769,6</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12.860,1</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0605</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169,9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133,8</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1.421,9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319,9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5.342,8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7.388,2</w:t>
            </w:r>
          </w:p>
        </w:tc>
      </w:tr>
      <w:tr w:rsidR="005F39B0" w:rsidRPr="00E30EAC">
        <w:trPr>
          <w:jc w:val="center"/>
        </w:trPr>
        <w:tc>
          <w:tcPr>
            <w:tcW w:w="1581" w:type="dxa"/>
            <w:vMerge w:val="restart"/>
            <w:tcBorders>
              <w:top w:val="nil"/>
              <w:left w:val="single" w:sz="8" w:space="0" w:color="auto"/>
              <w:bottom w:val="single" w:sz="8" w:space="0" w:color="000000"/>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Cuencas Costeras</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0614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47,0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15,9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12,0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110,8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185,7</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0612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10,4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5,2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31,1</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46,8</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0611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21,7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141,7</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15,9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266,9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446,2</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8"/>
              </w:rPr>
            </w:pPr>
          </w:p>
        </w:tc>
        <w:tc>
          <w:tcPr>
            <w:tcW w:w="1115" w:type="dxa"/>
            <w:tcBorders>
              <w:top w:val="nil"/>
              <w:left w:val="nil"/>
              <w:bottom w:val="nil"/>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0610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2,3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5,3</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7,6</w:t>
            </w:r>
          </w:p>
        </w:tc>
      </w:tr>
      <w:tr w:rsidR="005F39B0" w:rsidRPr="00E30EAC">
        <w:trPr>
          <w:jc w:val="center"/>
        </w:trPr>
        <w:tc>
          <w:tcPr>
            <w:tcW w:w="1581" w:type="dxa"/>
            <w:tcBorders>
              <w:top w:val="nil"/>
              <w:left w:val="single" w:sz="8" w:space="0" w:color="auto"/>
              <w:bottom w:val="single" w:sz="8" w:space="0" w:color="auto"/>
              <w:right w:val="nil"/>
            </w:tcBorders>
            <w:shd w:val="clear" w:color="auto" w:fill="auto"/>
            <w:noWrap/>
            <w:vAlign w:val="bottom"/>
          </w:tcPr>
          <w:p w:rsidR="005F39B0" w:rsidRPr="00E30EAC" w:rsidRDefault="005F39B0" w:rsidP="00B51B51">
            <w:pPr>
              <w:widowControl w:val="0"/>
              <w:jc w:val="left"/>
              <w:rPr>
                <w:rFonts w:cs="Arial"/>
                <w:color w:val="000000"/>
                <w:sz w:val="16"/>
                <w:szCs w:val="18"/>
              </w:rPr>
            </w:pPr>
            <w:r w:rsidRPr="00E30EAC">
              <w:rPr>
                <w:rFonts w:cs="Arial"/>
                <w:color w:val="000000"/>
                <w:sz w:val="16"/>
                <w:szCs w:val="18"/>
              </w:rPr>
              <w:t> </w:t>
            </w:r>
          </w:p>
        </w:tc>
        <w:tc>
          <w:tcPr>
            <w:tcW w:w="1115" w:type="dxa"/>
            <w:tcBorders>
              <w:top w:val="single" w:sz="8" w:space="0" w:color="auto"/>
              <w:left w:val="single" w:sz="8" w:space="0" w:color="auto"/>
              <w:bottom w:val="single" w:sz="8"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579</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2.995</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266</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6.587</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4.500</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33.707</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8"/>
              </w:rPr>
            </w:pPr>
            <w:r w:rsidRPr="00E30EAC">
              <w:rPr>
                <w:rFonts w:cs="Arial"/>
                <w:bCs/>
                <w:color w:val="000000"/>
                <w:sz w:val="16"/>
                <w:szCs w:val="18"/>
              </w:rPr>
              <w:t>48.633</w:t>
            </w:r>
          </w:p>
        </w:tc>
      </w:tr>
      <w:tr w:rsidR="005F39B0" w:rsidRPr="00E30EAC">
        <w:trPr>
          <w:jc w:val="center"/>
        </w:trPr>
        <w:tc>
          <w:tcPr>
            <w:tcW w:w="1581" w:type="dxa"/>
            <w:tcBorders>
              <w:top w:val="nil"/>
              <w:left w:val="nil"/>
              <w:bottom w:val="nil"/>
              <w:right w:val="nil"/>
            </w:tcBorders>
            <w:shd w:val="clear" w:color="auto" w:fill="auto"/>
            <w:noWrap/>
            <w:vAlign w:val="bottom"/>
          </w:tcPr>
          <w:p w:rsidR="005F39B0" w:rsidRPr="00E30EAC" w:rsidRDefault="005F39B0" w:rsidP="00B51B51">
            <w:pPr>
              <w:widowControl w:val="0"/>
              <w:jc w:val="left"/>
              <w:rPr>
                <w:rFonts w:cs="Arial"/>
                <w:color w:val="000000"/>
                <w:sz w:val="16"/>
                <w:szCs w:val="18"/>
              </w:rPr>
            </w:pPr>
          </w:p>
        </w:tc>
        <w:tc>
          <w:tcPr>
            <w:tcW w:w="1115" w:type="dxa"/>
            <w:tcBorders>
              <w:top w:val="nil"/>
              <w:left w:val="single" w:sz="8" w:space="0" w:color="auto"/>
              <w:bottom w:val="single" w:sz="8" w:space="0" w:color="auto"/>
              <w:right w:val="single" w:sz="4" w:space="0" w:color="auto"/>
            </w:tcBorders>
            <w:shd w:val="clear" w:color="auto" w:fill="auto"/>
            <w:noWrap/>
            <w:vAlign w:val="bottom"/>
          </w:tcPr>
          <w:p w:rsidR="005F39B0" w:rsidRPr="00E30EAC" w:rsidRDefault="005F39B0" w:rsidP="00B51B51">
            <w:pPr>
              <w:widowControl w:val="0"/>
              <w:jc w:val="left"/>
              <w:rPr>
                <w:rFonts w:cs="Arial"/>
                <w:bCs/>
                <w:color w:val="000000"/>
                <w:sz w:val="16"/>
                <w:szCs w:val="18"/>
              </w:rPr>
            </w:pPr>
            <w:r w:rsidRPr="00E30EAC">
              <w:rPr>
                <w:rFonts w:cs="Arial"/>
                <w:bCs/>
                <w:color w:val="000000"/>
                <w:sz w:val="16"/>
                <w:szCs w:val="18"/>
              </w:rPr>
              <w:t>% del 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1,2</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6,2</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0,5</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13,5</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9,3</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69,3</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8"/>
              </w:rPr>
            </w:pPr>
            <w:r w:rsidRPr="00E30EAC">
              <w:rPr>
                <w:rFonts w:cs="Arial"/>
                <w:color w:val="000000"/>
                <w:sz w:val="16"/>
                <w:szCs w:val="18"/>
              </w:rPr>
              <w:t>100,0</w:t>
            </w:r>
          </w:p>
        </w:tc>
      </w:tr>
    </w:tbl>
    <w:p w:rsidR="0049518E" w:rsidRPr="00E30EAC" w:rsidRDefault="0049518E" w:rsidP="00B51B51">
      <w:pPr>
        <w:pStyle w:val="Epgrafe"/>
        <w:widowControl w:val="0"/>
        <w:rPr>
          <w:b w:val="0"/>
          <w:sz w:val="18"/>
        </w:rPr>
      </w:pPr>
    </w:p>
    <w:p w:rsidR="00244AA2" w:rsidRPr="008A416B" w:rsidRDefault="00244AA2" w:rsidP="00B51B51">
      <w:pPr>
        <w:pStyle w:val="Epgrafe"/>
        <w:widowControl w:val="0"/>
      </w:pPr>
      <w:r w:rsidRPr="008A416B">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r w:rsidRPr="008A416B">
        <w:t xml:space="preserve"> Derechos de Aguas Subterráneas Constituidas sin Coordenadas por Uso por Subcuenca (</w:t>
      </w:r>
      <w:r w:rsidR="00A0772F" w:rsidRPr="008A416B">
        <w:t>l</w:t>
      </w:r>
      <w:r w:rsidRPr="008A416B">
        <w:t>/</w:t>
      </w:r>
      <w:r w:rsidR="00A0772F" w:rsidRPr="008A416B">
        <w:t>s</w:t>
      </w:r>
      <w:r w:rsidRPr="008A416B">
        <w:t>)</w:t>
      </w:r>
    </w:p>
    <w:tbl>
      <w:tblPr>
        <w:tblW w:w="8928" w:type="dxa"/>
        <w:jc w:val="center"/>
        <w:tblCellMar>
          <w:left w:w="70" w:type="dxa"/>
          <w:right w:w="70" w:type="dxa"/>
        </w:tblCellMar>
        <w:tblLook w:val="0000" w:firstRow="0" w:lastRow="0" w:firstColumn="0" w:lastColumn="0" w:noHBand="0" w:noVBand="0"/>
      </w:tblPr>
      <w:tblGrid>
        <w:gridCol w:w="1581"/>
        <w:gridCol w:w="1115"/>
        <w:gridCol w:w="1079"/>
        <w:gridCol w:w="980"/>
        <w:gridCol w:w="783"/>
        <w:gridCol w:w="792"/>
        <w:gridCol w:w="836"/>
        <w:gridCol w:w="881"/>
        <w:gridCol w:w="881"/>
      </w:tblGrid>
      <w:tr w:rsidR="005F39B0" w:rsidRPr="00E30EAC">
        <w:trPr>
          <w:jc w:val="center"/>
        </w:trPr>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Acuífero</w:t>
            </w:r>
          </w:p>
        </w:tc>
        <w:tc>
          <w:tcPr>
            <w:tcW w:w="1115"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Subcuenca</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Doméstico</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Industrial</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Minero</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Otros</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Potable</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Riego</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4F006D" w:rsidP="00B51B51">
            <w:pPr>
              <w:widowControl w:val="0"/>
              <w:jc w:val="center"/>
              <w:rPr>
                <w:rFonts w:cs="Arial"/>
                <w:bCs/>
                <w:color w:val="000000"/>
                <w:sz w:val="16"/>
                <w:szCs w:val="16"/>
              </w:rPr>
            </w:pPr>
            <w:r w:rsidRPr="00E30EAC">
              <w:rPr>
                <w:rFonts w:cs="Arial"/>
                <w:bCs/>
                <w:color w:val="000000"/>
                <w:sz w:val="16"/>
                <w:szCs w:val="16"/>
              </w:rPr>
              <w:t>Total</w:t>
            </w:r>
          </w:p>
        </w:tc>
      </w:tr>
      <w:tr w:rsidR="005F39B0" w:rsidRPr="00E30EAC">
        <w:trPr>
          <w:jc w:val="center"/>
        </w:trPr>
        <w:tc>
          <w:tcPr>
            <w:tcW w:w="1581" w:type="dxa"/>
            <w:tcBorders>
              <w:top w:val="single" w:sz="4" w:space="0" w:color="auto"/>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Estero Alhué</w:t>
            </w:r>
          </w:p>
        </w:tc>
        <w:tc>
          <w:tcPr>
            <w:tcW w:w="1115"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59,0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156,4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215,4</w:t>
            </w:r>
          </w:p>
        </w:tc>
      </w:tr>
      <w:tr w:rsidR="005F39B0" w:rsidRPr="00E30EAC">
        <w:trPr>
          <w:jc w:val="center"/>
        </w:trPr>
        <w:tc>
          <w:tcPr>
            <w:tcW w:w="1581" w:type="dxa"/>
            <w:tcBorders>
              <w:top w:val="nil"/>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Estero Nilahue</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0613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89,0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72,9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714,9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879,0</w:t>
            </w:r>
          </w:p>
        </w:tc>
      </w:tr>
      <w:tr w:rsidR="005F39B0" w:rsidRPr="00E30EAC">
        <w:trPr>
          <w:jc w:val="center"/>
        </w:trPr>
        <w:tc>
          <w:tcPr>
            <w:tcW w:w="1581" w:type="dxa"/>
            <w:tcBorders>
              <w:top w:val="nil"/>
              <w:left w:val="single" w:sz="8"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Río Angostura</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0571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130,0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231,0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391,7</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792,7</w:t>
            </w:r>
          </w:p>
        </w:tc>
      </w:tr>
      <w:tr w:rsidR="005F39B0" w:rsidRPr="00E30EAC">
        <w:trPr>
          <w:jc w:val="center"/>
        </w:trPr>
        <w:tc>
          <w:tcPr>
            <w:tcW w:w="1581" w:type="dxa"/>
            <w:vMerge w:val="restart"/>
            <w:tcBorders>
              <w:top w:val="nil"/>
              <w:left w:val="single" w:sz="8" w:space="0" w:color="auto"/>
              <w:bottom w:val="single" w:sz="4" w:space="0" w:color="auto"/>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Río Cachapoal</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37,0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560,0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122,0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719,0</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565,5</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6,0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77,2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1.511,0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1.446,2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3.606,3</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271,0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12,0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42,4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18,0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343,4</w:t>
            </w:r>
          </w:p>
        </w:tc>
      </w:tr>
      <w:tr w:rsidR="005F39B0" w:rsidRPr="00E30EAC">
        <w:trPr>
          <w:jc w:val="center"/>
        </w:trPr>
        <w:tc>
          <w:tcPr>
            <w:tcW w:w="1581" w:type="dxa"/>
            <w:vMerge w:val="restart"/>
            <w:tcBorders>
              <w:top w:val="nil"/>
              <w:left w:val="single" w:sz="8" w:space="0" w:color="auto"/>
              <w:bottom w:val="single" w:sz="4" w:space="0" w:color="auto"/>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Río Tinguiririca</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70,3</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437,8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1.400,0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1.908,1</w:t>
            </w:r>
          </w:p>
        </w:tc>
      </w:tr>
      <w:tr w:rsidR="005F39B0" w:rsidRPr="00E30EAC">
        <w:trPr>
          <w:jc w:val="center"/>
        </w:trPr>
        <w:tc>
          <w:tcPr>
            <w:tcW w:w="1581" w:type="dxa"/>
            <w:vMerge/>
            <w:tcBorders>
              <w:top w:val="nil"/>
              <w:left w:val="single" w:sz="8" w:space="0" w:color="auto"/>
              <w:bottom w:val="single" w:sz="4" w:space="0" w:color="auto"/>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0605</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94,0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94,7</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232,9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422,1</w:t>
            </w:r>
          </w:p>
        </w:tc>
      </w:tr>
      <w:tr w:rsidR="005F39B0" w:rsidRPr="00E30EAC">
        <w:trPr>
          <w:jc w:val="center"/>
        </w:trPr>
        <w:tc>
          <w:tcPr>
            <w:tcW w:w="1581" w:type="dxa"/>
            <w:vMerge w:val="restart"/>
            <w:tcBorders>
              <w:top w:val="nil"/>
              <w:left w:val="single" w:sz="8" w:space="0" w:color="auto"/>
              <w:bottom w:val="single" w:sz="8" w:space="0" w:color="000000"/>
              <w:right w:val="single" w:sz="4" w:space="0" w:color="auto"/>
            </w:tcBorders>
            <w:shd w:val="clear" w:color="auto" w:fill="auto"/>
            <w:noWrap/>
            <w:vAlign w:val="center"/>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Cuencas Costeras</w:t>
            </w: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0614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15,0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15,9</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0612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48,4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48,4</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0611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14,0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2,1</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18,1</w:t>
            </w:r>
          </w:p>
        </w:tc>
      </w:tr>
      <w:tr w:rsidR="005F39B0" w:rsidRPr="00E30EAC">
        <w:trPr>
          <w:jc w:val="center"/>
        </w:trPr>
        <w:tc>
          <w:tcPr>
            <w:tcW w:w="1581" w:type="dxa"/>
            <w:vMerge/>
            <w:tcBorders>
              <w:top w:val="nil"/>
              <w:left w:val="single" w:sz="8" w:space="0" w:color="auto"/>
              <w:bottom w:val="single" w:sz="8" w:space="0" w:color="000000"/>
              <w:right w:val="single" w:sz="4" w:space="0" w:color="auto"/>
            </w:tcBorders>
            <w:vAlign w:val="center"/>
          </w:tcPr>
          <w:p w:rsidR="005F39B0" w:rsidRPr="00E30EAC" w:rsidRDefault="005F39B0" w:rsidP="00B51B51">
            <w:pPr>
              <w:widowControl w:val="0"/>
              <w:jc w:val="left"/>
              <w:rPr>
                <w:rFonts w:cs="Arial"/>
                <w:color w:val="000000"/>
                <w:sz w:val="16"/>
                <w:szCs w:val="16"/>
              </w:rPr>
            </w:pPr>
          </w:p>
        </w:tc>
        <w:tc>
          <w:tcPr>
            <w:tcW w:w="1115" w:type="dxa"/>
            <w:tcBorders>
              <w:top w:val="nil"/>
              <w:left w:val="nil"/>
              <w:bottom w:val="nil"/>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0610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20,0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color w:val="000000"/>
                <w:sz w:val="16"/>
                <w:szCs w:val="16"/>
              </w:rPr>
            </w:pPr>
            <w:r w:rsidRPr="00E30EAC">
              <w:rPr>
                <w:rFonts w:cs="Arial"/>
                <w:color w:val="000000"/>
                <w:sz w:val="16"/>
                <w:szCs w:val="16"/>
              </w:rPr>
              <w:t>20,0</w:t>
            </w:r>
          </w:p>
        </w:tc>
      </w:tr>
      <w:tr w:rsidR="005F39B0" w:rsidRPr="00E30EAC">
        <w:trPr>
          <w:jc w:val="center"/>
        </w:trPr>
        <w:tc>
          <w:tcPr>
            <w:tcW w:w="1581" w:type="dxa"/>
            <w:tcBorders>
              <w:top w:val="nil"/>
              <w:left w:val="single" w:sz="8" w:space="0" w:color="auto"/>
              <w:bottom w:val="single" w:sz="8" w:space="0" w:color="auto"/>
              <w:right w:val="nil"/>
            </w:tcBorders>
            <w:shd w:val="clear" w:color="auto" w:fill="auto"/>
            <w:noWrap/>
            <w:vAlign w:val="bottom"/>
          </w:tcPr>
          <w:p w:rsidR="005F39B0" w:rsidRPr="00E30EAC" w:rsidRDefault="005F39B0" w:rsidP="00B51B51">
            <w:pPr>
              <w:widowControl w:val="0"/>
              <w:jc w:val="left"/>
              <w:rPr>
                <w:rFonts w:cs="Arial"/>
                <w:color w:val="000000"/>
                <w:sz w:val="16"/>
                <w:szCs w:val="16"/>
              </w:rPr>
            </w:pPr>
            <w:r w:rsidRPr="00E30EAC">
              <w:rPr>
                <w:rFonts w:cs="Arial"/>
                <w:color w:val="000000"/>
                <w:sz w:val="16"/>
                <w:szCs w:val="16"/>
              </w:rPr>
              <w:t> </w:t>
            </w:r>
          </w:p>
        </w:tc>
        <w:tc>
          <w:tcPr>
            <w:tcW w:w="1115" w:type="dxa"/>
            <w:tcBorders>
              <w:top w:val="single" w:sz="8" w:space="0" w:color="auto"/>
              <w:left w:val="single" w:sz="8" w:space="0" w:color="auto"/>
              <w:bottom w:val="single" w:sz="8"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3,3</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1.003,5</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6,0</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396,5</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3.025,5</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4.553,4</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B51B51">
            <w:pPr>
              <w:widowControl w:val="0"/>
              <w:jc w:val="center"/>
              <w:rPr>
                <w:rFonts w:cs="Arial"/>
                <w:bCs/>
                <w:color w:val="000000"/>
                <w:sz w:val="16"/>
                <w:szCs w:val="16"/>
              </w:rPr>
            </w:pPr>
            <w:r w:rsidRPr="00E30EAC">
              <w:rPr>
                <w:rFonts w:cs="Arial"/>
                <w:bCs/>
                <w:color w:val="000000"/>
                <w:sz w:val="16"/>
                <w:szCs w:val="16"/>
              </w:rPr>
              <w:t>8.988,2</w:t>
            </w:r>
          </w:p>
        </w:tc>
      </w:tr>
      <w:tr w:rsidR="005F39B0" w:rsidRPr="00E30EAC">
        <w:trPr>
          <w:jc w:val="center"/>
        </w:trPr>
        <w:tc>
          <w:tcPr>
            <w:tcW w:w="1581" w:type="dxa"/>
            <w:tcBorders>
              <w:top w:val="nil"/>
              <w:left w:val="nil"/>
              <w:bottom w:val="nil"/>
              <w:right w:val="nil"/>
            </w:tcBorders>
            <w:shd w:val="clear" w:color="auto" w:fill="auto"/>
            <w:noWrap/>
            <w:vAlign w:val="bottom"/>
          </w:tcPr>
          <w:p w:rsidR="005F39B0" w:rsidRPr="00E30EAC" w:rsidRDefault="005F39B0" w:rsidP="00B51B51">
            <w:pPr>
              <w:widowControl w:val="0"/>
              <w:jc w:val="left"/>
              <w:rPr>
                <w:rFonts w:cs="Arial"/>
                <w:color w:val="000000"/>
                <w:sz w:val="16"/>
                <w:szCs w:val="16"/>
              </w:rPr>
            </w:pPr>
          </w:p>
        </w:tc>
        <w:tc>
          <w:tcPr>
            <w:tcW w:w="1115" w:type="dxa"/>
            <w:tcBorders>
              <w:top w:val="nil"/>
              <w:left w:val="single" w:sz="8" w:space="0" w:color="auto"/>
              <w:bottom w:val="single" w:sz="8" w:space="0" w:color="auto"/>
              <w:right w:val="single" w:sz="4" w:space="0" w:color="auto"/>
            </w:tcBorders>
            <w:shd w:val="clear" w:color="auto" w:fill="auto"/>
            <w:noWrap/>
            <w:vAlign w:val="bottom"/>
          </w:tcPr>
          <w:p w:rsidR="005F39B0" w:rsidRPr="00E30EAC" w:rsidRDefault="005F39B0" w:rsidP="00B51B51">
            <w:pPr>
              <w:widowControl w:val="0"/>
              <w:rPr>
                <w:rFonts w:cs="Arial"/>
                <w:bCs/>
                <w:color w:val="000000"/>
                <w:sz w:val="16"/>
                <w:szCs w:val="16"/>
              </w:rPr>
            </w:pPr>
            <w:r w:rsidRPr="00E30EAC">
              <w:rPr>
                <w:rFonts w:cs="Arial"/>
                <w:bCs/>
                <w:color w:val="000000"/>
                <w:sz w:val="16"/>
                <w:szCs w:val="16"/>
              </w:rPr>
              <w:t>% del 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0,0</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11,2</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0,1</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4,4</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33,7</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50,7</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5F39B0" w:rsidRPr="00E30EAC" w:rsidRDefault="005F39B0" w:rsidP="00E776FD">
            <w:pPr>
              <w:widowControl w:val="0"/>
              <w:jc w:val="center"/>
              <w:rPr>
                <w:rFonts w:cs="Arial"/>
                <w:color w:val="000000"/>
                <w:sz w:val="16"/>
                <w:szCs w:val="16"/>
              </w:rPr>
            </w:pPr>
            <w:r w:rsidRPr="00E30EAC">
              <w:rPr>
                <w:rFonts w:cs="Arial"/>
                <w:color w:val="000000"/>
                <w:sz w:val="16"/>
                <w:szCs w:val="16"/>
              </w:rPr>
              <w:t>100,0</w:t>
            </w:r>
          </w:p>
        </w:tc>
      </w:tr>
    </w:tbl>
    <w:p w:rsidR="00FC48B5" w:rsidRDefault="00FC48B5" w:rsidP="00B51B51">
      <w:pPr>
        <w:pStyle w:val="Epgrafe"/>
        <w:widowControl w:val="0"/>
      </w:pPr>
    </w:p>
    <w:p w:rsidR="00244AA2" w:rsidRPr="008A416B" w:rsidRDefault="00244AA2" w:rsidP="00B51B51">
      <w:pPr>
        <w:pStyle w:val="Epgrafe"/>
        <w:widowControl w:val="0"/>
      </w:pPr>
      <w:r w:rsidRPr="008A416B">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r w:rsidRPr="008A416B">
        <w:t xml:space="preserve"> Resumen Derechos de Aguas Subterráneas Constituidas son y sin Coordenadas por Uso (Número de Captaciones y Caudales (</w:t>
      </w:r>
      <w:r w:rsidR="004871C7">
        <w:t>l/s</w:t>
      </w:r>
      <w:r w:rsidRPr="008A416B">
        <w:t>) Asociados)</w:t>
      </w:r>
    </w:p>
    <w:tbl>
      <w:tblPr>
        <w:tblW w:w="8930" w:type="dxa"/>
        <w:tblInd w:w="50" w:type="dxa"/>
        <w:tblCellMar>
          <w:left w:w="70" w:type="dxa"/>
          <w:right w:w="70" w:type="dxa"/>
        </w:tblCellMar>
        <w:tblLook w:val="0000" w:firstRow="0" w:lastRow="0" w:firstColumn="0" w:lastColumn="0" w:noHBand="0" w:noVBand="0"/>
      </w:tblPr>
      <w:tblGrid>
        <w:gridCol w:w="2286"/>
        <w:gridCol w:w="1172"/>
        <w:gridCol w:w="1400"/>
        <w:gridCol w:w="1400"/>
        <w:gridCol w:w="1304"/>
        <w:gridCol w:w="1368"/>
      </w:tblGrid>
      <w:tr w:rsidR="00A0772F" w:rsidRPr="00E30EAC">
        <w:tc>
          <w:tcPr>
            <w:tcW w:w="2286" w:type="dxa"/>
            <w:tcBorders>
              <w:top w:val="single" w:sz="8" w:space="0" w:color="auto"/>
              <w:left w:val="single" w:sz="8" w:space="0" w:color="auto"/>
              <w:bottom w:val="single" w:sz="8"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Usos</w:t>
            </w:r>
          </w:p>
        </w:tc>
        <w:tc>
          <w:tcPr>
            <w:tcW w:w="1172" w:type="dxa"/>
            <w:tcBorders>
              <w:top w:val="single" w:sz="8" w:space="0" w:color="auto"/>
              <w:left w:val="single" w:sz="8" w:space="0" w:color="auto"/>
              <w:bottom w:val="nil"/>
              <w:right w:val="single" w:sz="4" w:space="0" w:color="auto"/>
            </w:tcBorders>
            <w:shd w:val="clear" w:color="auto" w:fill="auto"/>
            <w:noWrap/>
            <w:vAlign w:val="bottom"/>
          </w:tcPr>
          <w:p w:rsidR="00A0772F" w:rsidRPr="00E30EAC" w:rsidRDefault="00A0772F" w:rsidP="00B51B51">
            <w:pPr>
              <w:widowControl w:val="0"/>
              <w:jc w:val="left"/>
              <w:rPr>
                <w:rFonts w:cs="Arial"/>
                <w:color w:val="000000"/>
                <w:sz w:val="16"/>
                <w:szCs w:val="16"/>
              </w:rPr>
            </w:pPr>
            <w:r w:rsidRPr="00E30EAC">
              <w:rPr>
                <w:rFonts w:cs="Arial"/>
                <w:color w:val="000000"/>
                <w:sz w:val="16"/>
                <w:szCs w:val="16"/>
              </w:rPr>
              <w:t> </w:t>
            </w:r>
          </w:p>
        </w:tc>
        <w:tc>
          <w:tcPr>
            <w:tcW w:w="1400" w:type="dxa"/>
            <w:tcBorders>
              <w:top w:val="single" w:sz="8" w:space="0" w:color="auto"/>
              <w:left w:val="nil"/>
              <w:bottom w:val="nil"/>
              <w:right w:val="single" w:sz="4" w:space="0" w:color="auto"/>
            </w:tcBorders>
            <w:shd w:val="clear" w:color="auto" w:fill="auto"/>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Con Coordenadas</w:t>
            </w:r>
          </w:p>
        </w:tc>
        <w:tc>
          <w:tcPr>
            <w:tcW w:w="1400" w:type="dxa"/>
            <w:tcBorders>
              <w:top w:val="single" w:sz="8" w:space="0" w:color="auto"/>
              <w:left w:val="nil"/>
              <w:bottom w:val="nil"/>
              <w:right w:val="single" w:sz="4" w:space="0" w:color="auto"/>
            </w:tcBorders>
            <w:shd w:val="clear" w:color="auto" w:fill="auto"/>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Sin Coordenadas</w:t>
            </w:r>
          </w:p>
        </w:tc>
        <w:tc>
          <w:tcPr>
            <w:tcW w:w="1304" w:type="dxa"/>
            <w:tcBorders>
              <w:top w:val="single" w:sz="8" w:space="0" w:color="auto"/>
              <w:left w:val="nil"/>
              <w:bottom w:val="nil"/>
              <w:right w:val="nil"/>
            </w:tcBorders>
            <w:shd w:val="clear" w:color="auto" w:fill="auto"/>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Total Derechos</w:t>
            </w:r>
          </w:p>
        </w:tc>
        <w:tc>
          <w:tcPr>
            <w:tcW w:w="1368" w:type="dxa"/>
            <w:tcBorders>
              <w:top w:val="single" w:sz="8" w:space="0" w:color="auto"/>
              <w:left w:val="single" w:sz="8" w:space="0" w:color="auto"/>
              <w:bottom w:val="nil"/>
              <w:right w:val="single" w:sz="8" w:space="0" w:color="auto"/>
            </w:tcBorders>
            <w:shd w:val="clear" w:color="auto" w:fill="auto"/>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Porcentaje Derechos</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Doméstico</w:t>
            </w:r>
          </w:p>
        </w:tc>
        <w:tc>
          <w:tcPr>
            <w:tcW w:w="1172" w:type="dxa"/>
            <w:tcBorders>
              <w:top w:val="single" w:sz="8" w:space="0" w:color="auto"/>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single" w:sz="8" w:space="0" w:color="auto"/>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2.197</w:t>
            </w:r>
          </w:p>
        </w:tc>
        <w:tc>
          <w:tcPr>
            <w:tcW w:w="1400" w:type="dxa"/>
            <w:tcBorders>
              <w:top w:val="single" w:sz="8" w:space="0" w:color="auto"/>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7</w:t>
            </w:r>
          </w:p>
        </w:tc>
        <w:tc>
          <w:tcPr>
            <w:tcW w:w="1304" w:type="dxa"/>
            <w:tcBorders>
              <w:top w:val="single" w:sz="8" w:space="0" w:color="auto"/>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2.204</w:t>
            </w:r>
          </w:p>
        </w:tc>
        <w:tc>
          <w:tcPr>
            <w:tcW w:w="1368" w:type="dxa"/>
            <w:tcBorders>
              <w:top w:val="single" w:sz="8" w:space="0" w:color="auto"/>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38,19%</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579</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582</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1,01%</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Industrial</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120</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23</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143</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2,48%</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2.995</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1.004</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3.999</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6,94%</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Minero</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11</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12</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0,21%</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266</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6</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272</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0,47%</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Potable</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302</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147</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449</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7,78%</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4.500</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3.026</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7.525</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13,06%</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Riego</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2.461</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137</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2.598</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45,02%</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33.707</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4.553</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38.261</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66,40%</w:t>
            </w:r>
          </w:p>
        </w:tc>
      </w:tr>
      <w:tr w:rsidR="00A0772F" w:rsidRPr="00E30EAC">
        <w:tc>
          <w:tcPr>
            <w:tcW w:w="2286" w:type="dxa"/>
            <w:vMerge w:val="restart"/>
            <w:tcBorders>
              <w:top w:val="nil"/>
              <w:left w:val="single" w:sz="8" w:space="0" w:color="auto"/>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Otros</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346</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19</w:t>
            </w:r>
          </w:p>
        </w:tc>
        <w:tc>
          <w:tcPr>
            <w:tcW w:w="1304" w:type="dxa"/>
            <w:tcBorders>
              <w:top w:val="nil"/>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365</w:t>
            </w:r>
          </w:p>
        </w:tc>
        <w:tc>
          <w:tcPr>
            <w:tcW w:w="1368" w:type="dxa"/>
            <w:tcBorders>
              <w:top w:val="nil"/>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6,32%</w:t>
            </w:r>
          </w:p>
        </w:tc>
      </w:tr>
      <w:tr w:rsidR="00A0772F" w:rsidRPr="00E30EAC">
        <w:tc>
          <w:tcPr>
            <w:tcW w:w="2286" w:type="dxa"/>
            <w:vMerge/>
            <w:tcBorders>
              <w:top w:val="nil"/>
              <w:left w:val="single" w:sz="8" w:space="0" w:color="auto"/>
              <w:bottom w:val="single" w:sz="4" w:space="0" w:color="auto"/>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nil"/>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nil"/>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6.587</w:t>
            </w:r>
          </w:p>
        </w:tc>
        <w:tc>
          <w:tcPr>
            <w:tcW w:w="1400" w:type="dxa"/>
            <w:tcBorders>
              <w:top w:val="nil"/>
              <w:left w:val="nil"/>
              <w:bottom w:val="nil"/>
              <w:right w:val="single" w:sz="4" w:space="0" w:color="auto"/>
            </w:tcBorders>
            <w:shd w:val="clear" w:color="auto" w:fill="auto"/>
            <w:noWrap/>
            <w:vAlign w:val="bottom"/>
          </w:tcPr>
          <w:p w:rsidR="00A0772F" w:rsidRPr="00E30EAC" w:rsidRDefault="00A0772F" w:rsidP="00B51B51">
            <w:pPr>
              <w:widowControl w:val="0"/>
              <w:jc w:val="center"/>
              <w:rPr>
                <w:rFonts w:cs="Arial"/>
                <w:color w:val="000000"/>
                <w:sz w:val="16"/>
                <w:szCs w:val="16"/>
              </w:rPr>
            </w:pPr>
            <w:r w:rsidRPr="00E30EAC">
              <w:rPr>
                <w:rFonts w:cs="Arial"/>
                <w:color w:val="000000"/>
                <w:sz w:val="16"/>
                <w:szCs w:val="16"/>
              </w:rPr>
              <w:t>396</w:t>
            </w:r>
          </w:p>
        </w:tc>
        <w:tc>
          <w:tcPr>
            <w:tcW w:w="1304" w:type="dxa"/>
            <w:tcBorders>
              <w:top w:val="nil"/>
              <w:left w:val="nil"/>
              <w:bottom w:val="nil"/>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6.983</w:t>
            </w:r>
          </w:p>
        </w:tc>
        <w:tc>
          <w:tcPr>
            <w:tcW w:w="1368" w:type="dxa"/>
            <w:tcBorders>
              <w:top w:val="nil"/>
              <w:left w:val="single" w:sz="8" w:space="0" w:color="auto"/>
              <w:bottom w:val="nil"/>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12,12%</w:t>
            </w:r>
          </w:p>
        </w:tc>
      </w:tr>
      <w:tr w:rsidR="00A0772F" w:rsidRPr="00E30EAC">
        <w:tc>
          <w:tcPr>
            <w:tcW w:w="2286" w:type="dxa"/>
            <w:vMerge w:val="restart"/>
            <w:tcBorders>
              <w:top w:val="single" w:sz="8" w:space="0" w:color="auto"/>
              <w:left w:val="single" w:sz="8" w:space="0" w:color="auto"/>
              <w:bottom w:val="single" w:sz="8" w:space="0" w:color="000000"/>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Total</w:t>
            </w:r>
          </w:p>
        </w:tc>
        <w:tc>
          <w:tcPr>
            <w:tcW w:w="1172" w:type="dxa"/>
            <w:tcBorders>
              <w:top w:val="single" w:sz="8" w:space="0" w:color="auto"/>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single" w:sz="8" w:space="0" w:color="auto"/>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5.437</w:t>
            </w:r>
          </w:p>
        </w:tc>
        <w:tc>
          <w:tcPr>
            <w:tcW w:w="1400" w:type="dxa"/>
            <w:tcBorders>
              <w:top w:val="single" w:sz="8" w:space="0" w:color="auto"/>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334</w:t>
            </w:r>
          </w:p>
        </w:tc>
        <w:tc>
          <w:tcPr>
            <w:tcW w:w="1304" w:type="dxa"/>
            <w:tcBorders>
              <w:top w:val="single" w:sz="8" w:space="0" w:color="auto"/>
              <w:left w:val="nil"/>
              <w:bottom w:val="single" w:sz="4"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5.771</w:t>
            </w:r>
          </w:p>
        </w:tc>
        <w:tc>
          <w:tcPr>
            <w:tcW w:w="1368" w:type="dxa"/>
            <w:tcBorders>
              <w:top w:val="single" w:sz="8" w:space="0" w:color="auto"/>
              <w:left w:val="single" w:sz="8" w:space="0" w:color="auto"/>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100,00%</w:t>
            </w:r>
          </w:p>
        </w:tc>
      </w:tr>
      <w:tr w:rsidR="00A0772F" w:rsidRPr="00E30EAC">
        <w:tc>
          <w:tcPr>
            <w:tcW w:w="2286" w:type="dxa"/>
            <w:vMerge/>
            <w:tcBorders>
              <w:top w:val="single" w:sz="8" w:space="0" w:color="auto"/>
              <w:left w:val="single" w:sz="8" w:space="0" w:color="auto"/>
              <w:bottom w:val="single" w:sz="8" w:space="0" w:color="000000"/>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 (l/s)</w:t>
            </w:r>
          </w:p>
        </w:tc>
        <w:tc>
          <w:tcPr>
            <w:tcW w:w="1400" w:type="dxa"/>
            <w:tcBorders>
              <w:top w:val="nil"/>
              <w:left w:val="nil"/>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48.633</w:t>
            </w:r>
          </w:p>
        </w:tc>
        <w:tc>
          <w:tcPr>
            <w:tcW w:w="1400" w:type="dxa"/>
            <w:tcBorders>
              <w:top w:val="nil"/>
              <w:left w:val="nil"/>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8.988</w:t>
            </w:r>
          </w:p>
        </w:tc>
        <w:tc>
          <w:tcPr>
            <w:tcW w:w="1304" w:type="dxa"/>
            <w:tcBorders>
              <w:top w:val="nil"/>
              <w:left w:val="nil"/>
              <w:bottom w:val="single" w:sz="8" w:space="0" w:color="auto"/>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57.622</w:t>
            </w:r>
          </w:p>
        </w:tc>
        <w:tc>
          <w:tcPr>
            <w:tcW w:w="1368" w:type="dxa"/>
            <w:tcBorders>
              <w:top w:val="nil"/>
              <w:left w:val="single" w:sz="8" w:space="0" w:color="auto"/>
              <w:bottom w:val="single" w:sz="8"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100,00%</w:t>
            </w:r>
          </w:p>
        </w:tc>
      </w:tr>
      <w:tr w:rsidR="00A0772F" w:rsidRPr="00E30EAC">
        <w:tc>
          <w:tcPr>
            <w:tcW w:w="2286" w:type="dxa"/>
            <w:vMerge w:val="restart"/>
            <w:tcBorders>
              <w:top w:val="single" w:sz="8" w:space="0" w:color="auto"/>
              <w:left w:val="single" w:sz="8" w:space="0" w:color="auto"/>
              <w:bottom w:val="single" w:sz="8" w:space="0" w:color="000000"/>
              <w:right w:val="nil"/>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 Con v/s Sin Coordenadas</w:t>
            </w:r>
          </w:p>
        </w:tc>
        <w:tc>
          <w:tcPr>
            <w:tcW w:w="1172" w:type="dxa"/>
            <w:tcBorders>
              <w:top w:val="nil"/>
              <w:left w:val="single" w:sz="8" w:space="0" w:color="auto"/>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N° Derechos</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94,21%</w:t>
            </w:r>
          </w:p>
        </w:tc>
        <w:tc>
          <w:tcPr>
            <w:tcW w:w="1400" w:type="dxa"/>
            <w:tcBorders>
              <w:top w:val="nil"/>
              <w:left w:val="nil"/>
              <w:bottom w:val="single" w:sz="4"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5,79%</w:t>
            </w:r>
          </w:p>
        </w:tc>
        <w:tc>
          <w:tcPr>
            <w:tcW w:w="1304" w:type="dxa"/>
            <w:tcBorders>
              <w:top w:val="nil"/>
              <w:left w:val="nil"/>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100,00%</w:t>
            </w:r>
          </w:p>
        </w:tc>
        <w:tc>
          <w:tcPr>
            <w:tcW w:w="1368" w:type="dxa"/>
            <w:tcBorders>
              <w:top w:val="nil"/>
              <w:left w:val="nil"/>
              <w:bottom w:val="single" w:sz="4"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 </w:t>
            </w:r>
          </w:p>
        </w:tc>
      </w:tr>
      <w:tr w:rsidR="00A0772F" w:rsidRPr="00E30EAC">
        <w:tc>
          <w:tcPr>
            <w:tcW w:w="2286" w:type="dxa"/>
            <w:vMerge/>
            <w:tcBorders>
              <w:top w:val="single" w:sz="8" w:space="0" w:color="auto"/>
              <w:left w:val="single" w:sz="8" w:space="0" w:color="auto"/>
              <w:bottom w:val="single" w:sz="8" w:space="0" w:color="000000"/>
              <w:right w:val="nil"/>
            </w:tcBorders>
            <w:vAlign w:val="center"/>
          </w:tcPr>
          <w:p w:rsidR="00A0772F" w:rsidRPr="00E30EAC" w:rsidRDefault="00A0772F" w:rsidP="00B51B51">
            <w:pPr>
              <w:widowControl w:val="0"/>
              <w:jc w:val="left"/>
              <w:rPr>
                <w:rFonts w:cs="Arial"/>
                <w:bCs/>
                <w:color w:val="000000"/>
                <w:sz w:val="16"/>
                <w:szCs w:val="16"/>
              </w:rPr>
            </w:pPr>
          </w:p>
        </w:tc>
        <w:tc>
          <w:tcPr>
            <w:tcW w:w="1172" w:type="dxa"/>
            <w:tcBorders>
              <w:top w:val="nil"/>
              <w:left w:val="single" w:sz="8" w:space="0" w:color="auto"/>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Caudal</w:t>
            </w:r>
          </w:p>
        </w:tc>
        <w:tc>
          <w:tcPr>
            <w:tcW w:w="1400" w:type="dxa"/>
            <w:tcBorders>
              <w:top w:val="nil"/>
              <w:left w:val="nil"/>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84,40%</w:t>
            </w:r>
          </w:p>
        </w:tc>
        <w:tc>
          <w:tcPr>
            <w:tcW w:w="1400" w:type="dxa"/>
            <w:tcBorders>
              <w:top w:val="nil"/>
              <w:left w:val="nil"/>
              <w:bottom w:val="single" w:sz="8" w:space="0" w:color="auto"/>
              <w:right w:val="single" w:sz="4"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15,60%</w:t>
            </w:r>
          </w:p>
        </w:tc>
        <w:tc>
          <w:tcPr>
            <w:tcW w:w="1304" w:type="dxa"/>
            <w:tcBorders>
              <w:top w:val="nil"/>
              <w:left w:val="nil"/>
              <w:bottom w:val="single" w:sz="8"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100,00%</w:t>
            </w:r>
          </w:p>
        </w:tc>
        <w:tc>
          <w:tcPr>
            <w:tcW w:w="1368" w:type="dxa"/>
            <w:tcBorders>
              <w:top w:val="nil"/>
              <w:left w:val="nil"/>
              <w:bottom w:val="single" w:sz="8" w:space="0" w:color="auto"/>
              <w:right w:val="single" w:sz="8" w:space="0" w:color="auto"/>
            </w:tcBorders>
            <w:shd w:val="clear" w:color="auto" w:fill="auto"/>
            <w:noWrap/>
            <w:vAlign w:val="bottom"/>
          </w:tcPr>
          <w:p w:rsidR="00A0772F" w:rsidRPr="00E30EAC" w:rsidRDefault="00A0772F" w:rsidP="00B51B51">
            <w:pPr>
              <w:widowControl w:val="0"/>
              <w:jc w:val="center"/>
              <w:rPr>
                <w:rFonts w:cs="Arial"/>
                <w:bCs/>
                <w:color w:val="000000"/>
                <w:sz w:val="16"/>
                <w:szCs w:val="16"/>
              </w:rPr>
            </w:pPr>
            <w:r w:rsidRPr="00E30EAC">
              <w:rPr>
                <w:rFonts w:cs="Arial"/>
                <w:bCs/>
                <w:color w:val="000000"/>
                <w:sz w:val="16"/>
                <w:szCs w:val="16"/>
              </w:rPr>
              <w:t> </w:t>
            </w:r>
          </w:p>
        </w:tc>
      </w:tr>
    </w:tbl>
    <w:p w:rsidR="00244AA2" w:rsidRPr="00F5501D" w:rsidRDefault="00244AA2" w:rsidP="00B51B51">
      <w:pPr>
        <w:widowControl w:val="0"/>
        <w:rPr>
          <w:rFonts w:cs="Arial"/>
          <w:szCs w:val="22"/>
          <w:lang w:val="es-ES_tradnl"/>
        </w:rPr>
      </w:pPr>
    </w:p>
    <w:p w:rsidR="00FC48B5" w:rsidRDefault="00FC48B5" w:rsidP="00B51B51">
      <w:pPr>
        <w:pStyle w:val="Epgrafe"/>
        <w:widowControl w:val="0"/>
      </w:pPr>
    </w:p>
    <w:p w:rsidR="00244AA2" w:rsidRPr="008A416B" w:rsidRDefault="00244AA2" w:rsidP="00B51B51">
      <w:pPr>
        <w:pStyle w:val="Epgrafe"/>
        <w:widowControl w:val="0"/>
      </w:pPr>
      <w:r w:rsidRPr="008A416B">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15</w:t>
      </w:r>
      <w:r w:rsidR="007F3102">
        <w:fldChar w:fldCharType="end"/>
      </w:r>
      <w:r w:rsidRPr="008A416B">
        <w:t xml:space="preserve"> Derechos de Aguas Subterráneas en Trámite</w:t>
      </w:r>
      <w:r w:rsidR="001A7DCD" w:rsidRPr="008A416B">
        <w:t xml:space="preserve"> a</w:t>
      </w:r>
      <w:r w:rsidRPr="008A416B">
        <w:t>l Año 2012 por Subcuenca</w:t>
      </w:r>
    </w:p>
    <w:p w:rsidR="00244AA2" w:rsidRPr="008A416B" w:rsidRDefault="00244AA2" w:rsidP="00B51B51">
      <w:pPr>
        <w:pStyle w:val="Epgrafe"/>
        <w:widowControl w:val="0"/>
      </w:pPr>
      <w:r w:rsidRPr="008A416B">
        <w:t>(Número de Captaciones y Caudales (l/s) Asociados)</w:t>
      </w:r>
    </w:p>
    <w:tbl>
      <w:tblPr>
        <w:tblW w:w="6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00"/>
        <w:gridCol w:w="1720"/>
        <w:gridCol w:w="2058"/>
        <w:gridCol w:w="1786"/>
      </w:tblGrid>
      <w:tr w:rsidR="002E0086" w:rsidRPr="00F5501D">
        <w:trPr>
          <w:jc w:val="center"/>
        </w:trPr>
        <w:tc>
          <w:tcPr>
            <w:tcW w:w="1400" w:type="dxa"/>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Provincia</w:t>
            </w:r>
          </w:p>
        </w:tc>
        <w:tc>
          <w:tcPr>
            <w:tcW w:w="1720" w:type="dxa"/>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Comuna</w:t>
            </w:r>
          </w:p>
        </w:tc>
        <w:tc>
          <w:tcPr>
            <w:tcW w:w="2058" w:type="dxa"/>
            <w:shd w:val="clear" w:color="auto" w:fill="auto"/>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Nº Expediente en Tramite</w:t>
            </w:r>
          </w:p>
        </w:tc>
        <w:tc>
          <w:tcPr>
            <w:tcW w:w="1786" w:type="dxa"/>
            <w:shd w:val="clear" w:color="auto" w:fill="auto"/>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Caudal Solicitado (l/s)</w:t>
            </w:r>
          </w:p>
        </w:tc>
      </w:tr>
      <w:tr w:rsidR="002E0086" w:rsidRPr="00F5501D">
        <w:trPr>
          <w:jc w:val="center"/>
        </w:trPr>
        <w:tc>
          <w:tcPr>
            <w:tcW w:w="1400" w:type="dxa"/>
            <w:vMerge w:val="restart"/>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Cachapoal</w:t>
            </w:r>
          </w:p>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Codigua</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5</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17</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537151" w:rsidP="00B51B51">
            <w:pPr>
              <w:widowControl w:val="0"/>
              <w:jc w:val="left"/>
              <w:rPr>
                <w:rFonts w:cs="Arial"/>
                <w:color w:val="000000"/>
                <w:sz w:val="16"/>
                <w:szCs w:val="16"/>
              </w:rPr>
            </w:pPr>
            <w:r w:rsidRPr="00F5501D">
              <w:rPr>
                <w:rFonts w:cs="Arial"/>
                <w:color w:val="000000"/>
                <w:sz w:val="16"/>
                <w:szCs w:val="16"/>
              </w:rPr>
              <w:t>Coin</w:t>
            </w:r>
            <w:r w:rsidR="002E0086" w:rsidRPr="00F5501D">
              <w:rPr>
                <w:rFonts w:cs="Arial"/>
                <w:color w:val="000000"/>
                <w:sz w:val="16"/>
                <w:szCs w:val="16"/>
              </w:rPr>
              <w:t>co</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5</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436</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Coltauco</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5</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34</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Doñihue</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14</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31</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Graneros</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15</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64</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Las Cabras</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72</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1.678</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Machalí</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95</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Malloa</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21</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95</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Mostazal</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29</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169</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Olivar</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 xml:space="preserve"> -</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Peumo</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106</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Pichidegua</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33</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330</w:t>
            </w:r>
          </w:p>
        </w:tc>
      </w:tr>
      <w:tr w:rsidR="002E0086" w:rsidRPr="00F5501D">
        <w:trPr>
          <w:jc w:val="center"/>
        </w:trPr>
        <w:tc>
          <w:tcPr>
            <w:tcW w:w="1400" w:type="dxa"/>
            <w:vMerge/>
            <w:vAlign w:val="center"/>
          </w:tcPr>
          <w:p w:rsidR="002E0086" w:rsidRPr="00F5501D" w:rsidRDefault="002E0086" w:rsidP="00B51B51">
            <w:pPr>
              <w:widowControl w:val="0"/>
              <w:jc w:val="left"/>
              <w:rPr>
                <w:rFonts w:cs="Arial"/>
                <w:color w:val="000000"/>
                <w:sz w:val="16"/>
                <w:szCs w:val="16"/>
              </w:rPr>
            </w:pPr>
          </w:p>
        </w:tc>
        <w:tc>
          <w:tcPr>
            <w:tcW w:w="1720" w:type="dxa"/>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Quinta de Tilcoco</w:t>
            </w:r>
          </w:p>
        </w:tc>
        <w:tc>
          <w:tcPr>
            <w:tcW w:w="2058"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8</w:t>
            </w:r>
          </w:p>
        </w:tc>
        <w:tc>
          <w:tcPr>
            <w:tcW w:w="1786" w:type="dxa"/>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99</w:t>
            </w:r>
          </w:p>
        </w:tc>
      </w:tr>
    </w:tbl>
    <w:p w:rsidR="00DA61EE" w:rsidRPr="00F5501D" w:rsidRDefault="00DA61EE" w:rsidP="00B51B51">
      <w:pPr>
        <w:pStyle w:val="Epgrafe"/>
        <w:widowControl w:val="0"/>
      </w:pPr>
    </w:p>
    <w:p w:rsidR="002E0086" w:rsidRPr="008A416B" w:rsidRDefault="002E0086" w:rsidP="00B51B51">
      <w:pPr>
        <w:pStyle w:val="Epgrafe"/>
        <w:widowControl w:val="0"/>
      </w:pPr>
      <w:r w:rsidRPr="008A416B">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16</w:t>
      </w:r>
      <w:r w:rsidR="007F3102">
        <w:fldChar w:fldCharType="end"/>
      </w:r>
      <w:r w:rsidRPr="008A416B">
        <w:t xml:space="preserve"> Derechos de Aguas Subterráneas en Trámite al Año 2012 por Subcuenca</w:t>
      </w:r>
    </w:p>
    <w:tbl>
      <w:tblPr>
        <w:tblW w:w="7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00"/>
        <w:gridCol w:w="1720"/>
        <w:gridCol w:w="2297"/>
        <w:gridCol w:w="2101"/>
      </w:tblGrid>
      <w:tr w:rsidR="002E0086" w:rsidRPr="00F5501D">
        <w:trPr>
          <w:jc w:val="center"/>
        </w:trPr>
        <w:tc>
          <w:tcPr>
            <w:tcW w:w="1400" w:type="dxa"/>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Provincia</w:t>
            </w:r>
          </w:p>
        </w:tc>
        <w:tc>
          <w:tcPr>
            <w:tcW w:w="1720" w:type="dxa"/>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Comuna</w:t>
            </w:r>
          </w:p>
        </w:tc>
        <w:tc>
          <w:tcPr>
            <w:tcW w:w="2297" w:type="dxa"/>
            <w:shd w:val="clear" w:color="auto" w:fill="auto"/>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Nº Expediente en Tramite</w:t>
            </w:r>
          </w:p>
        </w:tc>
        <w:tc>
          <w:tcPr>
            <w:tcW w:w="2101" w:type="dxa"/>
            <w:shd w:val="clear" w:color="auto" w:fill="auto"/>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Caudal Solicitado (l/s)</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val="restart"/>
            <w:tcBorders>
              <w:left w:val="single" w:sz="8" w:space="0" w:color="auto"/>
              <w:right w:val="single" w:sz="4" w:space="0" w:color="auto"/>
            </w:tcBorders>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Cachapoal</w:t>
            </w:r>
          </w:p>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Rancagua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6</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102</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left w:val="single" w:sz="8"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Rengo</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50</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270</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left w:val="single" w:sz="8"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Requinoa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75</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San Vicente</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113</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368</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0" w:type="dxa"/>
            <w:gridSpan w:val="2"/>
            <w:tcBorders>
              <w:top w:val="single" w:sz="8" w:space="0" w:color="auto"/>
              <w:left w:val="single" w:sz="8" w:space="0" w:color="auto"/>
              <w:bottom w:val="single" w:sz="8" w:space="0" w:color="auto"/>
              <w:right w:val="single" w:sz="4" w:space="0" w:color="auto"/>
            </w:tcBorders>
            <w:shd w:val="clear" w:color="auto" w:fill="auto"/>
            <w:noWrap/>
            <w:vAlign w:val="bottom"/>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Total Provincia</w:t>
            </w:r>
          </w:p>
        </w:tc>
        <w:tc>
          <w:tcPr>
            <w:tcW w:w="2297" w:type="dxa"/>
            <w:tcBorders>
              <w:top w:val="single" w:sz="8" w:space="0" w:color="auto"/>
              <w:left w:val="nil"/>
              <w:bottom w:val="single" w:sz="8" w:space="0" w:color="auto"/>
              <w:right w:val="single" w:sz="4"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399</w:t>
            </w:r>
          </w:p>
        </w:tc>
        <w:tc>
          <w:tcPr>
            <w:tcW w:w="2101" w:type="dxa"/>
            <w:tcBorders>
              <w:top w:val="single" w:sz="8" w:space="0" w:color="auto"/>
              <w:left w:val="nil"/>
              <w:bottom w:val="single" w:sz="8" w:space="0" w:color="auto"/>
              <w:right w:val="single" w:sz="8"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3.968</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val="restart"/>
            <w:tcBorders>
              <w:top w:val="nil"/>
              <w:left w:val="single" w:sz="8" w:space="0" w:color="auto"/>
              <w:bottom w:val="single" w:sz="4" w:space="0" w:color="auto"/>
              <w:right w:val="single" w:sz="4" w:space="0" w:color="auto"/>
            </w:tcBorders>
            <w:shd w:val="clear" w:color="auto" w:fill="auto"/>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Cardenal Caro</w:t>
            </w: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La Estrella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597</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Litueche</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84</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259</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Marchigue</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209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1.197</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Navidad</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42</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199</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Paredones</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25</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157</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nil"/>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Pichilemu</w:t>
            </w:r>
          </w:p>
        </w:tc>
        <w:tc>
          <w:tcPr>
            <w:tcW w:w="2297" w:type="dxa"/>
            <w:tcBorders>
              <w:top w:val="nil"/>
              <w:left w:val="nil"/>
              <w:bottom w:val="nil"/>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75</w:t>
            </w:r>
          </w:p>
        </w:tc>
        <w:tc>
          <w:tcPr>
            <w:tcW w:w="2101" w:type="dxa"/>
            <w:tcBorders>
              <w:top w:val="nil"/>
              <w:left w:val="nil"/>
              <w:bottom w:val="nil"/>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264</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0" w:type="dxa"/>
            <w:gridSpan w:val="2"/>
            <w:tcBorders>
              <w:top w:val="single" w:sz="8" w:space="0" w:color="auto"/>
              <w:left w:val="single" w:sz="8" w:space="0" w:color="auto"/>
              <w:bottom w:val="single" w:sz="8" w:space="0" w:color="auto"/>
              <w:right w:val="single" w:sz="4" w:space="0" w:color="auto"/>
            </w:tcBorders>
            <w:shd w:val="clear" w:color="auto" w:fill="auto"/>
            <w:noWrap/>
            <w:vAlign w:val="bottom"/>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Total Provincia</w:t>
            </w:r>
          </w:p>
        </w:tc>
        <w:tc>
          <w:tcPr>
            <w:tcW w:w="2297" w:type="dxa"/>
            <w:tcBorders>
              <w:top w:val="single" w:sz="8" w:space="0" w:color="auto"/>
              <w:left w:val="nil"/>
              <w:bottom w:val="single" w:sz="8" w:space="0" w:color="auto"/>
              <w:right w:val="single" w:sz="4"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514</w:t>
            </w:r>
          </w:p>
        </w:tc>
        <w:tc>
          <w:tcPr>
            <w:tcW w:w="2101" w:type="dxa"/>
            <w:tcBorders>
              <w:top w:val="single" w:sz="8" w:space="0" w:color="auto"/>
              <w:left w:val="nil"/>
              <w:bottom w:val="single" w:sz="8" w:space="0" w:color="auto"/>
              <w:right w:val="single" w:sz="8"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2.674</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val="restart"/>
            <w:tcBorders>
              <w:top w:val="nil"/>
              <w:left w:val="single" w:sz="8" w:space="0" w:color="auto"/>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Colchagua</w:t>
            </w: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537151" w:rsidP="00B51B51">
            <w:pPr>
              <w:widowControl w:val="0"/>
              <w:jc w:val="left"/>
              <w:rPr>
                <w:rFonts w:cs="Arial"/>
                <w:color w:val="000000"/>
                <w:sz w:val="16"/>
                <w:szCs w:val="16"/>
              </w:rPr>
            </w:pPr>
            <w:r w:rsidRPr="00F5501D">
              <w:rPr>
                <w:rFonts w:cs="Arial"/>
                <w:color w:val="000000"/>
                <w:sz w:val="16"/>
                <w:szCs w:val="16"/>
              </w:rPr>
              <w:t>Ché</w:t>
            </w:r>
            <w:r w:rsidR="002E0086" w:rsidRPr="00F5501D">
              <w:rPr>
                <w:rFonts w:cs="Arial"/>
                <w:color w:val="000000"/>
                <w:sz w:val="16"/>
                <w:szCs w:val="16"/>
              </w:rPr>
              <w:t>pica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380</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Chimbarongo</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96</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678</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Lolol</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89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1.375</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Nancagua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188</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Palmilla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18</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333</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Peralillo</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90</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1.135</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Placilla</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9</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Pumanque</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13</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239</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single" w:sz="4" w:space="0" w:color="auto"/>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San Fernando</w:t>
            </w:r>
          </w:p>
        </w:tc>
        <w:tc>
          <w:tcPr>
            <w:tcW w:w="2297" w:type="dxa"/>
            <w:tcBorders>
              <w:top w:val="nil"/>
              <w:left w:val="nil"/>
              <w:bottom w:val="single" w:sz="4" w:space="0" w:color="auto"/>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89</w:t>
            </w:r>
          </w:p>
        </w:tc>
        <w:tc>
          <w:tcPr>
            <w:tcW w:w="2101" w:type="dxa"/>
            <w:tcBorders>
              <w:top w:val="nil"/>
              <w:left w:val="nil"/>
              <w:bottom w:val="single" w:sz="4" w:space="0" w:color="auto"/>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397</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400" w:type="dxa"/>
            <w:vMerge/>
            <w:tcBorders>
              <w:top w:val="nil"/>
              <w:left w:val="single" w:sz="8" w:space="0" w:color="auto"/>
              <w:bottom w:val="single" w:sz="4" w:space="0" w:color="auto"/>
              <w:right w:val="single" w:sz="4" w:space="0" w:color="auto"/>
            </w:tcBorders>
            <w:vAlign w:val="center"/>
          </w:tcPr>
          <w:p w:rsidR="002E0086" w:rsidRPr="00F5501D" w:rsidRDefault="002E0086" w:rsidP="00B51B51">
            <w:pPr>
              <w:widowControl w:val="0"/>
              <w:jc w:val="left"/>
              <w:rPr>
                <w:rFonts w:cs="Arial"/>
                <w:color w:val="000000"/>
                <w:sz w:val="16"/>
                <w:szCs w:val="16"/>
              </w:rPr>
            </w:pPr>
          </w:p>
        </w:tc>
        <w:tc>
          <w:tcPr>
            <w:tcW w:w="1720" w:type="dxa"/>
            <w:tcBorders>
              <w:top w:val="nil"/>
              <w:left w:val="nil"/>
              <w:bottom w:val="nil"/>
              <w:right w:val="single" w:sz="4" w:space="0" w:color="auto"/>
            </w:tcBorders>
            <w:shd w:val="clear" w:color="auto" w:fill="auto"/>
            <w:noWrap/>
            <w:vAlign w:val="bottom"/>
          </w:tcPr>
          <w:p w:rsidR="002E0086" w:rsidRPr="00F5501D" w:rsidRDefault="002E0086" w:rsidP="00B51B51">
            <w:pPr>
              <w:widowControl w:val="0"/>
              <w:jc w:val="left"/>
              <w:rPr>
                <w:rFonts w:cs="Arial"/>
                <w:color w:val="000000"/>
                <w:sz w:val="16"/>
                <w:szCs w:val="16"/>
              </w:rPr>
            </w:pPr>
            <w:r w:rsidRPr="00F5501D">
              <w:rPr>
                <w:rFonts w:cs="Arial"/>
                <w:color w:val="000000"/>
                <w:sz w:val="16"/>
                <w:szCs w:val="16"/>
              </w:rPr>
              <w:t>Santa Cruz</w:t>
            </w:r>
          </w:p>
        </w:tc>
        <w:tc>
          <w:tcPr>
            <w:tcW w:w="2297" w:type="dxa"/>
            <w:tcBorders>
              <w:top w:val="nil"/>
              <w:left w:val="nil"/>
              <w:bottom w:val="nil"/>
              <w:right w:val="single" w:sz="4"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30</w:t>
            </w:r>
          </w:p>
        </w:tc>
        <w:tc>
          <w:tcPr>
            <w:tcW w:w="2101" w:type="dxa"/>
            <w:tcBorders>
              <w:top w:val="nil"/>
              <w:left w:val="nil"/>
              <w:bottom w:val="nil"/>
              <w:right w:val="single" w:sz="8" w:space="0" w:color="auto"/>
            </w:tcBorders>
            <w:shd w:val="clear" w:color="auto" w:fill="auto"/>
            <w:noWrap/>
            <w:vAlign w:val="center"/>
          </w:tcPr>
          <w:p w:rsidR="002E0086" w:rsidRPr="00F5501D" w:rsidRDefault="002E0086" w:rsidP="00B51B51">
            <w:pPr>
              <w:widowControl w:val="0"/>
              <w:jc w:val="center"/>
              <w:rPr>
                <w:rFonts w:cs="Arial"/>
                <w:color w:val="000000"/>
                <w:sz w:val="16"/>
                <w:szCs w:val="16"/>
              </w:rPr>
            </w:pPr>
            <w:r w:rsidRPr="00F5501D">
              <w:rPr>
                <w:rFonts w:cs="Arial"/>
                <w:color w:val="000000"/>
                <w:sz w:val="16"/>
                <w:szCs w:val="16"/>
              </w:rPr>
              <w:t>790</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0" w:type="dxa"/>
            <w:gridSpan w:val="2"/>
            <w:tcBorders>
              <w:top w:val="single" w:sz="8" w:space="0" w:color="auto"/>
              <w:left w:val="single" w:sz="8" w:space="0" w:color="auto"/>
              <w:bottom w:val="single" w:sz="8" w:space="0" w:color="auto"/>
              <w:right w:val="single" w:sz="4" w:space="0" w:color="auto"/>
            </w:tcBorders>
            <w:shd w:val="clear" w:color="auto" w:fill="auto"/>
            <w:noWrap/>
            <w:vAlign w:val="bottom"/>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Total Provincia</w:t>
            </w:r>
          </w:p>
        </w:tc>
        <w:tc>
          <w:tcPr>
            <w:tcW w:w="2297" w:type="dxa"/>
            <w:tcBorders>
              <w:top w:val="single" w:sz="8" w:space="0" w:color="auto"/>
              <w:left w:val="nil"/>
              <w:bottom w:val="single" w:sz="8" w:space="0" w:color="auto"/>
              <w:right w:val="single" w:sz="4"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445</w:t>
            </w:r>
          </w:p>
        </w:tc>
        <w:tc>
          <w:tcPr>
            <w:tcW w:w="2101" w:type="dxa"/>
            <w:tcBorders>
              <w:top w:val="single" w:sz="8" w:space="0" w:color="auto"/>
              <w:left w:val="nil"/>
              <w:bottom w:val="single" w:sz="8" w:space="0" w:color="auto"/>
              <w:right w:val="single" w:sz="8"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5.525</w:t>
            </w:r>
          </w:p>
        </w:tc>
      </w:tr>
      <w:tr w:rsidR="002E0086" w:rsidRPr="00F5501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120" w:type="dxa"/>
            <w:gridSpan w:val="2"/>
            <w:tcBorders>
              <w:top w:val="single" w:sz="8" w:space="0" w:color="auto"/>
              <w:left w:val="single" w:sz="8" w:space="0" w:color="auto"/>
              <w:bottom w:val="single" w:sz="8" w:space="0" w:color="auto"/>
              <w:right w:val="single" w:sz="4" w:space="0" w:color="auto"/>
            </w:tcBorders>
            <w:shd w:val="clear" w:color="auto" w:fill="auto"/>
            <w:noWrap/>
            <w:vAlign w:val="bottom"/>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Total Región</w:t>
            </w:r>
          </w:p>
        </w:tc>
        <w:tc>
          <w:tcPr>
            <w:tcW w:w="2297" w:type="dxa"/>
            <w:tcBorders>
              <w:top w:val="nil"/>
              <w:left w:val="nil"/>
              <w:bottom w:val="single" w:sz="8" w:space="0" w:color="auto"/>
              <w:right w:val="single" w:sz="4"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1358</w:t>
            </w:r>
          </w:p>
        </w:tc>
        <w:tc>
          <w:tcPr>
            <w:tcW w:w="2101" w:type="dxa"/>
            <w:tcBorders>
              <w:top w:val="nil"/>
              <w:left w:val="nil"/>
              <w:bottom w:val="single" w:sz="8" w:space="0" w:color="auto"/>
              <w:right w:val="single" w:sz="8" w:space="0" w:color="auto"/>
            </w:tcBorders>
            <w:shd w:val="clear" w:color="auto" w:fill="auto"/>
            <w:noWrap/>
            <w:vAlign w:val="center"/>
          </w:tcPr>
          <w:p w:rsidR="002E0086" w:rsidRPr="00F5501D" w:rsidRDefault="002E0086" w:rsidP="00B51B51">
            <w:pPr>
              <w:widowControl w:val="0"/>
              <w:jc w:val="center"/>
              <w:rPr>
                <w:rFonts w:cs="Arial"/>
                <w:bCs/>
                <w:color w:val="000000"/>
                <w:sz w:val="16"/>
                <w:szCs w:val="16"/>
              </w:rPr>
            </w:pPr>
            <w:r w:rsidRPr="00F5501D">
              <w:rPr>
                <w:rFonts w:cs="Arial"/>
                <w:bCs/>
                <w:color w:val="000000"/>
                <w:sz w:val="16"/>
                <w:szCs w:val="16"/>
              </w:rPr>
              <w:t>12.166</w:t>
            </w:r>
          </w:p>
        </w:tc>
      </w:tr>
    </w:tbl>
    <w:p w:rsidR="00FC48B5" w:rsidRDefault="00FC48B5" w:rsidP="00B51B51">
      <w:pPr>
        <w:pStyle w:val="Epgrafe"/>
        <w:widowControl w:val="0"/>
        <w:ind w:right="-342"/>
      </w:pPr>
    </w:p>
    <w:p w:rsidR="008A416B" w:rsidRPr="008A416B" w:rsidRDefault="008A416B" w:rsidP="00B51B51">
      <w:pPr>
        <w:pStyle w:val="Epgrafe"/>
        <w:widowControl w:val="0"/>
        <w:ind w:right="-342"/>
      </w:pPr>
      <w:r w:rsidRPr="008A416B">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17</w:t>
      </w:r>
      <w:r w:rsidR="007F3102">
        <w:fldChar w:fldCharType="end"/>
      </w:r>
      <w:r w:rsidRPr="008A416B">
        <w:t xml:space="preserve"> Derechos de Aguas Superficiales en Trámite </w:t>
      </w:r>
      <w:r w:rsidR="009640D6">
        <w:t>Año 2012</w:t>
      </w:r>
      <w:r w:rsidRPr="008A416B">
        <w:t xml:space="preserve"> </w:t>
      </w:r>
      <w:r w:rsidR="009640D6">
        <w:t>Promedio Anual (l/s)</w:t>
      </w:r>
    </w:p>
    <w:tbl>
      <w:tblPr>
        <w:tblW w:w="7622" w:type="dxa"/>
        <w:jc w:val="center"/>
        <w:tblCellMar>
          <w:left w:w="70" w:type="dxa"/>
          <w:right w:w="70" w:type="dxa"/>
        </w:tblCellMar>
        <w:tblLook w:val="0000" w:firstRow="0" w:lastRow="0" w:firstColumn="0" w:lastColumn="0" w:noHBand="0" w:noVBand="0"/>
      </w:tblPr>
      <w:tblGrid>
        <w:gridCol w:w="1583"/>
        <w:gridCol w:w="3947"/>
        <w:gridCol w:w="505"/>
        <w:gridCol w:w="541"/>
        <w:gridCol w:w="505"/>
        <w:gridCol w:w="541"/>
      </w:tblGrid>
      <w:tr w:rsidR="009640D6" w:rsidRPr="00F5501D">
        <w:trPr>
          <w:tblHeader/>
          <w:jc w:val="center"/>
        </w:trPr>
        <w:tc>
          <w:tcPr>
            <w:tcW w:w="1583" w:type="dxa"/>
            <w:vMerge w:val="restart"/>
            <w:tcBorders>
              <w:top w:val="single" w:sz="4" w:space="0" w:color="auto"/>
              <w:left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bCs/>
                <w:sz w:val="16"/>
                <w:szCs w:val="16"/>
              </w:rPr>
            </w:pPr>
            <w:r w:rsidRPr="00F5501D">
              <w:rPr>
                <w:rFonts w:cs="Arial"/>
                <w:bCs/>
                <w:sz w:val="16"/>
                <w:szCs w:val="16"/>
              </w:rPr>
              <w:t>Código Subcuenca</w:t>
            </w:r>
          </w:p>
        </w:tc>
        <w:tc>
          <w:tcPr>
            <w:tcW w:w="3947" w:type="dxa"/>
            <w:vMerge w:val="restart"/>
            <w:tcBorders>
              <w:top w:val="single" w:sz="4" w:space="0" w:color="auto"/>
              <w:left w:val="nil"/>
              <w:right w:val="single" w:sz="4" w:space="0" w:color="auto"/>
            </w:tcBorders>
            <w:shd w:val="clear" w:color="auto" w:fill="auto"/>
            <w:noWrap/>
            <w:vAlign w:val="center"/>
          </w:tcPr>
          <w:p w:rsidR="009640D6" w:rsidRPr="00F5501D" w:rsidRDefault="009640D6" w:rsidP="00B51B51">
            <w:pPr>
              <w:widowControl w:val="0"/>
              <w:jc w:val="center"/>
              <w:rPr>
                <w:rFonts w:cs="Arial"/>
                <w:bCs/>
                <w:sz w:val="16"/>
                <w:szCs w:val="16"/>
              </w:rPr>
            </w:pPr>
            <w:r w:rsidRPr="00F5501D">
              <w:rPr>
                <w:rFonts w:cs="Arial"/>
                <w:bCs/>
                <w:sz w:val="16"/>
                <w:szCs w:val="16"/>
              </w:rPr>
              <w:t>Nombre Subcuenca</w:t>
            </w:r>
          </w:p>
        </w:tc>
        <w:tc>
          <w:tcPr>
            <w:tcW w:w="1046" w:type="dxa"/>
            <w:gridSpan w:val="2"/>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Riego</w:t>
            </w:r>
          </w:p>
        </w:tc>
        <w:tc>
          <w:tcPr>
            <w:tcW w:w="1046" w:type="dxa"/>
            <w:gridSpan w:val="2"/>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Otros Usos</w:t>
            </w:r>
          </w:p>
        </w:tc>
      </w:tr>
      <w:tr w:rsidR="009640D6" w:rsidRPr="00F5501D">
        <w:trPr>
          <w:tblHeader/>
          <w:jc w:val="center"/>
        </w:trPr>
        <w:tc>
          <w:tcPr>
            <w:tcW w:w="1583" w:type="dxa"/>
            <w:vMerge/>
            <w:tcBorders>
              <w:left w:val="single" w:sz="4" w:space="0" w:color="auto"/>
              <w:bottom w:val="single" w:sz="8" w:space="0" w:color="auto"/>
              <w:right w:val="single" w:sz="8" w:space="0" w:color="auto"/>
            </w:tcBorders>
            <w:shd w:val="clear" w:color="auto" w:fill="auto"/>
            <w:noWrap/>
            <w:vAlign w:val="center"/>
          </w:tcPr>
          <w:p w:rsidR="009640D6" w:rsidRPr="00F5501D" w:rsidRDefault="009640D6" w:rsidP="00B51B51">
            <w:pPr>
              <w:widowControl w:val="0"/>
              <w:jc w:val="center"/>
              <w:rPr>
                <w:rFonts w:cs="Arial"/>
                <w:bCs/>
                <w:sz w:val="16"/>
                <w:szCs w:val="16"/>
              </w:rPr>
            </w:pPr>
          </w:p>
        </w:tc>
        <w:tc>
          <w:tcPr>
            <w:tcW w:w="3947" w:type="dxa"/>
            <w:vMerge/>
            <w:tcBorders>
              <w:left w:val="nil"/>
              <w:bottom w:val="single" w:sz="8" w:space="0" w:color="auto"/>
              <w:right w:val="single" w:sz="4" w:space="0" w:color="auto"/>
            </w:tcBorders>
            <w:shd w:val="clear" w:color="auto" w:fill="auto"/>
            <w:noWrap/>
            <w:vAlign w:val="center"/>
          </w:tcPr>
          <w:p w:rsidR="009640D6" w:rsidRPr="00F5501D" w:rsidRDefault="009640D6" w:rsidP="00B51B51">
            <w:pPr>
              <w:widowControl w:val="0"/>
              <w:jc w:val="center"/>
              <w:rPr>
                <w:rFonts w:cs="Arial"/>
                <w:bCs/>
                <w:sz w:val="16"/>
                <w:szCs w:val="16"/>
              </w:rPr>
            </w:pP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Even</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Perm</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Even</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bCs/>
                <w:sz w:val="16"/>
                <w:szCs w:val="16"/>
              </w:rPr>
            </w:pPr>
            <w:r w:rsidRPr="00F5501D">
              <w:rPr>
                <w:rFonts w:cs="Arial"/>
                <w:bCs/>
                <w:sz w:val="16"/>
                <w:szCs w:val="16"/>
              </w:rPr>
              <w:t>Perm</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0571</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 xml:space="preserve">Forma Parte de </w:t>
            </w:r>
            <w:smartTag w:uri="urn:schemas-microsoft-com:office:smarttags" w:element="PersonName">
              <w:smartTagPr>
                <w:attr w:name="ProductID" w:val="La Subcuenca Del"/>
              </w:smartTagPr>
              <w:r w:rsidRPr="00F5501D">
                <w:rPr>
                  <w:rFonts w:cs="Arial"/>
                  <w:sz w:val="16"/>
                  <w:szCs w:val="16"/>
                </w:rPr>
                <w:t>La Subcuenca Del</w:t>
              </w:r>
            </w:smartTag>
            <w:r w:rsidRPr="00F5501D">
              <w:rPr>
                <w:rFonts w:cs="Arial"/>
                <w:sz w:val="16"/>
                <w:szCs w:val="16"/>
              </w:rPr>
              <w:t xml:space="preserve"> Río Maipo Medio</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0600</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Río Cachapoal Alto (Hasta Bajo Junta Río Claro)</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0601</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Cachapoal Bajo</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0602</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 xml:space="preserve">Río </w:t>
            </w:r>
            <w:r w:rsidR="00537151" w:rsidRPr="00F5501D">
              <w:rPr>
                <w:rFonts w:cs="Arial"/>
                <w:sz w:val="16"/>
                <w:szCs w:val="16"/>
              </w:rPr>
              <w:t>Tinguiririca</w:t>
            </w:r>
            <w:r w:rsidRPr="00F5501D">
              <w:rPr>
                <w:rFonts w:cs="Arial"/>
                <w:sz w:val="16"/>
                <w:szCs w:val="16"/>
              </w:rPr>
              <w:t xml:space="preserve"> Alto (Hasta Bajo Junta Río Claro)</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0603</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537151" w:rsidP="00B51B51">
            <w:pPr>
              <w:widowControl w:val="0"/>
              <w:rPr>
                <w:rFonts w:cs="Arial"/>
                <w:sz w:val="16"/>
                <w:szCs w:val="16"/>
              </w:rPr>
            </w:pPr>
            <w:r w:rsidRPr="00F5501D">
              <w:rPr>
                <w:rFonts w:cs="Arial"/>
                <w:sz w:val="16"/>
                <w:szCs w:val="16"/>
              </w:rPr>
              <w:t>Tinguiririca</w:t>
            </w:r>
            <w:r w:rsidR="009640D6" w:rsidRPr="00F5501D">
              <w:rPr>
                <w:rFonts w:cs="Arial"/>
                <w:sz w:val="16"/>
                <w:szCs w:val="16"/>
              </w:rPr>
              <w:t xml:space="preserve"> Bajo</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301,2</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0604</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Estero Alhué</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0605</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Río Rapel</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0610</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Costeras Entre Río Rapel y Estero Topocalma</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0611</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Estero Topocalma</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0612</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Costeras Entre E. Topocalma y E. Nilahue</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sz w:val="16"/>
                <w:szCs w:val="16"/>
              </w:rPr>
            </w:pPr>
            <w:r w:rsidRPr="00F5501D">
              <w:rPr>
                <w:rFonts w:cs="Arial"/>
                <w:sz w:val="16"/>
                <w:szCs w:val="16"/>
              </w:rPr>
              <w:t>0,0</w:t>
            </w:r>
          </w:p>
        </w:tc>
      </w:tr>
      <w:tr w:rsidR="009640D6" w:rsidRPr="00F5501D">
        <w:trPr>
          <w:jc w:val="center"/>
        </w:trPr>
        <w:tc>
          <w:tcPr>
            <w:tcW w:w="1583" w:type="dxa"/>
            <w:tcBorders>
              <w:top w:val="nil"/>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0613</w:t>
            </w:r>
          </w:p>
        </w:tc>
        <w:tc>
          <w:tcPr>
            <w:tcW w:w="3947" w:type="dxa"/>
            <w:tcBorders>
              <w:top w:val="nil"/>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Estero Nilahue</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50</w:t>
            </w:r>
          </w:p>
        </w:tc>
        <w:tc>
          <w:tcPr>
            <w:tcW w:w="505"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3,86</w:t>
            </w:r>
          </w:p>
        </w:tc>
        <w:tc>
          <w:tcPr>
            <w:tcW w:w="541" w:type="dxa"/>
            <w:tcBorders>
              <w:top w:val="nil"/>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861,3</w:t>
            </w:r>
          </w:p>
        </w:tc>
      </w:tr>
      <w:tr w:rsidR="009640D6" w:rsidRPr="00F5501D">
        <w:trPr>
          <w:jc w:val="center"/>
        </w:trPr>
        <w:tc>
          <w:tcPr>
            <w:tcW w:w="1583" w:type="dxa"/>
            <w:tcBorders>
              <w:top w:val="single" w:sz="4" w:space="0" w:color="auto"/>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0614</w:t>
            </w:r>
          </w:p>
        </w:tc>
        <w:tc>
          <w:tcPr>
            <w:tcW w:w="3947" w:type="dxa"/>
            <w:tcBorders>
              <w:top w:val="single" w:sz="4" w:space="0" w:color="auto"/>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Costeras Entre Estero Nilahue y Límite Región</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12,9</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r>
      <w:tr w:rsidR="009640D6" w:rsidRPr="00F5501D">
        <w:trPr>
          <w:jc w:val="center"/>
        </w:trPr>
        <w:tc>
          <w:tcPr>
            <w:tcW w:w="1583" w:type="dxa"/>
            <w:tcBorders>
              <w:top w:val="single" w:sz="4" w:space="0" w:color="auto"/>
              <w:left w:val="single" w:sz="4" w:space="0" w:color="auto"/>
              <w:bottom w:val="single" w:sz="4" w:space="0" w:color="auto"/>
              <w:right w:val="single" w:sz="8" w:space="0" w:color="auto"/>
            </w:tcBorders>
            <w:shd w:val="clear" w:color="auto" w:fill="auto"/>
            <w:noWrap/>
            <w:vAlign w:val="center"/>
          </w:tcPr>
          <w:p w:rsidR="009640D6" w:rsidRPr="00F5501D" w:rsidRDefault="009640D6" w:rsidP="00B51B51">
            <w:pPr>
              <w:widowControl w:val="0"/>
              <w:jc w:val="center"/>
              <w:rPr>
                <w:rFonts w:cs="Arial"/>
                <w:sz w:val="16"/>
                <w:szCs w:val="16"/>
              </w:rPr>
            </w:pPr>
            <w:r w:rsidRPr="00F5501D">
              <w:rPr>
                <w:rFonts w:cs="Arial"/>
                <w:sz w:val="16"/>
                <w:szCs w:val="16"/>
              </w:rPr>
              <w:t>S/I</w:t>
            </w:r>
          </w:p>
        </w:tc>
        <w:tc>
          <w:tcPr>
            <w:tcW w:w="3947" w:type="dxa"/>
            <w:tcBorders>
              <w:top w:val="single" w:sz="4" w:space="0" w:color="auto"/>
              <w:left w:val="nil"/>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S/I</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3,4</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r>
      <w:tr w:rsidR="009640D6" w:rsidRPr="00F5501D">
        <w:trPr>
          <w:jc w:val="center"/>
        </w:trPr>
        <w:tc>
          <w:tcPr>
            <w:tcW w:w="553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0D6" w:rsidRPr="00F5501D" w:rsidRDefault="009640D6" w:rsidP="00B51B51">
            <w:pPr>
              <w:widowControl w:val="0"/>
              <w:rPr>
                <w:rFonts w:cs="Arial"/>
                <w:sz w:val="16"/>
                <w:szCs w:val="16"/>
              </w:rPr>
            </w:pPr>
            <w:r w:rsidRPr="00F5501D">
              <w:rPr>
                <w:rFonts w:cs="Arial"/>
                <w:sz w:val="16"/>
                <w:szCs w:val="16"/>
              </w:rPr>
              <w:t>Total</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0,0</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367,5</w:t>
            </w:r>
          </w:p>
        </w:tc>
        <w:tc>
          <w:tcPr>
            <w:tcW w:w="505"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3,9</w:t>
            </w:r>
          </w:p>
        </w:tc>
        <w:tc>
          <w:tcPr>
            <w:tcW w:w="541" w:type="dxa"/>
            <w:tcBorders>
              <w:top w:val="single" w:sz="4" w:space="0" w:color="auto"/>
              <w:left w:val="nil"/>
              <w:bottom w:val="single" w:sz="4" w:space="0" w:color="auto"/>
              <w:right w:val="single" w:sz="4" w:space="0" w:color="auto"/>
            </w:tcBorders>
          </w:tcPr>
          <w:p w:rsidR="009640D6" w:rsidRPr="00F5501D" w:rsidRDefault="009640D6" w:rsidP="00B51B51">
            <w:pPr>
              <w:widowControl w:val="0"/>
              <w:jc w:val="center"/>
              <w:rPr>
                <w:rFonts w:cs="Arial"/>
                <w:sz w:val="16"/>
                <w:szCs w:val="16"/>
              </w:rPr>
            </w:pPr>
            <w:r w:rsidRPr="00F5501D">
              <w:rPr>
                <w:rFonts w:cs="Arial"/>
                <w:sz w:val="16"/>
                <w:szCs w:val="16"/>
              </w:rPr>
              <w:t>861,3</w:t>
            </w:r>
          </w:p>
        </w:tc>
      </w:tr>
    </w:tbl>
    <w:p w:rsidR="004871C7" w:rsidRPr="00F5501D" w:rsidRDefault="004871C7" w:rsidP="00B51B51">
      <w:pPr>
        <w:widowControl w:val="0"/>
        <w:rPr>
          <w:sz w:val="30"/>
        </w:rPr>
      </w:pPr>
    </w:p>
    <w:p w:rsidR="00C72F97" w:rsidRPr="008A416B" w:rsidRDefault="00FC48B5" w:rsidP="00B51B51">
      <w:pPr>
        <w:pStyle w:val="Ttulo2"/>
        <w:keepNext w:val="0"/>
      </w:pPr>
      <w:r>
        <w:br w:type="page"/>
      </w:r>
      <w:bookmarkStart w:id="237" w:name="_Toc344391821"/>
      <w:r w:rsidR="00C72F97" w:rsidRPr="008A416B">
        <w:lastRenderedPageBreak/>
        <w:t>Demandas Históricas según Estudios Efectuados</w:t>
      </w:r>
      <w:bookmarkEnd w:id="237"/>
    </w:p>
    <w:p w:rsidR="00C72F97" w:rsidRPr="008A416B" w:rsidRDefault="00C72F97" w:rsidP="00B51B51">
      <w:pPr>
        <w:widowControl w:val="0"/>
      </w:pPr>
    </w:p>
    <w:p w:rsidR="00C72F97" w:rsidRPr="008A416B" w:rsidRDefault="00C72F97" w:rsidP="00B51B51">
      <w:pPr>
        <w:widowControl w:val="0"/>
      </w:pPr>
      <w:r w:rsidRPr="008A416B">
        <w:t xml:space="preserve">Con el objeto realizar una caracterización de las demandas históricas de aguas según diferentes usos se ha tomado como referencia principalmente los resultados obtenidos en los estudios desarrollados para </w:t>
      </w:r>
      <w:smartTag w:uri="urn:schemas-microsoft-com:office:smarttags" w:element="PersonName">
        <w:smartTagPr>
          <w:attr w:name="ProductID" w:val="la DGA"/>
        </w:smartTagPr>
        <w:r w:rsidRPr="008A416B">
          <w:t>la DGA</w:t>
        </w:r>
      </w:smartTag>
      <w:r w:rsidRPr="008A416B">
        <w:t xml:space="preserve"> en los años 199</w:t>
      </w:r>
      <w:r w:rsidR="00641536" w:rsidRPr="008A416B">
        <w:t>3</w:t>
      </w:r>
      <w:r w:rsidRPr="008A416B">
        <w:t xml:space="preserve"> y 2005 por IPLA y Ayala, Cabrera y Asociados Ltda. en donde se presentan los resultados de las demandas a nivel de cuencas para </w:t>
      </w:r>
      <w:smartTag w:uri="urn:schemas-microsoft-com:office:smarttags" w:element="PersonName">
        <w:smartTagPr>
          <w:attr w:name="ProductID" w:val="la Región"/>
        </w:smartTagPr>
        <w:r w:rsidRPr="008A416B">
          <w:t xml:space="preserve">la </w:t>
        </w:r>
        <w:r w:rsidR="00AF5F73" w:rsidRPr="008A416B">
          <w:t>R</w:t>
        </w:r>
        <w:r w:rsidRPr="008A416B">
          <w:t>egión</w:t>
        </w:r>
      </w:smartTag>
      <w:r w:rsidRPr="008A416B">
        <w:t xml:space="preserve"> de</w:t>
      </w:r>
      <w:r w:rsidR="00AF5F73" w:rsidRPr="008A416B">
        <w:t xml:space="preserve"> O´Higgins</w:t>
      </w:r>
      <w:r w:rsidRPr="008A416B">
        <w:t>, lo que permite hacer un análisis comparativo.</w:t>
      </w:r>
    </w:p>
    <w:p w:rsidR="00C72F97" w:rsidRPr="008A416B" w:rsidRDefault="00C72F97" w:rsidP="00B51B51">
      <w:pPr>
        <w:widowControl w:val="0"/>
      </w:pPr>
    </w:p>
    <w:p w:rsidR="00C72F97" w:rsidRPr="008A416B" w:rsidRDefault="00C72F97" w:rsidP="00B51B51">
      <w:pPr>
        <w:widowControl w:val="0"/>
      </w:pPr>
      <w:r w:rsidRPr="008A416B">
        <w:t>Estos estudios son los siguientes:</w:t>
      </w:r>
    </w:p>
    <w:p w:rsidR="00C72F97" w:rsidRPr="008A416B" w:rsidRDefault="00C72F97" w:rsidP="00B51B51">
      <w:pPr>
        <w:widowControl w:val="0"/>
      </w:pPr>
    </w:p>
    <w:p w:rsidR="00C72F97" w:rsidRPr="008A416B" w:rsidRDefault="00641536" w:rsidP="00145762">
      <w:pPr>
        <w:widowControl w:val="0"/>
        <w:numPr>
          <w:ilvl w:val="0"/>
          <w:numId w:val="1"/>
        </w:numPr>
      </w:pPr>
      <w:r w:rsidRPr="008A416B">
        <w:t>Análisis Uso Actual y Futuro de los Recursos Hídricos de Chile. IPLA, 1996.</w:t>
      </w:r>
    </w:p>
    <w:p w:rsidR="00641536" w:rsidRDefault="00641536" w:rsidP="00145762">
      <w:pPr>
        <w:widowControl w:val="0"/>
        <w:numPr>
          <w:ilvl w:val="0"/>
          <w:numId w:val="1"/>
        </w:numPr>
      </w:pPr>
      <w:r w:rsidRPr="008A416B">
        <w:t>Estimaciones de Demanda de Agua y Proyecciones Futuras. Zona II. Ayala, Cabrera y Asociados Ltda., 2007.</w:t>
      </w:r>
    </w:p>
    <w:p w:rsidR="00F5501D" w:rsidRPr="008A416B" w:rsidRDefault="00F5501D" w:rsidP="00F5501D">
      <w:pPr>
        <w:widowControl w:val="0"/>
      </w:pPr>
    </w:p>
    <w:p w:rsidR="00C72F97" w:rsidRPr="008A416B" w:rsidRDefault="00C72F97" w:rsidP="00F5501D">
      <w:pPr>
        <w:pStyle w:val="Ttulo3"/>
      </w:pPr>
      <w:bookmarkStart w:id="238" w:name="_Toc344391822"/>
      <w:r w:rsidRPr="008A416B">
        <w:t>Riego</w:t>
      </w:r>
      <w:bookmarkEnd w:id="238"/>
    </w:p>
    <w:p w:rsidR="00FC48B5" w:rsidRDefault="00FC48B5" w:rsidP="00FC48B5">
      <w:pPr>
        <w:rPr>
          <w:rFonts w:cs="Arial"/>
          <w:szCs w:val="22"/>
        </w:rPr>
      </w:pPr>
    </w:p>
    <w:p w:rsidR="00FC48B5" w:rsidRPr="00FC48B5" w:rsidRDefault="00FC48B5" w:rsidP="00FC48B5">
      <w:r w:rsidRPr="00FC48B5">
        <w:rPr>
          <w:rFonts w:cs="Arial"/>
          <w:szCs w:val="22"/>
        </w:rPr>
        <w:t>La demanda histórica se ha efectuado con la siguiente fuente de información:</w:t>
      </w:r>
    </w:p>
    <w:p w:rsidR="00FC48B5" w:rsidRPr="00FC48B5" w:rsidRDefault="00FC48B5" w:rsidP="00B51B51">
      <w:pPr>
        <w:widowControl w:val="0"/>
      </w:pPr>
    </w:p>
    <w:p w:rsidR="007E472C" w:rsidRPr="00FC48B5" w:rsidRDefault="007E472C" w:rsidP="00145762">
      <w:pPr>
        <w:numPr>
          <w:ilvl w:val="0"/>
          <w:numId w:val="1"/>
        </w:numPr>
      </w:pPr>
      <w:r w:rsidRPr="00FC48B5">
        <w:t xml:space="preserve">Actualización Uso Actual y Futuro de los Recursos Hídricos Zona II Sur, Regiones V Sur  a XII y Región Metropolitana. Estudio realizado por la empresa AC Ingenieros para </w:t>
      </w:r>
      <w:smartTag w:uri="urn:schemas-microsoft-com:office:smarttags" w:element="PersonName">
        <w:smartTagPr>
          <w:attr w:name="ProductID" w:val="la Dirección General"/>
        </w:smartTagPr>
        <w:r w:rsidRPr="00FC48B5">
          <w:t>la Dirección General</w:t>
        </w:r>
      </w:smartTag>
      <w:r w:rsidRPr="00FC48B5">
        <w:t xml:space="preserve"> de Aguas en el año 2007 y que utilizó antecedentes del Censo Nacional Agropecuario del año 1997.</w:t>
      </w:r>
    </w:p>
    <w:p w:rsidR="007E472C" w:rsidRPr="00FC48B5" w:rsidRDefault="007E472C" w:rsidP="007E472C"/>
    <w:p w:rsidR="007E472C" w:rsidRPr="00FC48B5" w:rsidRDefault="007E472C" w:rsidP="007E472C">
      <w:r w:rsidRPr="00FC48B5">
        <w:t xml:space="preserve">Con esta fuente más el estudio actual, se efectuó una comparación a nivel de la totalidad de </w:t>
      </w:r>
      <w:smartTag w:uri="urn:schemas-microsoft-com:office:smarttags" w:element="PersonName">
        <w:smartTagPr>
          <w:attr w:name="ProductID" w:val="la VI Región."/>
        </w:smartTagPr>
        <w:r w:rsidRPr="00FC48B5">
          <w:t>la VI Región.</w:t>
        </w:r>
      </w:smartTag>
      <w:r w:rsidRPr="00FC48B5">
        <w:t xml:space="preserve"> </w:t>
      </w:r>
    </w:p>
    <w:p w:rsidR="007E472C" w:rsidRPr="00FC48B5" w:rsidRDefault="007E472C" w:rsidP="007E472C"/>
    <w:p w:rsidR="007E472C" w:rsidRPr="008A416B" w:rsidRDefault="007E472C" w:rsidP="007E472C">
      <w:r w:rsidRPr="00FC48B5">
        <w:t xml:space="preserve">Según lo anterior en </w:t>
      </w:r>
      <w:smartTag w:uri="urn:schemas-microsoft-com:office:smarttags" w:element="PersonName">
        <w:smartTagPr>
          <w:attr w:name="ProductID" w:val="la ￼￼￼￼￼￼￼￼￼￼￼￼￼￼￼￼￼￼￼￼￼￼￼￼￼￼￼￼￼￼￼￼￼￼￼￼￼￼￼￼￼Tabla"/>
        </w:smartTagPr>
        <w:r w:rsidRPr="00FC48B5">
          <w:t xml:space="preserve">la </w:t>
        </w:r>
        <w:r w:rsidRPr="00FC48B5">
          <w:fldChar w:fldCharType="begin"/>
        </w:r>
        <w:r w:rsidRPr="00FC48B5">
          <w:instrText xml:space="preserve"> REF _Ref336678956 \h </w:instrText>
        </w:r>
        <w:r w:rsidRPr="00FC48B5">
          <w:instrText xml:space="preserve"> \* MERGEFORMAT </w:instrText>
        </w:r>
        <w:r w:rsidRPr="00FC48B5">
          <w:fldChar w:fldCharType="separate"/>
        </w:r>
        <w:r w:rsidR="00264070" w:rsidRPr="00FC48B5">
          <w:t>Tabla</w:t>
        </w:r>
      </w:smartTag>
      <w:r w:rsidR="00264070" w:rsidRPr="00FC48B5">
        <w:t xml:space="preserve"> </w:t>
      </w:r>
      <w:r w:rsidR="00264070">
        <w:rPr>
          <w:noProof/>
        </w:rPr>
        <w:t>5.18</w:t>
      </w:r>
      <w:r w:rsidRPr="00FC48B5">
        <w:fldChar w:fldCharType="end"/>
      </w:r>
      <w:r w:rsidRPr="00FC48B5">
        <w:t xml:space="preserve"> se presenta la comparación de los dos estudios indicados en relación al total regional.</w:t>
      </w:r>
    </w:p>
    <w:p w:rsidR="007E472C" w:rsidRPr="008A416B" w:rsidRDefault="007E472C" w:rsidP="007E472C"/>
    <w:p w:rsidR="007E472C" w:rsidRPr="00FC48B5" w:rsidRDefault="007E472C" w:rsidP="007E472C">
      <w:pPr>
        <w:pStyle w:val="Epgrafe"/>
        <w:keepNext/>
      </w:pPr>
      <w:bookmarkStart w:id="239" w:name="_Ref336678956"/>
      <w:r w:rsidRPr="00FC48B5">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18</w:t>
      </w:r>
      <w:r w:rsidR="007F3102">
        <w:fldChar w:fldCharType="end"/>
      </w:r>
      <w:bookmarkEnd w:id="239"/>
      <w:r w:rsidRPr="00FC48B5">
        <w:t xml:space="preserve"> Demandas Históricas Total VI Región</w:t>
      </w:r>
    </w:p>
    <w:p w:rsidR="007E472C" w:rsidRPr="00FC48B5" w:rsidRDefault="00254CE2" w:rsidP="007E472C">
      <w:pPr>
        <w:pStyle w:val="Sangradetextonormal"/>
        <w:tabs>
          <w:tab w:val="left" w:pos="1418"/>
        </w:tabs>
        <w:jc w:val="center"/>
        <w:rPr>
          <w:rFonts w:cs="Arial"/>
          <w:b/>
        </w:rPr>
      </w:pPr>
      <w:r>
        <w:rPr>
          <w:noProof/>
          <w:lang w:val="es-CL" w:eastAsia="es-CL"/>
        </w:rPr>
        <w:drawing>
          <wp:inline distT="0" distB="0" distL="0" distR="0">
            <wp:extent cx="5603240" cy="5207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3240" cy="520700"/>
                    </a:xfrm>
                    <a:prstGeom prst="rect">
                      <a:avLst/>
                    </a:prstGeom>
                    <a:noFill/>
                    <a:ln>
                      <a:noFill/>
                    </a:ln>
                  </pic:spPr>
                </pic:pic>
              </a:graphicData>
            </a:graphic>
          </wp:inline>
        </w:drawing>
      </w:r>
    </w:p>
    <w:p w:rsidR="007E472C" w:rsidRPr="00FC48B5" w:rsidRDefault="007E472C" w:rsidP="007E472C"/>
    <w:p w:rsidR="007E472C" w:rsidRPr="00FC48B5" w:rsidRDefault="007E472C" w:rsidP="007E472C">
      <w:r w:rsidRPr="00FC48B5">
        <w:t xml:space="preserve">Como se observa en </w:t>
      </w:r>
      <w:smartTag w:uri="urn:schemas-microsoft-com:office:smarttags" w:element="PersonName">
        <w:smartTagPr>
          <w:attr w:name="ProductID" w:val="la ￼￼￼￼￼￼￼￼￼￼￼￼￼￼￼￼￼￼￼￼￼￼￼￼￼￼￼￼￼￼￼￼￼￼￼￼￼￼￼￼￼Tabla"/>
        </w:smartTagPr>
        <w:r w:rsidRPr="00FC48B5">
          <w:t xml:space="preserve">la </w:t>
        </w:r>
        <w:r w:rsidRPr="00FC48B5">
          <w:fldChar w:fldCharType="begin"/>
        </w:r>
        <w:r w:rsidRPr="00FC48B5">
          <w:instrText xml:space="preserve"> REF _Ref336678956 \h </w:instrText>
        </w:r>
        <w:r w:rsidRPr="00FC48B5">
          <w:instrText xml:space="preserve"> \* MERGEFORMAT </w:instrText>
        </w:r>
        <w:r w:rsidRPr="00FC48B5">
          <w:fldChar w:fldCharType="separate"/>
        </w:r>
        <w:r w:rsidR="00264070" w:rsidRPr="00FC48B5">
          <w:t>Tabla</w:t>
        </w:r>
      </w:smartTag>
      <w:r w:rsidR="00264070" w:rsidRPr="00FC48B5">
        <w:t xml:space="preserve"> </w:t>
      </w:r>
      <w:r w:rsidR="00264070">
        <w:t>5.18</w:t>
      </w:r>
      <w:r w:rsidRPr="00FC48B5">
        <w:fldChar w:fldCharType="end"/>
      </w:r>
      <w:r w:rsidRPr="00FC48B5">
        <w:t xml:space="preserve"> la demanda de agua de riego desde el año1996 a la fecha se ha reducido drásticamente, alcanzando en la actualidad el 70% de la demanda de agua estimada al año 1996. </w:t>
      </w:r>
    </w:p>
    <w:p w:rsidR="007E472C" w:rsidRPr="00FC48B5" w:rsidRDefault="007E472C" w:rsidP="007E472C"/>
    <w:p w:rsidR="007E472C" w:rsidRPr="00FC48B5" w:rsidRDefault="007E472C" w:rsidP="007E472C">
      <w:r w:rsidRPr="00FC48B5">
        <w:t>Ahora bien, si se observa la cantidad de superficie regada en los dos períodos históricos, es similar, existiendo sí una  notoria disminución en la cantidad de praderas de riego. Esto último, en conjunto con la mayor eficiencia de riego que se ha generado actualmente en la zona, explica la disminución de demandas hídricas de la situación actual.</w:t>
      </w:r>
    </w:p>
    <w:p w:rsidR="00F5501D" w:rsidRPr="00FC48B5" w:rsidRDefault="00F5501D" w:rsidP="00B51B51">
      <w:pPr>
        <w:widowControl w:val="0"/>
      </w:pPr>
    </w:p>
    <w:p w:rsidR="009057BF" w:rsidRPr="00FC48B5" w:rsidRDefault="00C72F97" w:rsidP="00F5501D">
      <w:pPr>
        <w:pStyle w:val="Ttulo3"/>
      </w:pPr>
      <w:bookmarkStart w:id="240" w:name="_Toc344391823"/>
      <w:r w:rsidRPr="00FC48B5">
        <w:t>Agua Potable</w:t>
      </w:r>
      <w:bookmarkEnd w:id="240"/>
    </w:p>
    <w:p w:rsidR="006E6194" w:rsidRPr="00FC48B5" w:rsidRDefault="006E6194" w:rsidP="00B51B51">
      <w:pPr>
        <w:widowControl w:val="0"/>
      </w:pPr>
    </w:p>
    <w:p w:rsidR="00391BF7" w:rsidRPr="00FC48B5" w:rsidRDefault="00EB3352" w:rsidP="00B51B51">
      <w:pPr>
        <w:widowControl w:val="0"/>
      </w:pPr>
      <w:r w:rsidRPr="00FC48B5">
        <w:t>El secto</w:t>
      </w:r>
      <w:r w:rsidR="00391BF7" w:rsidRPr="00FC48B5">
        <w:t xml:space="preserve">r agua potable es una de las que cuenta con mayor cantidad </w:t>
      </w:r>
      <w:r w:rsidR="00537151" w:rsidRPr="00FC48B5">
        <w:t>de información lo que permite</w:t>
      </w:r>
      <w:r w:rsidRPr="00FC48B5">
        <w:t xml:space="preserve"> realizar una adecuada caracterización de sus demandas.</w:t>
      </w:r>
    </w:p>
    <w:p w:rsidR="00AA4141" w:rsidRPr="00FC48B5" w:rsidRDefault="00AA4141" w:rsidP="00B51B51">
      <w:pPr>
        <w:widowControl w:val="0"/>
      </w:pPr>
    </w:p>
    <w:p w:rsidR="00494D2A" w:rsidRPr="00FC48B5" w:rsidRDefault="002D1DFA" w:rsidP="00B51B51">
      <w:pPr>
        <w:widowControl w:val="0"/>
      </w:pPr>
      <w:r w:rsidRPr="00FC48B5">
        <w:t xml:space="preserve">Tanto en </w:t>
      </w:r>
      <w:r w:rsidR="00494D2A" w:rsidRPr="00FC48B5">
        <w:t xml:space="preserve">los estudios desarrollados por IPLA el año 1996 y Ayala, Cabrera y Asociados Ltda., el año 2005 se presentan estimaciones </w:t>
      </w:r>
      <w:r w:rsidRPr="00FC48B5">
        <w:t xml:space="preserve">de la demanda de agua potable teniendo </w:t>
      </w:r>
      <w:r w:rsidRPr="00FC48B5">
        <w:lastRenderedPageBreak/>
        <w:t>como base la revisión de los</w:t>
      </w:r>
      <w:r w:rsidR="00494D2A" w:rsidRPr="00FC48B5">
        <w:t xml:space="preserve"> Planes de Desarrollo </w:t>
      </w:r>
      <w:r w:rsidRPr="00FC48B5">
        <w:t xml:space="preserve">de las Empresas Sanitarias </w:t>
      </w:r>
      <w:r w:rsidR="00494D2A" w:rsidRPr="00FC48B5">
        <w:t>vigentes a la fecha</w:t>
      </w:r>
      <w:r w:rsidRPr="00FC48B5">
        <w:t xml:space="preserve"> de ambos estudios a lo que se sumó la demanda de sistemas de Agua Potable Rural (APR)</w:t>
      </w:r>
      <w:r w:rsidR="00896D86" w:rsidRPr="00FC48B5">
        <w:t xml:space="preserve"> en el caso del estudio del año 2005.</w:t>
      </w:r>
    </w:p>
    <w:p w:rsidR="00896D86" w:rsidRPr="00FC48B5" w:rsidRDefault="00896D86" w:rsidP="00B51B51">
      <w:pPr>
        <w:widowControl w:val="0"/>
      </w:pPr>
    </w:p>
    <w:p w:rsidR="00896D86" w:rsidRPr="00FC48B5" w:rsidRDefault="00896D86" w:rsidP="00B51B51">
      <w:pPr>
        <w:widowControl w:val="0"/>
      </w:pPr>
      <w:r w:rsidRPr="00FC48B5">
        <w:t xml:space="preserve">A partir de ambas fuentes consultadas en </w:t>
      </w:r>
      <w:smartTag w:uri="urn:schemas-microsoft-com:office:smarttags" w:element="PersonName">
        <w:smartTagPr>
          <w:attr w:name="ProductID" w:val="la ￼￼￼￼￼￼￼￼￼￼￼￼￼￼￼￼￼￼￼￼￼￼￼￼￼￼￼￼￼￼￼￼￼￼￼￼￼￼￼￼￼Tabla"/>
        </w:smartTagPr>
        <w:r w:rsidRPr="00FC48B5">
          <w:t xml:space="preserve">la </w:t>
        </w:r>
        <w:r w:rsidRPr="00FC48B5">
          <w:fldChar w:fldCharType="begin"/>
        </w:r>
        <w:r w:rsidRPr="00FC48B5">
          <w:instrText xml:space="preserve"> REF _Ref335237391 \h </w:instrText>
        </w:r>
        <w:r w:rsidR="001A7DCD" w:rsidRPr="00FC48B5">
          <w:instrText xml:space="preserve"> \* MERGEFORMAT </w:instrText>
        </w:r>
        <w:r w:rsidRPr="00FC48B5">
          <w:fldChar w:fldCharType="separate"/>
        </w:r>
        <w:r w:rsidR="00264070" w:rsidRPr="00FC48B5">
          <w:t>Tabla</w:t>
        </w:r>
      </w:smartTag>
      <w:r w:rsidR="00264070" w:rsidRPr="00FC48B5">
        <w:t xml:space="preserve"> </w:t>
      </w:r>
      <w:r w:rsidR="00264070">
        <w:rPr>
          <w:noProof/>
        </w:rPr>
        <w:t>5.19</w:t>
      </w:r>
      <w:r w:rsidRPr="00FC48B5">
        <w:fldChar w:fldCharType="end"/>
      </w:r>
      <w:r w:rsidRPr="00FC48B5">
        <w:t xml:space="preserve"> se presenta un resumen de las demandas de agua potable para dos cortes temporales.</w:t>
      </w:r>
    </w:p>
    <w:p w:rsidR="003423DA" w:rsidRPr="00FC48B5" w:rsidRDefault="003423DA" w:rsidP="00B51B51">
      <w:pPr>
        <w:widowControl w:val="0"/>
      </w:pPr>
    </w:p>
    <w:p w:rsidR="003423DA" w:rsidRPr="00FC48B5" w:rsidRDefault="003423DA" w:rsidP="00B51B51">
      <w:pPr>
        <w:pStyle w:val="Epgrafe"/>
        <w:widowControl w:val="0"/>
      </w:pPr>
      <w:bookmarkStart w:id="241" w:name="_Ref335237391"/>
      <w:r w:rsidRPr="00FC48B5">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19</w:t>
      </w:r>
      <w:r w:rsidR="007F3102">
        <w:fldChar w:fldCharType="end"/>
      </w:r>
      <w:bookmarkEnd w:id="241"/>
      <w:r w:rsidRPr="00FC48B5">
        <w:t xml:space="preserve"> Demandas Agua Potable Informadas en Estudios Previos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8"/>
        <w:gridCol w:w="1437"/>
        <w:gridCol w:w="1437"/>
      </w:tblGrid>
      <w:tr w:rsidR="003423DA" w:rsidRPr="00FC48B5">
        <w:trPr>
          <w:jc w:val="center"/>
        </w:trPr>
        <w:tc>
          <w:tcPr>
            <w:tcW w:w="3508" w:type="dxa"/>
          </w:tcPr>
          <w:p w:rsidR="003423DA" w:rsidRPr="00FC48B5" w:rsidRDefault="003423DA" w:rsidP="00B51B51">
            <w:pPr>
              <w:widowControl w:val="0"/>
              <w:jc w:val="center"/>
              <w:rPr>
                <w:rFonts w:cs="Arial"/>
                <w:sz w:val="16"/>
                <w:szCs w:val="18"/>
              </w:rPr>
            </w:pPr>
            <w:bookmarkStart w:id="242" w:name="_Hlk335237453"/>
            <w:r w:rsidRPr="00FC48B5">
              <w:rPr>
                <w:rFonts w:cs="Arial"/>
                <w:sz w:val="16"/>
                <w:szCs w:val="18"/>
              </w:rPr>
              <w:t>Cuenca</w:t>
            </w:r>
          </w:p>
        </w:tc>
        <w:tc>
          <w:tcPr>
            <w:tcW w:w="1437" w:type="dxa"/>
          </w:tcPr>
          <w:p w:rsidR="003423DA" w:rsidRPr="00FC48B5" w:rsidRDefault="003423DA" w:rsidP="00B51B51">
            <w:pPr>
              <w:widowControl w:val="0"/>
              <w:jc w:val="center"/>
              <w:rPr>
                <w:rFonts w:cs="Arial"/>
                <w:sz w:val="16"/>
                <w:szCs w:val="18"/>
              </w:rPr>
            </w:pPr>
            <w:r w:rsidRPr="00FC48B5">
              <w:rPr>
                <w:rFonts w:cs="Arial"/>
                <w:sz w:val="16"/>
                <w:szCs w:val="18"/>
              </w:rPr>
              <w:t>Año 1993 (l/s)</w:t>
            </w:r>
          </w:p>
        </w:tc>
        <w:tc>
          <w:tcPr>
            <w:tcW w:w="1437" w:type="dxa"/>
          </w:tcPr>
          <w:p w:rsidR="003423DA" w:rsidRPr="00FC48B5" w:rsidRDefault="003423DA" w:rsidP="00B51B51">
            <w:pPr>
              <w:widowControl w:val="0"/>
              <w:jc w:val="center"/>
              <w:rPr>
                <w:rFonts w:cs="Arial"/>
                <w:sz w:val="16"/>
                <w:szCs w:val="18"/>
              </w:rPr>
            </w:pPr>
            <w:r w:rsidRPr="00FC48B5">
              <w:rPr>
                <w:rFonts w:cs="Arial"/>
                <w:sz w:val="16"/>
                <w:szCs w:val="18"/>
              </w:rPr>
              <w:t>Año 2005 (l/s)</w:t>
            </w:r>
          </w:p>
        </w:tc>
      </w:tr>
      <w:tr w:rsidR="001A7DCD" w:rsidRPr="00FC48B5">
        <w:trPr>
          <w:jc w:val="center"/>
        </w:trPr>
        <w:tc>
          <w:tcPr>
            <w:tcW w:w="3508" w:type="dxa"/>
            <w:vAlign w:val="center"/>
          </w:tcPr>
          <w:p w:rsidR="001A7DCD" w:rsidRPr="00FC48B5" w:rsidRDefault="001A7DCD" w:rsidP="00B51B51">
            <w:pPr>
              <w:widowControl w:val="0"/>
              <w:rPr>
                <w:rFonts w:cs="Arial"/>
                <w:sz w:val="16"/>
                <w:szCs w:val="18"/>
              </w:rPr>
            </w:pPr>
            <w:r w:rsidRPr="00FC48B5">
              <w:rPr>
                <w:rFonts w:cs="Arial"/>
                <w:sz w:val="16"/>
                <w:szCs w:val="18"/>
              </w:rPr>
              <w:t>Río Maipo (0</w:t>
            </w:r>
            <w:r w:rsidR="00537151" w:rsidRPr="00FC48B5">
              <w:rPr>
                <w:rFonts w:cs="Arial"/>
                <w:sz w:val="16"/>
                <w:szCs w:val="18"/>
              </w:rPr>
              <w:t>5</w:t>
            </w:r>
            <w:r w:rsidR="00877729" w:rsidRPr="00FC48B5">
              <w:rPr>
                <w:rFonts w:cs="Arial"/>
                <w:sz w:val="16"/>
                <w:szCs w:val="18"/>
              </w:rPr>
              <w:t>71</w:t>
            </w:r>
            <w:r w:rsidRPr="00FC48B5">
              <w:rPr>
                <w:rFonts w:cs="Arial"/>
                <w:sz w:val="16"/>
                <w:szCs w:val="18"/>
              </w:rPr>
              <w:t>)</w:t>
            </w:r>
          </w:p>
        </w:tc>
        <w:tc>
          <w:tcPr>
            <w:tcW w:w="1437" w:type="dxa"/>
          </w:tcPr>
          <w:p w:rsidR="001A7DCD" w:rsidRPr="00FC48B5" w:rsidRDefault="00877729" w:rsidP="00B51B51">
            <w:pPr>
              <w:widowControl w:val="0"/>
              <w:jc w:val="center"/>
              <w:rPr>
                <w:rFonts w:cs="Arial"/>
                <w:sz w:val="16"/>
                <w:szCs w:val="18"/>
              </w:rPr>
            </w:pPr>
            <w:r w:rsidRPr="00FC48B5">
              <w:rPr>
                <w:rFonts w:cs="Arial"/>
                <w:sz w:val="16"/>
                <w:szCs w:val="18"/>
              </w:rPr>
              <w:t>0</w:t>
            </w:r>
          </w:p>
        </w:tc>
        <w:tc>
          <w:tcPr>
            <w:tcW w:w="1437" w:type="dxa"/>
          </w:tcPr>
          <w:p w:rsidR="001A7DCD" w:rsidRPr="00FC48B5" w:rsidRDefault="00877729" w:rsidP="00B51B51">
            <w:pPr>
              <w:widowControl w:val="0"/>
              <w:jc w:val="center"/>
              <w:rPr>
                <w:rFonts w:cs="Arial"/>
                <w:sz w:val="16"/>
                <w:szCs w:val="18"/>
              </w:rPr>
            </w:pPr>
            <w:r w:rsidRPr="00FC48B5">
              <w:rPr>
                <w:rFonts w:cs="Arial"/>
                <w:sz w:val="16"/>
                <w:szCs w:val="18"/>
              </w:rPr>
              <w:t>0</w:t>
            </w:r>
          </w:p>
        </w:tc>
      </w:tr>
      <w:tr w:rsidR="001A7DCD" w:rsidRPr="00FC48B5">
        <w:trPr>
          <w:jc w:val="center"/>
        </w:trPr>
        <w:tc>
          <w:tcPr>
            <w:tcW w:w="3508" w:type="dxa"/>
            <w:vAlign w:val="center"/>
          </w:tcPr>
          <w:p w:rsidR="001A7DCD" w:rsidRPr="00FC48B5" w:rsidRDefault="001A7DCD" w:rsidP="00B51B51">
            <w:pPr>
              <w:widowControl w:val="0"/>
              <w:rPr>
                <w:rFonts w:cs="Arial"/>
                <w:sz w:val="16"/>
                <w:szCs w:val="18"/>
              </w:rPr>
            </w:pPr>
            <w:r w:rsidRPr="00FC48B5">
              <w:rPr>
                <w:rFonts w:cs="Arial"/>
                <w:sz w:val="16"/>
                <w:szCs w:val="18"/>
              </w:rPr>
              <w:t>Río Rapel (060)</w:t>
            </w:r>
          </w:p>
        </w:tc>
        <w:tc>
          <w:tcPr>
            <w:tcW w:w="1437" w:type="dxa"/>
          </w:tcPr>
          <w:p w:rsidR="001A7DCD" w:rsidRPr="00FC48B5" w:rsidRDefault="005420EC" w:rsidP="00B51B51">
            <w:pPr>
              <w:widowControl w:val="0"/>
              <w:jc w:val="center"/>
              <w:rPr>
                <w:rFonts w:cs="Arial"/>
                <w:sz w:val="16"/>
                <w:szCs w:val="18"/>
              </w:rPr>
            </w:pPr>
            <w:r w:rsidRPr="00FC48B5">
              <w:rPr>
                <w:rFonts w:cs="Arial"/>
                <w:sz w:val="16"/>
                <w:szCs w:val="18"/>
              </w:rPr>
              <w:t>948</w:t>
            </w:r>
          </w:p>
        </w:tc>
        <w:tc>
          <w:tcPr>
            <w:tcW w:w="1437" w:type="dxa"/>
          </w:tcPr>
          <w:p w:rsidR="001A7DCD" w:rsidRPr="00FC48B5" w:rsidRDefault="008926D7" w:rsidP="00B51B51">
            <w:pPr>
              <w:widowControl w:val="0"/>
              <w:jc w:val="center"/>
              <w:rPr>
                <w:rFonts w:cs="Arial"/>
                <w:sz w:val="16"/>
                <w:szCs w:val="18"/>
              </w:rPr>
            </w:pPr>
            <w:r w:rsidRPr="00FC48B5">
              <w:rPr>
                <w:rFonts w:cs="Arial"/>
                <w:sz w:val="16"/>
                <w:szCs w:val="18"/>
              </w:rPr>
              <w:t>1.989</w:t>
            </w:r>
          </w:p>
        </w:tc>
      </w:tr>
      <w:tr w:rsidR="001A7DCD" w:rsidRPr="00FC48B5">
        <w:trPr>
          <w:jc w:val="center"/>
        </w:trPr>
        <w:tc>
          <w:tcPr>
            <w:tcW w:w="3508" w:type="dxa"/>
            <w:vAlign w:val="center"/>
          </w:tcPr>
          <w:p w:rsidR="001A7DCD" w:rsidRPr="00FC48B5" w:rsidRDefault="008926D7" w:rsidP="00B51B51">
            <w:pPr>
              <w:widowControl w:val="0"/>
              <w:jc w:val="left"/>
              <w:rPr>
                <w:rFonts w:cs="Arial"/>
                <w:sz w:val="16"/>
                <w:szCs w:val="18"/>
              </w:rPr>
            </w:pPr>
            <w:r w:rsidRPr="00FC48B5">
              <w:rPr>
                <w:rFonts w:cs="Arial"/>
                <w:sz w:val="16"/>
                <w:szCs w:val="18"/>
              </w:rPr>
              <w:t>Costeras entre Maipo y Rapel (0</w:t>
            </w:r>
            <w:r w:rsidR="00877729" w:rsidRPr="00FC48B5">
              <w:rPr>
                <w:rFonts w:cs="Arial"/>
                <w:sz w:val="16"/>
                <w:szCs w:val="18"/>
              </w:rPr>
              <w:t>61</w:t>
            </w:r>
            <w:r w:rsidRPr="00FC48B5">
              <w:rPr>
                <w:rFonts w:cs="Arial"/>
                <w:sz w:val="16"/>
                <w:szCs w:val="18"/>
              </w:rPr>
              <w:t>)</w:t>
            </w:r>
          </w:p>
        </w:tc>
        <w:tc>
          <w:tcPr>
            <w:tcW w:w="1437" w:type="dxa"/>
          </w:tcPr>
          <w:p w:rsidR="001A7DCD" w:rsidRPr="00FC48B5" w:rsidRDefault="00461BD7" w:rsidP="00B51B51">
            <w:pPr>
              <w:widowControl w:val="0"/>
              <w:jc w:val="center"/>
              <w:rPr>
                <w:rFonts w:cs="Arial"/>
                <w:sz w:val="16"/>
                <w:szCs w:val="18"/>
              </w:rPr>
            </w:pPr>
            <w:r w:rsidRPr="00FC48B5">
              <w:rPr>
                <w:rFonts w:cs="Arial"/>
                <w:sz w:val="16"/>
                <w:szCs w:val="18"/>
              </w:rPr>
              <w:t>0</w:t>
            </w:r>
          </w:p>
        </w:tc>
        <w:tc>
          <w:tcPr>
            <w:tcW w:w="1437" w:type="dxa"/>
          </w:tcPr>
          <w:p w:rsidR="001A7DCD" w:rsidRPr="00FC48B5" w:rsidRDefault="008926D7" w:rsidP="00B51B51">
            <w:pPr>
              <w:widowControl w:val="0"/>
              <w:jc w:val="center"/>
              <w:rPr>
                <w:rFonts w:cs="Arial"/>
                <w:sz w:val="16"/>
                <w:szCs w:val="18"/>
              </w:rPr>
            </w:pPr>
            <w:r w:rsidRPr="00FC48B5">
              <w:rPr>
                <w:rFonts w:cs="Arial"/>
                <w:sz w:val="16"/>
                <w:szCs w:val="18"/>
              </w:rPr>
              <w:t>24</w:t>
            </w:r>
          </w:p>
        </w:tc>
      </w:tr>
      <w:tr w:rsidR="001A7DCD" w:rsidRPr="00FC48B5">
        <w:trPr>
          <w:jc w:val="center"/>
        </w:trPr>
        <w:tc>
          <w:tcPr>
            <w:tcW w:w="3508" w:type="dxa"/>
            <w:vAlign w:val="center"/>
          </w:tcPr>
          <w:p w:rsidR="001A7DCD" w:rsidRPr="00FC48B5" w:rsidRDefault="008926D7" w:rsidP="00B51B51">
            <w:pPr>
              <w:widowControl w:val="0"/>
              <w:rPr>
                <w:rFonts w:cs="Arial"/>
                <w:sz w:val="16"/>
                <w:szCs w:val="18"/>
              </w:rPr>
            </w:pPr>
            <w:r w:rsidRPr="00FC48B5">
              <w:rPr>
                <w:rFonts w:cs="Arial"/>
                <w:sz w:val="16"/>
                <w:szCs w:val="18"/>
              </w:rPr>
              <w:t>Total</w:t>
            </w:r>
          </w:p>
        </w:tc>
        <w:tc>
          <w:tcPr>
            <w:tcW w:w="1437" w:type="dxa"/>
          </w:tcPr>
          <w:p w:rsidR="001A7DCD" w:rsidRPr="00FC48B5" w:rsidRDefault="00DA74B0" w:rsidP="00B51B51">
            <w:pPr>
              <w:widowControl w:val="0"/>
              <w:jc w:val="center"/>
              <w:rPr>
                <w:rFonts w:cs="Arial"/>
                <w:sz w:val="16"/>
                <w:szCs w:val="18"/>
              </w:rPr>
            </w:pPr>
            <w:r w:rsidRPr="00FC48B5">
              <w:rPr>
                <w:rFonts w:cs="Arial"/>
                <w:sz w:val="16"/>
                <w:szCs w:val="18"/>
              </w:rPr>
              <w:t>948</w:t>
            </w:r>
          </w:p>
        </w:tc>
        <w:tc>
          <w:tcPr>
            <w:tcW w:w="1437" w:type="dxa"/>
          </w:tcPr>
          <w:p w:rsidR="001A7DCD" w:rsidRPr="00FC48B5" w:rsidRDefault="00DA74B0" w:rsidP="00B51B51">
            <w:pPr>
              <w:widowControl w:val="0"/>
              <w:jc w:val="center"/>
              <w:rPr>
                <w:rFonts w:cs="Arial"/>
                <w:sz w:val="16"/>
                <w:szCs w:val="18"/>
              </w:rPr>
            </w:pPr>
            <w:r w:rsidRPr="00FC48B5">
              <w:rPr>
                <w:rFonts w:cs="Arial"/>
                <w:sz w:val="16"/>
                <w:szCs w:val="18"/>
              </w:rPr>
              <w:t>2.013</w:t>
            </w:r>
          </w:p>
        </w:tc>
      </w:tr>
    </w:tbl>
    <w:bookmarkEnd w:id="242"/>
    <w:p w:rsidR="003423DA" w:rsidRPr="00FC48B5" w:rsidRDefault="003423DA" w:rsidP="00B51B51">
      <w:pPr>
        <w:widowControl w:val="0"/>
        <w:ind w:left="992" w:firstLine="424"/>
        <w:rPr>
          <w:rFonts w:cs="Arial"/>
          <w:sz w:val="18"/>
          <w:szCs w:val="18"/>
        </w:rPr>
      </w:pPr>
      <w:r w:rsidRPr="00FC48B5">
        <w:rPr>
          <w:rFonts w:cs="Arial"/>
          <w:sz w:val="16"/>
          <w:szCs w:val="18"/>
        </w:rPr>
        <w:t>Nota: (*) No evaluada</w:t>
      </w:r>
      <w:r w:rsidR="00DA74B0" w:rsidRPr="00FC48B5">
        <w:rPr>
          <w:rFonts w:cs="Arial"/>
          <w:sz w:val="18"/>
          <w:szCs w:val="18"/>
        </w:rPr>
        <w:tab/>
      </w:r>
    </w:p>
    <w:p w:rsidR="00F5501D" w:rsidRPr="00FC48B5" w:rsidRDefault="00F5501D" w:rsidP="00B51B51">
      <w:pPr>
        <w:widowControl w:val="0"/>
      </w:pPr>
    </w:p>
    <w:p w:rsidR="00896D86" w:rsidRPr="00FC48B5" w:rsidRDefault="00E355BF" w:rsidP="00B51B51">
      <w:pPr>
        <w:widowControl w:val="0"/>
      </w:pPr>
      <w:r w:rsidRPr="00FC48B5">
        <w:t xml:space="preserve">Tal como se observa en </w:t>
      </w:r>
      <w:smartTag w:uri="urn:schemas-microsoft-com:office:smarttags" w:element="PersonName">
        <w:smartTagPr>
          <w:attr w:name="ProductID" w:val="la ￼￼￼￼￼￼￼￼￼￼￼￼￼￼￼￼￼￼￼￼￼￼￼￼￼￼￼￼￼￼￼￼￼￼￼￼￼￼￼￼￼Tabla"/>
        </w:smartTagPr>
        <w:r w:rsidRPr="00FC48B5">
          <w:t>l</w:t>
        </w:r>
        <w:r w:rsidR="00537151" w:rsidRPr="00FC48B5">
          <w:t>a Tabla</w:t>
        </w:r>
      </w:smartTag>
      <w:r w:rsidR="00537151" w:rsidRPr="00FC48B5">
        <w:t>,</w:t>
      </w:r>
      <w:r w:rsidR="008A416B" w:rsidRPr="00FC48B5">
        <w:t xml:space="preserve"> </w:t>
      </w:r>
      <w:r w:rsidR="00537151" w:rsidRPr="00FC48B5">
        <w:t>la cuenca</w:t>
      </w:r>
      <w:r w:rsidR="00B06775" w:rsidRPr="00FC48B5">
        <w:t xml:space="preserve"> que </w:t>
      </w:r>
      <w:r w:rsidR="00017343" w:rsidRPr="00FC48B5">
        <w:t>p</w:t>
      </w:r>
      <w:r w:rsidR="00537151" w:rsidRPr="00FC48B5">
        <w:t>resenta la mayor</w:t>
      </w:r>
      <w:r w:rsidR="00B06775" w:rsidRPr="00FC48B5">
        <w:t xml:space="preserve"> de</w:t>
      </w:r>
      <w:r w:rsidR="00537151" w:rsidRPr="00FC48B5">
        <w:t>manda</w:t>
      </w:r>
      <w:r w:rsidR="00017343" w:rsidRPr="00FC48B5">
        <w:t xml:space="preserve"> de agua potable </w:t>
      </w:r>
      <w:r w:rsidR="00461BD7" w:rsidRPr="00FC48B5">
        <w:t>es la del río Rapel</w:t>
      </w:r>
      <w:r w:rsidR="00537151" w:rsidRPr="00FC48B5">
        <w:t>,</w:t>
      </w:r>
      <w:r w:rsidR="00017343" w:rsidRPr="00FC48B5">
        <w:t xml:space="preserve"> en donde se ubican los principales centros urbanos de la región</w:t>
      </w:r>
      <w:r w:rsidR="00461BD7" w:rsidRPr="00FC48B5">
        <w:t>.</w:t>
      </w:r>
    </w:p>
    <w:p w:rsidR="00DD2AC9" w:rsidRPr="00FC48B5" w:rsidRDefault="00DD2AC9" w:rsidP="00B51B51">
      <w:pPr>
        <w:widowControl w:val="0"/>
      </w:pPr>
    </w:p>
    <w:p w:rsidR="00DD2AC9" w:rsidRPr="00FC48B5" w:rsidRDefault="00537151" w:rsidP="00B51B51">
      <w:pPr>
        <w:widowControl w:val="0"/>
      </w:pPr>
      <w:r w:rsidRPr="00FC48B5">
        <w:t>En esta</w:t>
      </w:r>
      <w:r w:rsidR="00DD2AC9" w:rsidRPr="00FC48B5">
        <w:t xml:space="preserve"> cuenc</w:t>
      </w:r>
      <w:r w:rsidRPr="00FC48B5">
        <w:t>a que concentra</w:t>
      </w:r>
      <w:r w:rsidR="00DD2AC9" w:rsidRPr="00FC48B5">
        <w:t xml:space="preserve"> la mayor demanda</w:t>
      </w:r>
      <w:r w:rsidRPr="00FC48B5">
        <w:t>,</w:t>
      </w:r>
      <w:r w:rsidR="00DD2AC9" w:rsidRPr="00FC48B5">
        <w:t xml:space="preserve"> se observ</w:t>
      </w:r>
      <w:r w:rsidRPr="00FC48B5">
        <w:t>a que en un período de 12 años é</w:t>
      </w:r>
      <w:r w:rsidR="00DD2AC9" w:rsidRPr="00FC48B5">
        <w:t xml:space="preserve">sta se ha </w:t>
      </w:r>
      <w:r w:rsidR="000C229F" w:rsidRPr="00FC48B5">
        <w:t>duplicado</w:t>
      </w:r>
      <w:r w:rsidR="00DD2AC9" w:rsidRPr="00FC48B5">
        <w:t>.</w:t>
      </w:r>
    </w:p>
    <w:p w:rsidR="00F5501D" w:rsidRPr="00FC48B5" w:rsidRDefault="00F5501D" w:rsidP="00B51B51">
      <w:pPr>
        <w:widowControl w:val="0"/>
      </w:pPr>
    </w:p>
    <w:p w:rsidR="0007292D" w:rsidRPr="00FC48B5" w:rsidRDefault="0007292D" w:rsidP="00F5501D">
      <w:pPr>
        <w:pStyle w:val="Ttulo3"/>
      </w:pPr>
      <w:bookmarkStart w:id="243" w:name="_Toc344391824"/>
      <w:r w:rsidRPr="00FC48B5">
        <w:t>Minería</w:t>
      </w:r>
      <w:bookmarkEnd w:id="243"/>
    </w:p>
    <w:p w:rsidR="007C5297" w:rsidRPr="00FC48B5" w:rsidRDefault="007C5297" w:rsidP="00B51B51">
      <w:pPr>
        <w:widowControl w:val="0"/>
        <w:rPr>
          <w:rFonts w:cs="Arial"/>
          <w:szCs w:val="22"/>
        </w:rPr>
      </w:pPr>
    </w:p>
    <w:p w:rsidR="007E2DF9" w:rsidRPr="00FC48B5" w:rsidRDefault="003C3418" w:rsidP="00B51B51">
      <w:pPr>
        <w:widowControl w:val="0"/>
        <w:rPr>
          <w:rFonts w:cs="Arial"/>
          <w:szCs w:val="22"/>
        </w:rPr>
      </w:pPr>
      <w:r w:rsidRPr="00FC48B5">
        <w:rPr>
          <w:rFonts w:cs="Arial"/>
          <w:szCs w:val="22"/>
        </w:rPr>
        <w:t xml:space="preserve">En el estudio desarrollado por IPLA el año 1996, se estimó la demanda de aguas del sector minero a partir de la información de los </w:t>
      </w:r>
      <w:r w:rsidR="00B657D1" w:rsidRPr="00FC48B5">
        <w:rPr>
          <w:rFonts w:cs="Arial"/>
          <w:szCs w:val="22"/>
        </w:rPr>
        <w:t xml:space="preserve">derechos de aprovechamientos de aguas constituidos </w:t>
      </w:r>
      <w:r w:rsidRPr="00FC48B5">
        <w:rPr>
          <w:rFonts w:cs="Arial"/>
          <w:szCs w:val="22"/>
        </w:rPr>
        <w:t>hasta el año 1993.</w:t>
      </w:r>
    </w:p>
    <w:p w:rsidR="00C42DB6" w:rsidRPr="00FC48B5" w:rsidRDefault="00C42DB6" w:rsidP="00B51B51">
      <w:pPr>
        <w:widowControl w:val="0"/>
        <w:rPr>
          <w:rFonts w:cs="Arial"/>
          <w:szCs w:val="22"/>
        </w:rPr>
      </w:pPr>
    </w:p>
    <w:p w:rsidR="00B657D1" w:rsidRPr="00FC48B5" w:rsidRDefault="00586A26" w:rsidP="00B51B51">
      <w:pPr>
        <w:widowControl w:val="0"/>
        <w:rPr>
          <w:rFonts w:cs="Arial"/>
          <w:szCs w:val="22"/>
        </w:rPr>
      </w:pPr>
      <w:r w:rsidRPr="00FC48B5">
        <w:rPr>
          <w:rFonts w:cs="Arial"/>
          <w:szCs w:val="22"/>
        </w:rPr>
        <w:t>Por su parte en el estudio desarrollado por Ayala y Cabrera Asociados Ltda.</w:t>
      </w:r>
      <w:r w:rsidR="00537151" w:rsidRPr="00FC48B5">
        <w:rPr>
          <w:rFonts w:cs="Arial"/>
          <w:szCs w:val="22"/>
        </w:rPr>
        <w:t>,</w:t>
      </w:r>
      <w:r w:rsidRPr="00FC48B5">
        <w:rPr>
          <w:rFonts w:cs="Arial"/>
          <w:szCs w:val="22"/>
        </w:rPr>
        <w:t xml:space="preserve"> </w:t>
      </w:r>
      <w:r w:rsidR="003C3418" w:rsidRPr="00FC48B5">
        <w:rPr>
          <w:rFonts w:cs="Arial"/>
          <w:szCs w:val="22"/>
        </w:rPr>
        <w:t>se aplicó una metodología diferencial p</w:t>
      </w:r>
      <w:r w:rsidR="0093075C" w:rsidRPr="00FC48B5">
        <w:rPr>
          <w:rFonts w:cs="Arial"/>
          <w:szCs w:val="22"/>
        </w:rPr>
        <w:t>ara la estimación de la demanda a partir de</w:t>
      </w:r>
      <w:r w:rsidR="00251AE0" w:rsidRPr="00FC48B5">
        <w:rPr>
          <w:rFonts w:cs="Arial"/>
          <w:szCs w:val="22"/>
        </w:rPr>
        <w:t xml:space="preserve"> una</w:t>
      </w:r>
      <w:r w:rsidR="00B657D1" w:rsidRPr="00FC48B5">
        <w:rPr>
          <w:rFonts w:cs="Arial"/>
          <w:szCs w:val="22"/>
        </w:rPr>
        <w:t xml:space="preserve"> proyección de las demandas estimadas el año 1993 por IPLA </w:t>
      </w:r>
      <w:r w:rsidR="00251AE0" w:rsidRPr="00FC48B5">
        <w:rPr>
          <w:rFonts w:cs="Arial"/>
          <w:szCs w:val="22"/>
        </w:rPr>
        <w:t>en función de la</w:t>
      </w:r>
      <w:r w:rsidR="00B657D1" w:rsidRPr="00FC48B5">
        <w:rPr>
          <w:rFonts w:cs="Arial"/>
          <w:szCs w:val="22"/>
        </w:rPr>
        <w:t xml:space="preserve"> variación de Producto Interno Bruto.</w:t>
      </w:r>
    </w:p>
    <w:p w:rsidR="0007292D" w:rsidRPr="00FC48B5" w:rsidRDefault="0007292D" w:rsidP="00B51B51">
      <w:pPr>
        <w:widowControl w:val="0"/>
        <w:rPr>
          <w:rFonts w:cs="Arial"/>
          <w:szCs w:val="22"/>
        </w:rPr>
      </w:pPr>
    </w:p>
    <w:p w:rsidR="00586A26" w:rsidRDefault="00586A26" w:rsidP="00B51B51">
      <w:pPr>
        <w:widowControl w:val="0"/>
        <w:rPr>
          <w:rFonts w:cs="Arial"/>
          <w:szCs w:val="22"/>
        </w:rPr>
      </w:pPr>
      <w:r w:rsidRPr="00FC48B5">
        <w:rPr>
          <w:rFonts w:cs="Arial"/>
          <w:szCs w:val="22"/>
        </w:rPr>
        <w:t xml:space="preserve">Considerando ambas fuentes de información en </w:t>
      </w:r>
      <w:smartTag w:uri="urn:schemas-microsoft-com:office:smarttags" w:element="PersonName">
        <w:smartTagPr>
          <w:attr w:name="ProductID" w:val="la ￼￼￼￼￼￼￼￼￼￼￼￼￼￼￼￼￼￼￼￼￼￼￼￼￼￼￼￼￼￼￼￼￼￼￼￼￼￼￼￼￼Tabla"/>
        </w:smartTagPr>
        <w:r w:rsidRPr="00FC48B5">
          <w:rPr>
            <w:rFonts w:cs="Arial"/>
            <w:szCs w:val="22"/>
          </w:rPr>
          <w:t xml:space="preserve">la </w:t>
        </w:r>
        <w:r w:rsidR="00EA26AA" w:rsidRPr="00FC48B5">
          <w:rPr>
            <w:rFonts w:cs="Arial"/>
            <w:szCs w:val="22"/>
          </w:rPr>
          <w:fldChar w:fldCharType="begin"/>
        </w:r>
        <w:r w:rsidR="00EA26AA" w:rsidRPr="00FC48B5">
          <w:rPr>
            <w:rFonts w:cs="Arial"/>
            <w:szCs w:val="22"/>
          </w:rPr>
          <w:instrText xml:space="preserve"> REF _Ref335060802 \h </w:instrText>
        </w:r>
        <w:r w:rsidR="0064704C" w:rsidRPr="00FC48B5">
          <w:rPr>
            <w:rFonts w:cs="Arial"/>
            <w:szCs w:val="22"/>
          </w:rPr>
        </w:r>
        <w:r w:rsidR="00C15F48" w:rsidRPr="00FC48B5">
          <w:rPr>
            <w:rFonts w:cs="Arial"/>
            <w:szCs w:val="22"/>
          </w:rPr>
          <w:instrText xml:space="preserve"> \* MERGEFORMAT </w:instrText>
        </w:r>
        <w:r w:rsidR="00EA26AA" w:rsidRPr="00FC48B5">
          <w:rPr>
            <w:rFonts w:cs="Arial"/>
            <w:szCs w:val="22"/>
          </w:rPr>
          <w:fldChar w:fldCharType="separate"/>
        </w:r>
        <w:r w:rsidR="00264070" w:rsidRPr="00962D24">
          <w:t>Tabla</w:t>
        </w:r>
      </w:smartTag>
      <w:r w:rsidR="00264070" w:rsidRPr="00962D24">
        <w:t xml:space="preserve"> </w:t>
      </w:r>
      <w:r w:rsidR="00264070">
        <w:rPr>
          <w:noProof/>
        </w:rPr>
        <w:t>5.20</w:t>
      </w:r>
      <w:r w:rsidR="00EA26AA" w:rsidRPr="00FC48B5">
        <w:rPr>
          <w:rFonts w:cs="Arial"/>
          <w:szCs w:val="22"/>
        </w:rPr>
        <w:fldChar w:fldCharType="end"/>
      </w:r>
      <w:r w:rsidR="00EA26AA" w:rsidRPr="00FC48B5">
        <w:rPr>
          <w:rFonts w:cs="Arial"/>
          <w:szCs w:val="22"/>
        </w:rPr>
        <w:t xml:space="preserve"> </w:t>
      </w:r>
      <w:r w:rsidRPr="00FC48B5">
        <w:rPr>
          <w:rFonts w:cs="Arial"/>
          <w:szCs w:val="22"/>
        </w:rPr>
        <w:t xml:space="preserve">se presenta </w:t>
      </w:r>
      <w:r w:rsidR="00C9171D" w:rsidRPr="00FC48B5">
        <w:rPr>
          <w:rFonts w:cs="Arial"/>
          <w:szCs w:val="22"/>
        </w:rPr>
        <w:t xml:space="preserve">un resumen de </w:t>
      </w:r>
      <w:r w:rsidRPr="00FC48B5">
        <w:rPr>
          <w:rFonts w:cs="Arial"/>
          <w:szCs w:val="22"/>
        </w:rPr>
        <w:t xml:space="preserve">la demanda de agua </w:t>
      </w:r>
      <w:r w:rsidR="004C2EBB" w:rsidRPr="00FC48B5">
        <w:rPr>
          <w:rFonts w:cs="Arial"/>
          <w:szCs w:val="22"/>
        </w:rPr>
        <w:t xml:space="preserve">promedio mensual </w:t>
      </w:r>
      <w:r w:rsidRPr="00FC48B5">
        <w:rPr>
          <w:rFonts w:cs="Arial"/>
          <w:szCs w:val="22"/>
        </w:rPr>
        <w:t>para minería para dos c</w:t>
      </w:r>
      <w:r w:rsidR="00621BF1" w:rsidRPr="00FC48B5">
        <w:rPr>
          <w:rFonts w:cs="Arial"/>
          <w:szCs w:val="22"/>
        </w:rPr>
        <w:t>ortes temporales, años 1993 y 2005</w:t>
      </w:r>
      <w:r w:rsidRPr="00FC48B5">
        <w:rPr>
          <w:rFonts w:cs="Arial"/>
          <w:szCs w:val="22"/>
        </w:rPr>
        <w:t>.</w:t>
      </w:r>
    </w:p>
    <w:p w:rsidR="007E472C" w:rsidRPr="00962D24" w:rsidRDefault="007E472C" w:rsidP="00B51B51">
      <w:pPr>
        <w:widowControl w:val="0"/>
        <w:rPr>
          <w:rFonts w:cs="Arial"/>
          <w:szCs w:val="22"/>
        </w:rPr>
      </w:pPr>
    </w:p>
    <w:p w:rsidR="004950D2" w:rsidRPr="00962D24" w:rsidRDefault="004950D2" w:rsidP="00B51B51">
      <w:pPr>
        <w:pStyle w:val="Epgrafe"/>
        <w:widowControl w:val="0"/>
      </w:pPr>
      <w:bookmarkStart w:id="244" w:name="_Ref335060802"/>
      <w:r w:rsidRPr="00962D24">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20</w:t>
      </w:r>
      <w:r w:rsidR="007F3102">
        <w:fldChar w:fldCharType="end"/>
      </w:r>
      <w:bookmarkEnd w:id="244"/>
      <w:r w:rsidRPr="00962D24">
        <w:t xml:space="preserve"> Demandas Mineras</w:t>
      </w:r>
      <w:r w:rsidR="00EC3A82" w:rsidRPr="00962D24">
        <w:t xml:space="preserve"> Informadas en Estudios Previos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8"/>
        <w:gridCol w:w="1377"/>
        <w:gridCol w:w="1437"/>
      </w:tblGrid>
      <w:tr w:rsidR="004C2EBB" w:rsidRPr="007C2214">
        <w:trPr>
          <w:cantSplit/>
          <w:jc w:val="center"/>
        </w:trPr>
        <w:tc>
          <w:tcPr>
            <w:tcW w:w="3508" w:type="dxa"/>
            <w:vAlign w:val="center"/>
          </w:tcPr>
          <w:p w:rsidR="004C2EBB" w:rsidRPr="00F5501D" w:rsidRDefault="004C2EBB" w:rsidP="00B51B51">
            <w:pPr>
              <w:widowControl w:val="0"/>
              <w:jc w:val="center"/>
              <w:rPr>
                <w:rFonts w:cs="Arial"/>
                <w:sz w:val="16"/>
                <w:szCs w:val="18"/>
              </w:rPr>
            </w:pPr>
            <w:r w:rsidRPr="00F5501D">
              <w:rPr>
                <w:rFonts w:cs="Arial"/>
                <w:sz w:val="16"/>
                <w:szCs w:val="18"/>
              </w:rPr>
              <w:t>Cuenca</w:t>
            </w:r>
          </w:p>
        </w:tc>
        <w:tc>
          <w:tcPr>
            <w:tcW w:w="1377" w:type="dxa"/>
          </w:tcPr>
          <w:p w:rsidR="004C2EBB" w:rsidRPr="00F5501D" w:rsidRDefault="004C2EBB" w:rsidP="00B51B51">
            <w:pPr>
              <w:widowControl w:val="0"/>
              <w:jc w:val="center"/>
              <w:rPr>
                <w:rFonts w:cs="Arial"/>
                <w:sz w:val="16"/>
                <w:szCs w:val="18"/>
              </w:rPr>
            </w:pPr>
            <w:r w:rsidRPr="00F5501D">
              <w:rPr>
                <w:rFonts w:cs="Arial"/>
                <w:sz w:val="16"/>
                <w:szCs w:val="18"/>
              </w:rPr>
              <w:t>Año 1993 (l/s</w:t>
            </w:r>
          </w:p>
        </w:tc>
        <w:tc>
          <w:tcPr>
            <w:tcW w:w="1437" w:type="dxa"/>
          </w:tcPr>
          <w:p w:rsidR="004C2EBB" w:rsidRPr="00F5501D" w:rsidRDefault="004C2EBB" w:rsidP="00B51B51">
            <w:pPr>
              <w:widowControl w:val="0"/>
              <w:jc w:val="center"/>
              <w:rPr>
                <w:rFonts w:cs="Arial"/>
                <w:sz w:val="16"/>
                <w:szCs w:val="18"/>
              </w:rPr>
            </w:pPr>
            <w:r w:rsidRPr="00F5501D">
              <w:rPr>
                <w:rFonts w:cs="Arial"/>
                <w:sz w:val="16"/>
                <w:szCs w:val="18"/>
              </w:rPr>
              <w:t>Año 2005 (l/s)</w:t>
            </w:r>
          </w:p>
        </w:tc>
      </w:tr>
      <w:tr w:rsidR="004C2EBB" w:rsidRPr="007C2214">
        <w:trPr>
          <w:cantSplit/>
          <w:jc w:val="center"/>
        </w:trPr>
        <w:tc>
          <w:tcPr>
            <w:tcW w:w="3508" w:type="dxa"/>
            <w:vAlign w:val="center"/>
          </w:tcPr>
          <w:p w:rsidR="004C2EBB" w:rsidRPr="00F5501D" w:rsidRDefault="004C2EBB" w:rsidP="00B51B51">
            <w:pPr>
              <w:widowControl w:val="0"/>
              <w:rPr>
                <w:rFonts w:cs="Arial"/>
                <w:sz w:val="16"/>
                <w:szCs w:val="18"/>
              </w:rPr>
            </w:pPr>
            <w:r w:rsidRPr="00F5501D">
              <w:rPr>
                <w:rFonts w:cs="Arial"/>
                <w:sz w:val="16"/>
                <w:szCs w:val="18"/>
              </w:rPr>
              <w:t>Río Maipo (0</w:t>
            </w:r>
            <w:r w:rsidR="00621BF1" w:rsidRPr="00F5501D">
              <w:rPr>
                <w:rFonts w:cs="Arial"/>
                <w:sz w:val="16"/>
                <w:szCs w:val="18"/>
              </w:rPr>
              <w:t>5</w:t>
            </w:r>
            <w:r w:rsidRPr="00F5501D">
              <w:rPr>
                <w:rFonts w:cs="Arial"/>
                <w:sz w:val="16"/>
                <w:szCs w:val="18"/>
              </w:rPr>
              <w:t>71)</w:t>
            </w:r>
          </w:p>
        </w:tc>
        <w:tc>
          <w:tcPr>
            <w:tcW w:w="1377" w:type="dxa"/>
          </w:tcPr>
          <w:p w:rsidR="004C2EBB" w:rsidRPr="00F5501D" w:rsidRDefault="004C2EBB" w:rsidP="00B51B51">
            <w:pPr>
              <w:widowControl w:val="0"/>
              <w:jc w:val="center"/>
              <w:rPr>
                <w:rFonts w:cs="Arial"/>
                <w:sz w:val="16"/>
                <w:szCs w:val="18"/>
              </w:rPr>
            </w:pPr>
            <w:r w:rsidRPr="00F5501D">
              <w:rPr>
                <w:rFonts w:cs="Arial"/>
                <w:sz w:val="16"/>
                <w:szCs w:val="18"/>
              </w:rPr>
              <w:t>0</w:t>
            </w:r>
          </w:p>
        </w:tc>
        <w:tc>
          <w:tcPr>
            <w:tcW w:w="1437" w:type="dxa"/>
          </w:tcPr>
          <w:p w:rsidR="004C2EBB" w:rsidRPr="00F5501D" w:rsidRDefault="00C15F48" w:rsidP="00B51B51">
            <w:pPr>
              <w:widowControl w:val="0"/>
              <w:jc w:val="center"/>
              <w:rPr>
                <w:rFonts w:cs="Arial"/>
                <w:sz w:val="16"/>
                <w:szCs w:val="18"/>
              </w:rPr>
            </w:pPr>
            <w:r w:rsidRPr="00F5501D">
              <w:rPr>
                <w:rFonts w:cs="Arial"/>
                <w:sz w:val="16"/>
                <w:szCs w:val="18"/>
              </w:rPr>
              <w:t>0</w:t>
            </w:r>
          </w:p>
        </w:tc>
      </w:tr>
      <w:tr w:rsidR="004C2EBB" w:rsidRPr="007C2214">
        <w:trPr>
          <w:cantSplit/>
          <w:jc w:val="center"/>
        </w:trPr>
        <w:tc>
          <w:tcPr>
            <w:tcW w:w="3508" w:type="dxa"/>
            <w:vAlign w:val="center"/>
          </w:tcPr>
          <w:p w:rsidR="004C2EBB" w:rsidRPr="00F5501D" w:rsidRDefault="004C2EBB" w:rsidP="00B51B51">
            <w:pPr>
              <w:widowControl w:val="0"/>
              <w:rPr>
                <w:rFonts w:cs="Arial"/>
                <w:sz w:val="16"/>
                <w:szCs w:val="18"/>
              </w:rPr>
            </w:pPr>
            <w:r w:rsidRPr="00F5501D">
              <w:rPr>
                <w:rFonts w:cs="Arial"/>
                <w:sz w:val="16"/>
                <w:szCs w:val="18"/>
              </w:rPr>
              <w:t>Río Rapel (060)</w:t>
            </w:r>
          </w:p>
        </w:tc>
        <w:tc>
          <w:tcPr>
            <w:tcW w:w="1377" w:type="dxa"/>
          </w:tcPr>
          <w:p w:rsidR="004C2EBB" w:rsidRPr="00F5501D" w:rsidRDefault="004C2EBB" w:rsidP="00B51B51">
            <w:pPr>
              <w:widowControl w:val="0"/>
              <w:jc w:val="center"/>
              <w:rPr>
                <w:rFonts w:cs="Arial"/>
                <w:sz w:val="16"/>
                <w:szCs w:val="18"/>
              </w:rPr>
            </w:pPr>
            <w:r w:rsidRPr="00F5501D">
              <w:rPr>
                <w:rFonts w:cs="Arial"/>
                <w:sz w:val="16"/>
                <w:szCs w:val="18"/>
              </w:rPr>
              <w:t>7.211</w:t>
            </w:r>
          </w:p>
        </w:tc>
        <w:tc>
          <w:tcPr>
            <w:tcW w:w="1437" w:type="dxa"/>
          </w:tcPr>
          <w:p w:rsidR="004C2EBB" w:rsidRPr="00F5501D" w:rsidRDefault="00C15F48" w:rsidP="00B51B51">
            <w:pPr>
              <w:widowControl w:val="0"/>
              <w:jc w:val="center"/>
              <w:rPr>
                <w:rFonts w:cs="Arial"/>
                <w:sz w:val="16"/>
                <w:szCs w:val="18"/>
              </w:rPr>
            </w:pPr>
            <w:r w:rsidRPr="00F5501D">
              <w:rPr>
                <w:rFonts w:cs="Arial"/>
                <w:sz w:val="16"/>
                <w:szCs w:val="18"/>
              </w:rPr>
              <w:t>9.396</w:t>
            </w:r>
          </w:p>
        </w:tc>
      </w:tr>
      <w:tr w:rsidR="004C2EBB" w:rsidRPr="007C2214">
        <w:trPr>
          <w:cantSplit/>
          <w:jc w:val="center"/>
        </w:trPr>
        <w:tc>
          <w:tcPr>
            <w:tcW w:w="3508" w:type="dxa"/>
            <w:vAlign w:val="center"/>
          </w:tcPr>
          <w:p w:rsidR="004C2EBB" w:rsidRPr="00F5501D" w:rsidRDefault="004C2EBB" w:rsidP="00B51B51">
            <w:pPr>
              <w:widowControl w:val="0"/>
              <w:jc w:val="left"/>
              <w:rPr>
                <w:rFonts w:cs="Arial"/>
                <w:sz w:val="16"/>
                <w:szCs w:val="18"/>
              </w:rPr>
            </w:pPr>
            <w:r w:rsidRPr="00F5501D">
              <w:rPr>
                <w:rFonts w:cs="Arial"/>
                <w:sz w:val="16"/>
                <w:szCs w:val="18"/>
              </w:rPr>
              <w:t>Costeras entre Maipo y Rapel (061)</w:t>
            </w:r>
          </w:p>
        </w:tc>
        <w:tc>
          <w:tcPr>
            <w:tcW w:w="1377" w:type="dxa"/>
          </w:tcPr>
          <w:p w:rsidR="004C2EBB" w:rsidRPr="00F5501D" w:rsidRDefault="004C2EBB" w:rsidP="00B51B51">
            <w:pPr>
              <w:widowControl w:val="0"/>
              <w:jc w:val="center"/>
              <w:rPr>
                <w:rFonts w:cs="Arial"/>
                <w:sz w:val="16"/>
                <w:szCs w:val="18"/>
              </w:rPr>
            </w:pPr>
            <w:r w:rsidRPr="00F5501D">
              <w:rPr>
                <w:rFonts w:cs="Arial"/>
                <w:sz w:val="16"/>
                <w:szCs w:val="18"/>
              </w:rPr>
              <w:t>0</w:t>
            </w:r>
          </w:p>
        </w:tc>
        <w:tc>
          <w:tcPr>
            <w:tcW w:w="1437" w:type="dxa"/>
          </w:tcPr>
          <w:p w:rsidR="004C2EBB" w:rsidRPr="00F5501D" w:rsidRDefault="00C15F48" w:rsidP="00B51B51">
            <w:pPr>
              <w:widowControl w:val="0"/>
              <w:jc w:val="center"/>
              <w:rPr>
                <w:rFonts w:cs="Arial"/>
                <w:sz w:val="16"/>
                <w:szCs w:val="18"/>
              </w:rPr>
            </w:pPr>
            <w:r w:rsidRPr="00F5501D">
              <w:rPr>
                <w:rFonts w:cs="Arial"/>
                <w:sz w:val="16"/>
                <w:szCs w:val="18"/>
              </w:rPr>
              <w:t>01</w:t>
            </w:r>
          </w:p>
        </w:tc>
      </w:tr>
      <w:tr w:rsidR="004C2EBB" w:rsidRPr="007C2214">
        <w:trPr>
          <w:cantSplit/>
          <w:jc w:val="center"/>
        </w:trPr>
        <w:tc>
          <w:tcPr>
            <w:tcW w:w="3508" w:type="dxa"/>
            <w:vAlign w:val="center"/>
          </w:tcPr>
          <w:p w:rsidR="004C2EBB" w:rsidRPr="00F5501D" w:rsidRDefault="004C2EBB" w:rsidP="00B51B51">
            <w:pPr>
              <w:widowControl w:val="0"/>
              <w:rPr>
                <w:rFonts w:cs="Arial"/>
                <w:sz w:val="16"/>
                <w:szCs w:val="18"/>
              </w:rPr>
            </w:pPr>
            <w:r w:rsidRPr="00F5501D">
              <w:rPr>
                <w:rFonts w:cs="Arial"/>
                <w:sz w:val="16"/>
                <w:szCs w:val="18"/>
              </w:rPr>
              <w:t>Total</w:t>
            </w:r>
          </w:p>
        </w:tc>
        <w:tc>
          <w:tcPr>
            <w:tcW w:w="1377" w:type="dxa"/>
          </w:tcPr>
          <w:p w:rsidR="004C2EBB" w:rsidRPr="00F5501D" w:rsidRDefault="00C15F48" w:rsidP="00B51B51">
            <w:pPr>
              <w:widowControl w:val="0"/>
              <w:jc w:val="center"/>
              <w:rPr>
                <w:rFonts w:cs="Arial"/>
                <w:sz w:val="16"/>
                <w:szCs w:val="18"/>
              </w:rPr>
            </w:pPr>
            <w:r w:rsidRPr="00F5501D">
              <w:rPr>
                <w:rFonts w:cs="Arial"/>
                <w:sz w:val="16"/>
                <w:szCs w:val="18"/>
              </w:rPr>
              <w:t>7.211</w:t>
            </w:r>
          </w:p>
        </w:tc>
        <w:tc>
          <w:tcPr>
            <w:tcW w:w="1437" w:type="dxa"/>
          </w:tcPr>
          <w:p w:rsidR="004C2EBB" w:rsidRPr="00F5501D" w:rsidRDefault="00C15F48" w:rsidP="00B51B51">
            <w:pPr>
              <w:widowControl w:val="0"/>
              <w:jc w:val="center"/>
              <w:rPr>
                <w:rFonts w:cs="Arial"/>
                <w:sz w:val="16"/>
                <w:szCs w:val="18"/>
              </w:rPr>
            </w:pPr>
            <w:r w:rsidRPr="00F5501D">
              <w:rPr>
                <w:rFonts w:cs="Arial"/>
                <w:sz w:val="16"/>
                <w:szCs w:val="18"/>
              </w:rPr>
              <w:t>9.396</w:t>
            </w:r>
          </w:p>
        </w:tc>
      </w:tr>
    </w:tbl>
    <w:p w:rsidR="0093075C" w:rsidRPr="00962D24" w:rsidRDefault="0093075C" w:rsidP="00B51B51">
      <w:pPr>
        <w:widowControl w:val="0"/>
        <w:ind w:left="284"/>
        <w:rPr>
          <w:rFonts w:cs="Arial"/>
          <w:sz w:val="18"/>
          <w:szCs w:val="18"/>
        </w:rPr>
      </w:pPr>
    </w:p>
    <w:p w:rsidR="000C7772" w:rsidRDefault="00C15F48" w:rsidP="00B51B51">
      <w:pPr>
        <w:widowControl w:val="0"/>
        <w:rPr>
          <w:rFonts w:cs="Arial"/>
          <w:szCs w:val="22"/>
        </w:rPr>
      </w:pPr>
      <w:r w:rsidRPr="00962D24">
        <w:rPr>
          <w:rFonts w:cs="Arial"/>
          <w:szCs w:val="22"/>
        </w:rPr>
        <w:t>Por otra parte e</w:t>
      </w:r>
      <w:r w:rsidR="000C7772" w:rsidRPr="00962D24">
        <w:rPr>
          <w:rFonts w:cs="Arial"/>
          <w:szCs w:val="22"/>
        </w:rPr>
        <w:t xml:space="preserve">n el </w:t>
      </w:r>
      <w:r w:rsidR="006A4BDD" w:rsidRPr="00962D24">
        <w:rPr>
          <w:rFonts w:cs="Arial"/>
          <w:szCs w:val="22"/>
        </w:rPr>
        <w:t>estudio desarrollado por Proust Consultores el año 2008 denominado Derechos, Extracciones y Tasas Unitarias de Consumo de Agua del Sector Minero Regiones Centro Norte de Chile” se presenta un análisis de los derechos de agua y extracciones al año 2006 de las principales empresas mineras de la región.</w:t>
      </w:r>
    </w:p>
    <w:p w:rsidR="00D81FE7" w:rsidRPr="00962D24" w:rsidRDefault="00D81FE7" w:rsidP="00B51B51">
      <w:pPr>
        <w:widowControl w:val="0"/>
        <w:rPr>
          <w:rFonts w:cs="Arial"/>
          <w:szCs w:val="22"/>
        </w:rPr>
      </w:pPr>
    </w:p>
    <w:p w:rsidR="00887C1F" w:rsidRPr="00962D24" w:rsidRDefault="00FC48B5" w:rsidP="00B51B51">
      <w:pPr>
        <w:pStyle w:val="Epgrafe"/>
        <w:widowControl w:val="0"/>
      </w:pPr>
      <w:r>
        <w:br w:type="page"/>
      </w:r>
      <w:r w:rsidR="00887C1F" w:rsidRPr="00962D24">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21</w:t>
      </w:r>
      <w:r w:rsidR="007F3102">
        <w:fldChar w:fldCharType="end"/>
      </w:r>
      <w:r w:rsidR="00887C1F" w:rsidRPr="00962D24">
        <w:t xml:space="preserve"> Derechos de Aprovechamientos y Extracciones Mineras Año 2006</w:t>
      </w:r>
    </w:p>
    <w:tbl>
      <w:tblPr>
        <w:tblW w:w="9568" w:type="dxa"/>
        <w:tblLayout w:type="fixed"/>
        <w:tblCellMar>
          <w:left w:w="28" w:type="dxa"/>
          <w:right w:w="28" w:type="dxa"/>
        </w:tblCellMar>
        <w:tblLook w:val="0000" w:firstRow="0" w:lastRow="0" w:firstColumn="0" w:lastColumn="0" w:noHBand="0" w:noVBand="0"/>
      </w:tblPr>
      <w:tblGrid>
        <w:gridCol w:w="1344"/>
        <w:gridCol w:w="1024"/>
        <w:gridCol w:w="768"/>
        <w:gridCol w:w="672"/>
        <w:gridCol w:w="967"/>
        <w:gridCol w:w="827"/>
        <w:gridCol w:w="546"/>
        <w:gridCol w:w="900"/>
        <w:gridCol w:w="830"/>
        <w:gridCol w:w="902"/>
        <w:gridCol w:w="788"/>
      </w:tblGrid>
      <w:tr w:rsidR="00187A94" w:rsidRPr="00F5501D">
        <w:tc>
          <w:tcPr>
            <w:tcW w:w="1344" w:type="dxa"/>
            <w:tcBorders>
              <w:top w:val="nil"/>
              <w:left w:val="nil"/>
              <w:bottom w:val="nil"/>
              <w:right w:val="nil"/>
            </w:tcBorders>
            <w:shd w:val="clear" w:color="auto" w:fill="auto"/>
            <w:noWrap/>
            <w:vAlign w:val="bottom"/>
          </w:tcPr>
          <w:p w:rsidR="00187A94" w:rsidRPr="00F5501D" w:rsidRDefault="00187A94" w:rsidP="00B51B51">
            <w:pPr>
              <w:widowControl w:val="0"/>
              <w:jc w:val="left"/>
              <w:rPr>
                <w:rFonts w:cs="Arial"/>
                <w:sz w:val="14"/>
                <w:szCs w:val="16"/>
              </w:rPr>
            </w:pPr>
          </w:p>
        </w:tc>
        <w:tc>
          <w:tcPr>
            <w:tcW w:w="6534"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187A94" w:rsidRPr="00F5501D" w:rsidRDefault="00187A94" w:rsidP="00B51B51">
            <w:pPr>
              <w:widowControl w:val="0"/>
              <w:jc w:val="center"/>
              <w:rPr>
                <w:rFonts w:cs="Arial"/>
                <w:sz w:val="14"/>
                <w:szCs w:val="16"/>
              </w:rPr>
            </w:pPr>
            <w:r w:rsidRPr="00F5501D">
              <w:rPr>
                <w:rFonts w:cs="Arial"/>
                <w:sz w:val="14"/>
                <w:szCs w:val="16"/>
              </w:rPr>
              <w:t>Catastro Público de Aguas</w:t>
            </w:r>
          </w:p>
        </w:tc>
        <w:tc>
          <w:tcPr>
            <w:tcW w:w="1690" w:type="dxa"/>
            <w:gridSpan w:val="2"/>
            <w:tcBorders>
              <w:top w:val="single" w:sz="4" w:space="0" w:color="auto"/>
              <w:left w:val="nil"/>
              <w:bottom w:val="single" w:sz="4" w:space="0" w:color="auto"/>
              <w:right w:val="single" w:sz="4" w:space="0" w:color="auto"/>
            </w:tcBorders>
            <w:shd w:val="clear" w:color="auto" w:fill="auto"/>
            <w:noWrap/>
            <w:vAlign w:val="bottom"/>
          </w:tcPr>
          <w:p w:rsidR="00187A94" w:rsidRPr="00F5501D" w:rsidRDefault="00187A94" w:rsidP="00B51B51">
            <w:pPr>
              <w:widowControl w:val="0"/>
              <w:jc w:val="center"/>
              <w:rPr>
                <w:rFonts w:cs="Arial"/>
                <w:sz w:val="14"/>
                <w:szCs w:val="16"/>
              </w:rPr>
            </w:pPr>
            <w:r w:rsidRPr="00F5501D">
              <w:rPr>
                <w:rFonts w:cs="Arial"/>
                <w:sz w:val="14"/>
                <w:szCs w:val="16"/>
              </w:rPr>
              <w:t>Empresas</w:t>
            </w:r>
          </w:p>
        </w:tc>
      </w:tr>
      <w:tr w:rsidR="00187A94" w:rsidRPr="00F5501D">
        <w:tc>
          <w:tcPr>
            <w:tcW w:w="134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Empresa</w:t>
            </w:r>
          </w:p>
        </w:tc>
        <w:tc>
          <w:tcPr>
            <w:tcW w:w="2464" w:type="dxa"/>
            <w:gridSpan w:val="3"/>
            <w:tcBorders>
              <w:top w:val="single" w:sz="4" w:space="0" w:color="auto"/>
              <w:left w:val="nil"/>
              <w:bottom w:val="single" w:sz="4" w:space="0" w:color="auto"/>
              <w:right w:val="single" w:sz="4" w:space="0" w:color="000000"/>
            </w:tcBorders>
            <w:shd w:val="clear" w:color="auto" w:fill="auto"/>
            <w:vAlign w:val="center"/>
          </w:tcPr>
          <w:p w:rsidR="00F5501D" w:rsidRDefault="00187A94" w:rsidP="00B51B51">
            <w:pPr>
              <w:widowControl w:val="0"/>
              <w:jc w:val="center"/>
              <w:rPr>
                <w:rFonts w:cs="Arial"/>
                <w:sz w:val="14"/>
                <w:szCs w:val="16"/>
              </w:rPr>
            </w:pPr>
            <w:r w:rsidRPr="00F5501D">
              <w:rPr>
                <w:rFonts w:cs="Arial"/>
                <w:sz w:val="14"/>
                <w:szCs w:val="16"/>
              </w:rPr>
              <w:t>Derechos Superficiales Consuntivos</w:t>
            </w:r>
          </w:p>
          <w:p w:rsidR="00187A94" w:rsidRPr="00F5501D" w:rsidRDefault="00187A94" w:rsidP="00B51B51">
            <w:pPr>
              <w:widowControl w:val="0"/>
              <w:jc w:val="center"/>
              <w:rPr>
                <w:rFonts w:cs="Arial"/>
                <w:sz w:val="14"/>
                <w:szCs w:val="16"/>
              </w:rPr>
            </w:pPr>
            <w:r w:rsidRPr="00F5501D">
              <w:rPr>
                <w:rFonts w:cs="Arial"/>
                <w:sz w:val="14"/>
                <w:szCs w:val="16"/>
              </w:rPr>
              <w:t>(l/s)</w:t>
            </w:r>
          </w:p>
        </w:tc>
        <w:tc>
          <w:tcPr>
            <w:tcW w:w="2340" w:type="dxa"/>
            <w:gridSpan w:val="3"/>
            <w:tcBorders>
              <w:top w:val="single" w:sz="4" w:space="0" w:color="auto"/>
              <w:left w:val="nil"/>
              <w:bottom w:val="single" w:sz="4" w:space="0" w:color="auto"/>
              <w:right w:val="single" w:sz="4" w:space="0" w:color="auto"/>
            </w:tcBorders>
            <w:shd w:val="clear" w:color="auto" w:fill="auto"/>
            <w:vAlign w:val="center"/>
          </w:tcPr>
          <w:p w:rsidR="00F5501D" w:rsidRDefault="00187A94" w:rsidP="00B51B51">
            <w:pPr>
              <w:widowControl w:val="0"/>
              <w:jc w:val="center"/>
              <w:rPr>
                <w:rFonts w:cs="Arial"/>
                <w:sz w:val="14"/>
                <w:szCs w:val="16"/>
              </w:rPr>
            </w:pPr>
            <w:r w:rsidRPr="00F5501D">
              <w:rPr>
                <w:rFonts w:cs="Arial"/>
                <w:sz w:val="14"/>
                <w:szCs w:val="16"/>
              </w:rPr>
              <w:t>Derechos Subterráneos Consuntivos</w:t>
            </w:r>
          </w:p>
          <w:p w:rsidR="00187A94" w:rsidRPr="00F5501D" w:rsidRDefault="00187A94" w:rsidP="00B51B51">
            <w:pPr>
              <w:widowControl w:val="0"/>
              <w:jc w:val="center"/>
              <w:rPr>
                <w:rFonts w:cs="Arial"/>
                <w:sz w:val="14"/>
                <w:szCs w:val="16"/>
              </w:rPr>
            </w:pPr>
            <w:r w:rsidRPr="00F5501D">
              <w:rPr>
                <w:rFonts w:cs="Arial"/>
                <w:sz w:val="14"/>
                <w:szCs w:val="16"/>
              </w:rPr>
              <w:t>(l/s)</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Derechos</w:t>
            </w:r>
          </w:p>
        </w:tc>
        <w:tc>
          <w:tcPr>
            <w:tcW w:w="830" w:type="dxa"/>
            <w:tcBorders>
              <w:top w:val="single" w:sz="4" w:space="0" w:color="auto"/>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Derechos</w:t>
            </w:r>
          </w:p>
        </w:tc>
        <w:tc>
          <w:tcPr>
            <w:tcW w:w="902" w:type="dxa"/>
            <w:tcBorders>
              <w:top w:val="single" w:sz="4" w:space="0" w:color="auto"/>
              <w:left w:val="nil"/>
              <w:bottom w:val="single" w:sz="4" w:space="0" w:color="auto"/>
              <w:right w:val="single" w:sz="4" w:space="0" w:color="auto"/>
            </w:tcBorders>
            <w:shd w:val="clear" w:color="auto" w:fill="auto"/>
            <w:noWrap/>
            <w:vAlign w:val="center"/>
          </w:tcPr>
          <w:p w:rsidR="00F5501D" w:rsidRDefault="00187A94" w:rsidP="00B51B51">
            <w:pPr>
              <w:widowControl w:val="0"/>
              <w:jc w:val="center"/>
              <w:rPr>
                <w:rFonts w:cs="Arial"/>
                <w:sz w:val="14"/>
                <w:szCs w:val="16"/>
              </w:rPr>
            </w:pPr>
            <w:r w:rsidRPr="00F5501D">
              <w:rPr>
                <w:rFonts w:cs="Arial"/>
                <w:sz w:val="14"/>
                <w:szCs w:val="16"/>
              </w:rPr>
              <w:t xml:space="preserve">Derechos </w:t>
            </w:r>
          </w:p>
          <w:p w:rsidR="00187A94" w:rsidRPr="00F5501D" w:rsidRDefault="00187A94" w:rsidP="00B51B51">
            <w:pPr>
              <w:widowControl w:val="0"/>
              <w:jc w:val="center"/>
              <w:rPr>
                <w:rFonts w:cs="Arial"/>
                <w:sz w:val="14"/>
                <w:szCs w:val="16"/>
              </w:rPr>
            </w:pPr>
            <w:r w:rsidRPr="00F5501D">
              <w:rPr>
                <w:rFonts w:cs="Arial"/>
                <w:sz w:val="14"/>
                <w:szCs w:val="16"/>
              </w:rPr>
              <w:t>Informados</w:t>
            </w:r>
          </w:p>
        </w:tc>
        <w:tc>
          <w:tcPr>
            <w:tcW w:w="788" w:type="dxa"/>
            <w:tcBorders>
              <w:top w:val="single" w:sz="4" w:space="0" w:color="auto"/>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Extracción</w:t>
            </w:r>
          </w:p>
        </w:tc>
      </w:tr>
      <w:tr w:rsidR="00187A94" w:rsidRPr="00F5501D">
        <w:tc>
          <w:tcPr>
            <w:tcW w:w="1344" w:type="dxa"/>
            <w:vMerge/>
            <w:tcBorders>
              <w:top w:val="single" w:sz="4" w:space="0" w:color="auto"/>
              <w:left w:val="single" w:sz="4" w:space="0" w:color="auto"/>
              <w:bottom w:val="single" w:sz="4" w:space="0" w:color="000000"/>
              <w:right w:val="single" w:sz="4" w:space="0" w:color="auto"/>
            </w:tcBorders>
            <w:vAlign w:val="center"/>
          </w:tcPr>
          <w:p w:rsidR="00187A94" w:rsidRPr="00F5501D" w:rsidRDefault="00187A94" w:rsidP="00B51B51">
            <w:pPr>
              <w:widowControl w:val="0"/>
              <w:jc w:val="center"/>
              <w:rPr>
                <w:rFonts w:cs="Arial"/>
                <w:sz w:val="14"/>
                <w:szCs w:val="16"/>
              </w:rPr>
            </w:pPr>
          </w:p>
        </w:tc>
        <w:tc>
          <w:tcPr>
            <w:tcW w:w="1024"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Permanentes</w:t>
            </w:r>
          </w:p>
        </w:tc>
        <w:tc>
          <w:tcPr>
            <w:tcW w:w="768"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Eventuales</w:t>
            </w:r>
          </w:p>
        </w:tc>
        <w:tc>
          <w:tcPr>
            <w:tcW w:w="672"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Total</w:t>
            </w:r>
          </w:p>
        </w:tc>
        <w:tc>
          <w:tcPr>
            <w:tcW w:w="967"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Permanentes</w:t>
            </w:r>
          </w:p>
        </w:tc>
        <w:tc>
          <w:tcPr>
            <w:tcW w:w="827"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Eventuales</w:t>
            </w:r>
          </w:p>
        </w:tc>
        <w:tc>
          <w:tcPr>
            <w:tcW w:w="546"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Total</w:t>
            </w:r>
          </w:p>
        </w:tc>
        <w:tc>
          <w:tcPr>
            <w:tcW w:w="900"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Consuntivos (l/s)</w:t>
            </w:r>
          </w:p>
        </w:tc>
        <w:tc>
          <w:tcPr>
            <w:tcW w:w="830"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No Consuntivos (l/s)</w:t>
            </w:r>
          </w:p>
        </w:tc>
        <w:tc>
          <w:tcPr>
            <w:tcW w:w="902" w:type="dxa"/>
            <w:tcBorders>
              <w:top w:val="nil"/>
              <w:left w:val="nil"/>
              <w:bottom w:val="single" w:sz="4" w:space="0" w:color="auto"/>
              <w:right w:val="single" w:sz="4" w:space="0" w:color="auto"/>
            </w:tcBorders>
            <w:shd w:val="clear" w:color="auto" w:fill="auto"/>
            <w:noWrap/>
            <w:vAlign w:val="center"/>
          </w:tcPr>
          <w:p w:rsidR="00F5501D" w:rsidRDefault="00187A94" w:rsidP="00B51B51">
            <w:pPr>
              <w:widowControl w:val="0"/>
              <w:jc w:val="center"/>
              <w:rPr>
                <w:rFonts w:cs="Arial"/>
                <w:sz w:val="14"/>
                <w:szCs w:val="16"/>
              </w:rPr>
            </w:pPr>
            <w:r w:rsidRPr="00F5501D">
              <w:rPr>
                <w:rFonts w:cs="Arial"/>
                <w:sz w:val="14"/>
                <w:szCs w:val="16"/>
              </w:rPr>
              <w:t>Consuntivos</w:t>
            </w:r>
          </w:p>
          <w:p w:rsidR="00187A94" w:rsidRPr="00F5501D" w:rsidRDefault="00187A94" w:rsidP="00B51B51">
            <w:pPr>
              <w:widowControl w:val="0"/>
              <w:jc w:val="center"/>
              <w:rPr>
                <w:rFonts w:cs="Arial"/>
                <w:sz w:val="14"/>
                <w:szCs w:val="16"/>
              </w:rPr>
            </w:pPr>
            <w:r w:rsidRPr="00F5501D">
              <w:rPr>
                <w:rFonts w:cs="Arial"/>
                <w:sz w:val="14"/>
                <w:szCs w:val="16"/>
              </w:rPr>
              <w:t>(l/s)</w:t>
            </w:r>
          </w:p>
        </w:tc>
        <w:tc>
          <w:tcPr>
            <w:tcW w:w="788"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Informada (l/s)</w:t>
            </w:r>
          </w:p>
        </w:tc>
      </w:tr>
      <w:tr w:rsidR="00187A94" w:rsidRPr="00F5501D">
        <w:tc>
          <w:tcPr>
            <w:tcW w:w="1344" w:type="dxa"/>
            <w:tcBorders>
              <w:top w:val="nil"/>
              <w:left w:val="single" w:sz="4" w:space="0" w:color="auto"/>
              <w:bottom w:val="single" w:sz="4" w:space="0" w:color="auto"/>
              <w:right w:val="single" w:sz="4" w:space="0" w:color="auto"/>
            </w:tcBorders>
            <w:shd w:val="clear" w:color="auto" w:fill="auto"/>
            <w:vAlign w:val="center"/>
          </w:tcPr>
          <w:p w:rsidR="00187A94" w:rsidRPr="00F5501D" w:rsidRDefault="004B567E" w:rsidP="00B51B51">
            <w:pPr>
              <w:widowControl w:val="0"/>
              <w:jc w:val="left"/>
              <w:rPr>
                <w:rFonts w:cs="Arial"/>
                <w:color w:val="000000"/>
                <w:sz w:val="14"/>
                <w:szCs w:val="16"/>
              </w:rPr>
            </w:pPr>
            <w:r w:rsidRPr="00F5501D">
              <w:rPr>
                <w:rFonts w:cs="Arial"/>
                <w:color w:val="000000"/>
                <w:sz w:val="14"/>
                <w:szCs w:val="16"/>
              </w:rPr>
              <w:t xml:space="preserve">Codelco Chile. </w:t>
            </w:r>
            <w:r w:rsidR="00DA61EE" w:rsidRPr="00F5501D">
              <w:rPr>
                <w:rFonts w:cs="Arial"/>
                <w:color w:val="000000"/>
                <w:sz w:val="14"/>
                <w:szCs w:val="16"/>
              </w:rPr>
              <w:t xml:space="preserve"> </w:t>
            </w:r>
            <w:r w:rsidRPr="00F5501D">
              <w:rPr>
                <w:rFonts w:cs="Arial"/>
                <w:color w:val="000000"/>
                <w:sz w:val="14"/>
                <w:szCs w:val="16"/>
              </w:rPr>
              <w:t>Divi</w:t>
            </w:r>
            <w:r w:rsidR="00DA61EE" w:rsidRPr="00F5501D">
              <w:rPr>
                <w:rFonts w:cs="Arial"/>
                <w:color w:val="000000"/>
                <w:sz w:val="14"/>
                <w:szCs w:val="16"/>
              </w:rPr>
              <w:t>-</w:t>
            </w:r>
            <w:r w:rsidRPr="00F5501D">
              <w:rPr>
                <w:rFonts w:cs="Arial"/>
                <w:color w:val="000000"/>
                <w:sz w:val="14"/>
                <w:szCs w:val="16"/>
              </w:rPr>
              <w:t>sión</w:t>
            </w:r>
            <w:r w:rsidR="00DA61EE" w:rsidRPr="00F5501D">
              <w:rPr>
                <w:rFonts w:cs="Arial"/>
                <w:color w:val="000000"/>
                <w:sz w:val="14"/>
                <w:szCs w:val="16"/>
              </w:rPr>
              <w:t xml:space="preserve"> </w:t>
            </w:r>
            <w:r w:rsidRPr="00F5501D">
              <w:rPr>
                <w:rFonts w:cs="Arial"/>
                <w:color w:val="000000"/>
                <w:sz w:val="14"/>
                <w:szCs w:val="16"/>
              </w:rPr>
              <w:t>El Teniente</w:t>
            </w:r>
          </w:p>
        </w:tc>
        <w:tc>
          <w:tcPr>
            <w:tcW w:w="1024"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1.200</w:t>
            </w:r>
          </w:p>
        </w:tc>
        <w:tc>
          <w:tcPr>
            <w:tcW w:w="768"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3.461</w:t>
            </w:r>
          </w:p>
        </w:tc>
        <w:tc>
          <w:tcPr>
            <w:tcW w:w="672"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4.661</w:t>
            </w:r>
          </w:p>
        </w:tc>
        <w:tc>
          <w:tcPr>
            <w:tcW w:w="967"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306</w:t>
            </w:r>
          </w:p>
        </w:tc>
        <w:tc>
          <w:tcPr>
            <w:tcW w:w="827" w:type="dxa"/>
            <w:tcBorders>
              <w:top w:val="nil"/>
              <w:left w:val="nil"/>
              <w:bottom w:val="single" w:sz="4" w:space="0" w:color="auto"/>
              <w:right w:val="single" w:sz="4" w:space="0" w:color="auto"/>
            </w:tcBorders>
            <w:shd w:val="clear" w:color="auto" w:fill="auto"/>
            <w:noWrap/>
            <w:vAlign w:val="center"/>
          </w:tcPr>
          <w:p w:rsidR="00187A94" w:rsidRPr="00F5501D" w:rsidRDefault="00187A94" w:rsidP="00B51B51">
            <w:pPr>
              <w:widowControl w:val="0"/>
              <w:jc w:val="center"/>
              <w:rPr>
                <w:rFonts w:cs="Arial"/>
                <w:sz w:val="14"/>
                <w:szCs w:val="16"/>
              </w:rPr>
            </w:pPr>
            <w:r w:rsidRPr="00F5501D">
              <w:rPr>
                <w:rFonts w:cs="Arial"/>
                <w:sz w:val="14"/>
                <w:szCs w:val="16"/>
              </w:rPr>
              <w:t>0</w:t>
            </w:r>
          </w:p>
        </w:tc>
        <w:tc>
          <w:tcPr>
            <w:tcW w:w="546"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306</w:t>
            </w:r>
          </w:p>
        </w:tc>
        <w:tc>
          <w:tcPr>
            <w:tcW w:w="900"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4.966</w:t>
            </w:r>
          </w:p>
        </w:tc>
        <w:tc>
          <w:tcPr>
            <w:tcW w:w="830"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70.036</w:t>
            </w:r>
          </w:p>
        </w:tc>
        <w:tc>
          <w:tcPr>
            <w:tcW w:w="902"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4.966</w:t>
            </w:r>
          </w:p>
        </w:tc>
        <w:tc>
          <w:tcPr>
            <w:tcW w:w="788" w:type="dxa"/>
            <w:tcBorders>
              <w:top w:val="nil"/>
              <w:left w:val="nil"/>
              <w:bottom w:val="single" w:sz="4" w:space="0" w:color="auto"/>
              <w:right w:val="single" w:sz="4" w:space="0" w:color="auto"/>
            </w:tcBorders>
            <w:shd w:val="clear" w:color="auto" w:fill="auto"/>
            <w:noWrap/>
            <w:vAlign w:val="center"/>
          </w:tcPr>
          <w:p w:rsidR="00187A94" w:rsidRPr="00F5501D" w:rsidRDefault="004B567E" w:rsidP="00B51B51">
            <w:pPr>
              <w:widowControl w:val="0"/>
              <w:jc w:val="center"/>
              <w:rPr>
                <w:rFonts w:cs="Arial"/>
                <w:sz w:val="14"/>
                <w:szCs w:val="16"/>
              </w:rPr>
            </w:pPr>
            <w:r w:rsidRPr="00F5501D">
              <w:rPr>
                <w:rFonts w:cs="Arial"/>
                <w:sz w:val="14"/>
                <w:szCs w:val="16"/>
              </w:rPr>
              <w:t>2.100</w:t>
            </w:r>
          </w:p>
        </w:tc>
      </w:tr>
    </w:tbl>
    <w:p w:rsidR="00187A94" w:rsidRPr="00962D24" w:rsidRDefault="00187A94" w:rsidP="00B51B51">
      <w:pPr>
        <w:widowControl w:val="0"/>
        <w:rPr>
          <w:rFonts w:cs="Arial"/>
          <w:szCs w:val="22"/>
        </w:rPr>
      </w:pPr>
    </w:p>
    <w:p w:rsidR="003A1D58" w:rsidRPr="00962D24" w:rsidRDefault="003A1D58" w:rsidP="00B51B51">
      <w:pPr>
        <w:widowControl w:val="0"/>
        <w:rPr>
          <w:rFonts w:cs="Arial"/>
          <w:szCs w:val="22"/>
        </w:rPr>
      </w:pPr>
      <w:r w:rsidRPr="00962D24">
        <w:rPr>
          <w:rFonts w:cs="Arial"/>
          <w:szCs w:val="22"/>
        </w:rPr>
        <w:t xml:space="preserve">Según se observa en </w:t>
      </w:r>
      <w:smartTag w:uri="urn:schemas-microsoft-com:office:smarttags" w:element="PersonName">
        <w:smartTagPr>
          <w:attr w:name="ProductID" w:val="la ￼￼￼￼￼￼￼￼￼￼￼￼￼￼￼￼￼￼￼￼￼￼￼￼￼￼￼￼￼￼￼￼￼￼￼￼￼￼￼￼￼Tabla"/>
        </w:smartTagPr>
        <w:r w:rsidRPr="00962D24">
          <w:rPr>
            <w:rFonts w:cs="Arial"/>
            <w:szCs w:val="22"/>
          </w:rPr>
          <w:t>la Tabla</w:t>
        </w:r>
      </w:smartTag>
      <w:r w:rsidRPr="00962D24">
        <w:rPr>
          <w:rFonts w:cs="Arial"/>
          <w:szCs w:val="22"/>
        </w:rPr>
        <w:t xml:space="preserve"> anterior </w:t>
      </w:r>
      <w:r w:rsidR="004B567E" w:rsidRPr="00962D24">
        <w:rPr>
          <w:rFonts w:cs="Arial"/>
          <w:szCs w:val="22"/>
        </w:rPr>
        <w:t>el volu</w:t>
      </w:r>
      <w:r w:rsidRPr="00962D24">
        <w:rPr>
          <w:rFonts w:cs="Arial"/>
          <w:szCs w:val="22"/>
        </w:rPr>
        <w:t>me</w:t>
      </w:r>
      <w:r w:rsidR="004B567E" w:rsidRPr="00962D24">
        <w:rPr>
          <w:rFonts w:cs="Arial"/>
          <w:szCs w:val="22"/>
        </w:rPr>
        <w:t>n</w:t>
      </w:r>
      <w:r w:rsidRPr="00962D24">
        <w:rPr>
          <w:rFonts w:cs="Arial"/>
          <w:szCs w:val="22"/>
        </w:rPr>
        <w:t xml:space="preserve"> de extracción informado por la empresa mineras en la región </w:t>
      </w:r>
      <w:r w:rsidR="004B567E" w:rsidRPr="00962D24">
        <w:rPr>
          <w:rFonts w:cs="Arial"/>
          <w:szCs w:val="22"/>
        </w:rPr>
        <w:t>es</w:t>
      </w:r>
      <w:r w:rsidRPr="00962D24">
        <w:rPr>
          <w:rFonts w:cs="Arial"/>
          <w:szCs w:val="22"/>
        </w:rPr>
        <w:t xml:space="preserve"> menor que los derechos de aprovechamientos constituidos.</w:t>
      </w:r>
    </w:p>
    <w:p w:rsidR="003A1D58" w:rsidRPr="00962D24" w:rsidRDefault="003A1D58" w:rsidP="00B51B51">
      <w:pPr>
        <w:widowControl w:val="0"/>
        <w:rPr>
          <w:rFonts w:cs="Arial"/>
          <w:szCs w:val="22"/>
        </w:rPr>
      </w:pPr>
    </w:p>
    <w:p w:rsidR="00B657D1" w:rsidRPr="00962D24" w:rsidRDefault="00D83D4B" w:rsidP="00B51B51">
      <w:pPr>
        <w:widowControl w:val="0"/>
        <w:rPr>
          <w:rFonts w:cs="Arial"/>
          <w:szCs w:val="22"/>
        </w:rPr>
      </w:pPr>
      <w:r w:rsidRPr="00962D24">
        <w:rPr>
          <w:rFonts w:cs="Arial"/>
          <w:szCs w:val="22"/>
        </w:rPr>
        <w:t xml:space="preserve">Otro antecedente </w:t>
      </w:r>
      <w:r w:rsidR="006A4BDD" w:rsidRPr="00962D24">
        <w:rPr>
          <w:rFonts w:cs="Arial"/>
          <w:szCs w:val="22"/>
        </w:rPr>
        <w:t xml:space="preserve">de interés que da cuenta </w:t>
      </w:r>
      <w:r w:rsidRPr="00962D24">
        <w:rPr>
          <w:rFonts w:cs="Arial"/>
          <w:szCs w:val="22"/>
        </w:rPr>
        <w:t xml:space="preserve">de los consumos </w:t>
      </w:r>
      <w:r w:rsidR="00B657D1" w:rsidRPr="00962D24">
        <w:rPr>
          <w:rFonts w:cs="Arial"/>
          <w:szCs w:val="22"/>
        </w:rPr>
        <w:t>de agua de la</w:t>
      </w:r>
      <w:r w:rsidRPr="00962D24">
        <w:rPr>
          <w:rFonts w:cs="Arial"/>
          <w:szCs w:val="22"/>
        </w:rPr>
        <w:t xml:space="preserve"> miner</w:t>
      </w:r>
      <w:r w:rsidR="00B657D1" w:rsidRPr="00962D24">
        <w:rPr>
          <w:rFonts w:cs="Arial"/>
          <w:szCs w:val="22"/>
        </w:rPr>
        <w:t>ía</w:t>
      </w:r>
      <w:r w:rsidR="0068672E" w:rsidRPr="00962D24">
        <w:rPr>
          <w:rFonts w:cs="Arial"/>
          <w:szCs w:val="22"/>
        </w:rPr>
        <w:t xml:space="preserve"> </w:t>
      </w:r>
      <w:r w:rsidR="00B657D1" w:rsidRPr="00962D24">
        <w:rPr>
          <w:rFonts w:cs="Arial"/>
          <w:szCs w:val="22"/>
        </w:rPr>
        <w:t xml:space="preserve">en el período </w:t>
      </w:r>
      <w:smartTag w:uri="urn:schemas-microsoft-com:office:smarttags" w:element="metricconverter">
        <w:smartTagPr>
          <w:attr w:name="ProductID" w:val="1999 a"/>
        </w:smartTagPr>
        <w:r w:rsidR="00B657D1" w:rsidRPr="00962D24">
          <w:rPr>
            <w:rFonts w:cs="Arial"/>
            <w:szCs w:val="22"/>
          </w:rPr>
          <w:t>1999 a</w:t>
        </w:r>
      </w:smartTag>
      <w:r w:rsidR="00B657D1" w:rsidRPr="00962D24">
        <w:rPr>
          <w:rFonts w:cs="Arial"/>
          <w:szCs w:val="22"/>
        </w:rPr>
        <w:t xml:space="preserve"> 2011 se </w:t>
      </w:r>
      <w:r w:rsidR="00491F8A" w:rsidRPr="00962D24">
        <w:rPr>
          <w:rFonts w:cs="Arial"/>
          <w:szCs w:val="22"/>
        </w:rPr>
        <w:t>encuentra</w:t>
      </w:r>
      <w:r w:rsidR="00B657D1" w:rsidRPr="00962D24">
        <w:rPr>
          <w:rFonts w:cs="Arial"/>
          <w:szCs w:val="22"/>
        </w:rPr>
        <w:t xml:space="preserve"> en el estudio desarrollado por</w:t>
      </w:r>
      <w:r w:rsidR="0068672E" w:rsidRPr="00962D24">
        <w:rPr>
          <w:rFonts w:cs="Arial"/>
          <w:szCs w:val="22"/>
        </w:rPr>
        <w:t xml:space="preserve"> COCHILCO el año 2009 </w:t>
      </w:r>
      <w:r w:rsidR="00B657D1" w:rsidRPr="00962D24">
        <w:rPr>
          <w:rFonts w:cs="Arial"/>
          <w:szCs w:val="22"/>
        </w:rPr>
        <w:t xml:space="preserve">denominado </w:t>
      </w:r>
      <w:r w:rsidR="0068672E" w:rsidRPr="00962D24">
        <w:rPr>
          <w:rFonts w:cs="Arial"/>
          <w:szCs w:val="22"/>
        </w:rPr>
        <w:t xml:space="preserve">Proyección Consumo </w:t>
      </w:r>
      <w:r w:rsidR="00CA0325" w:rsidRPr="00962D24">
        <w:rPr>
          <w:rFonts w:cs="Arial"/>
          <w:szCs w:val="22"/>
        </w:rPr>
        <w:t>d</w:t>
      </w:r>
      <w:r w:rsidR="0068672E" w:rsidRPr="00962D24">
        <w:rPr>
          <w:rFonts w:cs="Arial"/>
          <w:szCs w:val="22"/>
        </w:rPr>
        <w:t xml:space="preserve">e Agua </w:t>
      </w:r>
      <w:r w:rsidR="00CA0325" w:rsidRPr="00962D24">
        <w:rPr>
          <w:rFonts w:cs="Arial"/>
          <w:szCs w:val="22"/>
        </w:rPr>
        <w:t>e</w:t>
      </w:r>
      <w:r w:rsidR="00621BF1">
        <w:rPr>
          <w:rFonts w:cs="Arial"/>
          <w:szCs w:val="22"/>
        </w:rPr>
        <w:t xml:space="preserve">n </w:t>
      </w:r>
      <w:smartTag w:uri="urn:schemas-microsoft-com:office:smarttags" w:element="PersonName">
        <w:smartTagPr>
          <w:attr w:name="ProductID" w:val="la Minería"/>
        </w:smartTagPr>
        <w:r w:rsidR="00621BF1">
          <w:rPr>
            <w:rFonts w:cs="Arial"/>
            <w:szCs w:val="22"/>
          </w:rPr>
          <w:t>l</w:t>
        </w:r>
        <w:r w:rsidR="0068672E" w:rsidRPr="00962D24">
          <w:rPr>
            <w:rFonts w:cs="Arial"/>
            <w:szCs w:val="22"/>
          </w:rPr>
          <w:t>a Minería</w:t>
        </w:r>
      </w:smartTag>
      <w:r w:rsidR="0068672E" w:rsidRPr="00962D24">
        <w:rPr>
          <w:rFonts w:cs="Arial"/>
          <w:szCs w:val="22"/>
        </w:rPr>
        <w:t xml:space="preserve"> </w:t>
      </w:r>
      <w:r w:rsidR="00CA0325" w:rsidRPr="00962D24">
        <w:rPr>
          <w:rFonts w:cs="Arial"/>
          <w:szCs w:val="22"/>
        </w:rPr>
        <w:t>d</w:t>
      </w:r>
      <w:r w:rsidR="0068672E" w:rsidRPr="00962D24">
        <w:rPr>
          <w:rFonts w:cs="Arial"/>
          <w:szCs w:val="22"/>
        </w:rPr>
        <w:t>el Cobre 2009-2020</w:t>
      </w:r>
      <w:r w:rsidR="00B657D1" w:rsidRPr="00962D24">
        <w:rPr>
          <w:rFonts w:cs="Arial"/>
          <w:szCs w:val="22"/>
        </w:rPr>
        <w:t>.</w:t>
      </w:r>
    </w:p>
    <w:p w:rsidR="00B657D1" w:rsidRPr="00DA61EE" w:rsidRDefault="00B657D1" w:rsidP="00B51B51">
      <w:pPr>
        <w:widowControl w:val="0"/>
        <w:rPr>
          <w:rFonts w:cs="Arial"/>
          <w:sz w:val="16"/>
          <w:szCs w:val="22"/>
        </w:rPr>
      </w:pPr>
    </w:p>
    <w:p w:rsidR="00304DD2" w:rsidRPr="00962D24" w:rsidRDefault="00304DD2" w:rsidP="00B51B51">
      <w:pPr>
        <w:widowControl w:val="0"/>
        <w:rPr>
          <w:rFonts w:cs="Arial"/>
          <w:szCs w:val="22"/>
        </w:rPr>
      </w:pPr>
      <w:r w:rsidRPr="00962D24">
        <w:rPr>
          <w:rFonts w:cs="Arial"/>
          <w:szCs w:val="22"/>
        </w:rPr>
        <w:t xml:space="preserve">Para </w:t>
      </w:r>
      <w:smartTag w:uri="urn:schemas-microsoft-com:office:smarttags" w:element="PersonName">
        <w:smartTagPr>
          <w:attr w:name="ProductID" w:val="la Región"/>
        </w:smartTagPr>
        <w:r w:rsidRPr="00962D24">
          <w:rPr>
            <w:rFonts w:cs="Arial"/>
            <w:szCs w:val="22"/>
          </w:rPr>
          <w:t>la Región</w:t>
        </w:r>
      </w:smartTag>
      <w:r w:rsidR="00621BF1">
        <w:rPr>
          <w:rFonts w:cs="Arial"/>
          <w:szCs w:val="22"/>
        </w:rPr>
        <w:t xml:space="preserve"> de O’Higgins</w:t>
      </w:r>
      <w:r w:rsidRPr="00962D24">
        <w:rPr>
          <w:rFonts w:cs="Arial"/>
          <w:szCs w:val="22"/>
        </w:rPr>
        <w:t xml:space="preserve"> las demandas estimadas son repre</w:t>
      </w:r>
      <w:r w:rsidR="00621BF1">
        <w:rPr>
          <w:rFonts w:cs="Arial"/>
          <w:szCs w:val="22"/>
        </w:rPr>
        <w:t xml:space="preserve">sentativas de </w:t>
      </w:r>
      <w:smartTag w:uri="urn:schemas-microsoft-com:office:smarttags" w:element="PersonName">
        <w:smartTagPr>
          <w:attr w:name="ProductID" w:val="la División El"/>
        </w:smartTagPr>
        <w:r w:rsidR="00621BF1">
          <w:rPr>
            <w:rFonts w:cs="Arial"/>
            <w:szCs w:val="22"/>
          </w:rPr>
          <w:t>la División El</w:t>
        </w:r>
      </w:smartTag>
      <w:r w:rsidR="00621BF1">
        <w:rPr>
          <w:rFonts w:cs="Arial"/>
          <w:szCs w:val="22"/>
        </w:rPr>
        <w:t xml:space="preserve"> Teniente</w:t>
      </w:r>
      <w:r w:rsidRPr="00962D24">
        <w:rPr>
          <w:rFonts w:cs="Arial"/>
          <w:szCs w:val="22"/>
        </w:rPr>
        <w:t xml:space="preserve"> de CODELCO ubicada en </w:t>
      </w:r>
      <w:r w:rsidR="00621BF1">
        <w:rPr>
          <w:rFonts w:cs="Arial"/>
          <w:szCs w:val="22"/>
        </w:rPr>
        <w:t>la cuenca alta del río Cachapoal</w:t>
      </w:r>
      <w:r w:rsidRPr="00962D24">
        <w:rPr>
          <w:rFonts w:cs="Arial"/>
          <w:szCs w:val="22"/>
        </w:rPr>
        <w:t>.</w:t>
      </w:r>
      <w:r w:rsidR="008A416B" w:rsidRPr="00962D24">
        <w:rPr>
          <w:rFonts w:cs="Arial"/>
          <w:szCs w:val="22"/>
        </w:rPr>
        <w:t xml:space="preserve"> </w:t>
      </w:r>
      <w:r w:rsidRPr="00962D24">
        <w:rPr>
          <w:rFonts w:cs="Arial"/>
          <w:szCs w:val="22"/>
        </w:rPr>
        <w:t xml:space="preserve">En </w:t>
      </w:r>
      <w:smartTag w:uri="urn:schemas-microsoft-com:office:smarttags" w:element="PersonName">
        <w:smartTagPr>
          <w:attr w:name="ProductID" w:val="la ￼￼￼￼￼￼￼￼￼￼￼￼￼￼￼￼￼￼￼￼￼￼￼￼￼￼￼￼￼￼￼￼￼￼￼￼￼￼￼￼￼Tabla"/>
        </w:smartTagPr>
        <w:r w:rsidRPr="00962D24">
          <w:rPr>
            <w:rFonts w:cs="Arial"/>
            <w:szCs w:val="22"/>
          </w:rPr>
          <w:t xml:space="preserve">la </w:t>
        </w:r>
        <w:r w:rsidR="00EA26AA" w:rsidRPr="00962D24">
          <w:rPr>
            <w:rFonts w:cs="Arial"/>
            <w:szCs w:val="22"/>
          </w:rPr>
          <w:fldChar w:fldCharType="begin"/>
        </w:r>
        <w:r w:rsidR="00EA26AA" w:rsidRPr="00962D24">
          <w:rPr>
            <w:rFonts w:cs="Arial"/>
            <w:szCs w:val="22"/>
          </w:rPr>
          <w:instrText xml:space="preserve"> REF _Ref335060817 \h </w:instrText>
        </w:r>
        <w:r w:rsidR="0064704C" w:rsidRPr="00962D24">
          <w:rPr>
            <w:rFonts w:cs="Arial"/>
            <w:szCs w:val="22"/>
          </w:rPr>
        </w:r>
        <w:r w:rsidR="00176CD2" w:rsidRPr="00962D24">
          <w:rPr>
            <w:rFonts w:cs="Arial"/>
            <w:szCs w:val="22"/>
          </w:rPr>
          <w:instrText xml:space="preserve"> \* MERGEFORMAT </w:instrText>
        </w:r>
        <w:r w:rsidR="00EA26AA" w:rsidRPr="00962D24">
          <w:rPr>
            <w:rFonts w:cs="Arial"/>
            <w:szCs w:val="22"/>
          </w:rPr>
          <w:fldChar w:fldCharType="separate"/>
        </w:r>
        <w:r w:rsidR="00264070" w:rsidRPr="00962D24">
          <w:t>Tabla</w:t>
        </w:r>
      </w:smartTag>
      <w:r w:rsidR="00264070" w:rsidRPr="00962D24">
        <w:t xml:space="preserve"> </w:t>
      </w:r>
      <w:r w:rsidR="00264070">
        <w:rPr>
          <w:noProof/>
        </w:rPr>
        <w:t>5.22</w:t>
      </w:r>
      <w:r w:rsidR="00EA26AA" w:rsidRPr="00962D24">
        <w:rPr>
          <w:rFonts w:cs="Arial"/>
          <w:szCs w:val="22"/>
        </w:rPr>
        <w:fldChar w:fldCharType="end"/>
      </w:r>
      <w:r w:rsidR="00EA26AA" w:rsidRPr="00962D24">
        <w:rPr>
          <w:rFonts w:cs="Arial"/>
          <w:szCs w:val="22"/>
        </w:rPr>
        <w:t xml:space="preserve"> </w:t>
      </w:r>
      <w:r w:rsidRPr="00962D24">
        <w:rPr>
          <w:rFonts w:cs="Arial"/>
          <w:szCs w:val="22"/>
        </w:rPr>
        <w:t>se presenta un resumen de estas estimaciones.</w:t>
      </w:r>
    </w:p>
    <w:p w:rsidR="00304DD2" w:rsidRPr="00DA61EE" w:rsidRDefault="00304DD2" w:rsidP="00B51B51">
      <w:pPr>
        <w:widowControl w:val="0"/>
        <w:rPr>
          <w:rFonts w:cs="Arial"/>
          <w:sz w:val="18"/>
          <w:szCs w:val="22"/>
        </w:rPr>
      </w:pPr>
    </w:p>
    <w:p w:rsidR="00304DD2" w:rsidRPr="00962D24" w:rsidRDefault="00304DD2" w:rsidP="00B51B51">
      <w:pPr>
        <w:pStyle w:val="Epgrafe"/>
        <w:widowControl w:val="0"/>
      </w:pPr>
      <w:bookmarkStart w:id="245" w:name="_Ref335060817"/>
      <w:r w:rsidRPr="00962D24">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22</w:t>
      </w:r>
      <w:r w:rsidR="007F3102">
        <w:fldChar w:fldCharType="end"/>
      </w:r>
      <w:bookmarkEnd w:id="245"/>
      <w:r w:rsidRPr="00962D24">
        <w:t xml:space="preserve"> Estimación Demanda Minería Años </w:t>
      </w:r>
      <w:smartTag w:uri="urn:schemas-microsoft-com:office:smarttags" w:element="metricconverter">
        <w:smartTagPr>
          <w:attr w:name="ProductID" w:val="2009 a"/>
        </w:smartTagPr>
        <w:r w:rsidRPr="00962D24">
          <w:t>2009 a</w:t>
        </w:r>
      </w:smartTag>
      <w:r w:rsidRPr="00962D24">
        <w:t xml:space="preserve"> 2011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1852"/>
        <w:gridCol w:w="1311"/>
      </w:tblGrid>
      <w:tr w:rsidR="00176CD2" w:rsidRPr="00F5501D">
        <w:trPr>
          <w:trHeight w:val="120"/>
          <w:jc w:val="center"/>
        </w:trPr>
        <w:tc>
          <w:tcPr>
            <w:tcW w:w="773" w:type="dxa"/>
            <w:vMerge w:val="restart"/>
            <w:vAlign w:val="center"/>
          </w:tcPr>
          <w:p w:rsidR="00176CD2" w:rsidRPr="00F5501D" w:rsidRDefault="00176CD2" w:rsidP="00B51B51">
            <w:pPr>
              <w:widowControl w:val="0"/>
              <w:jc w:val="center"/>
              <w:rPr>
                <w:rFonts w:cs="Arial"/>
                <w:sz w:val="16"/>
                <w:szCs w:val="20"/>
              </w:rPr>
            </w:pPr>
            <w:r w:rsidRPr="00F5501D">
              <w:rPr>
                <w:rFonts w:cs="Arial"/>
                <w:sz w:val="16"/>
                <w:szCs w:val="20"/>
              </w:rPr>
              <w:t>Año</w:t>
            </w:r>
          </w:p>
        </w:tc>
        <w:tc>
          <w:tcPr>
            <w:tcW w:w="3163" w:type="dxa"/>
            <w:gridSpan w:val="2"/>
            <w:vAlign w:val="center"/>
          </w:tcPr>
          <w:p w:rsidR="00176CD2" w:rsidRPr="00F5501D" w:rsidRDefault="00176CD2" w:rsidP="00B51B51">
            <w:pPr>
              <w:widowControl w:val="0"/>
              <w:jc w:val="center"/>
              <w:rPr>
                <w:rFonts w:cs="Arial"/>
                <w:sz w:val="16"/>
                <w:szCs w:val="20"/>
              </w:rPr>
            </w:pPr>
            <w:r w:rsidRPr="00F5501D">
              <w:rPr>
                <w:rFonts w:cs="Arial"/>
                <w:sz w:val="16"/>
                <w:szCs w:val="20"/>
              </w:rPr>
              <w:t xml:space="preserve">Para Producción Concentrados </w:t>
            </w:r>
          </w:p>
        </w:tc>
      </w:tr>
      <w:tr w:rsidR="00176CD2" w:rsidRPr="00F5501D">
        <w:trPr>
          <w:trHeight w:val="105"/>
          <w:jc w:val="center"/>
        </w:trPr>
        <w:tc>
          <w:tcPr>
            <w:tcW w:w="773" w:type="dxa"/>
            <w:vMerge/>
            <w:vAlign w:val="center"/>
          </w:tcPr>
          <w:p w:rsidR="00176CD2" w:rsidRPr="00F5501D" w:rsidRDefault="00176CD2" w:rsidP="00B51B51">
            <w:pPr>
              <w:widowControl w:val="0"/>
              <w:jc w:val="center"/>
              <w:rPr>
                <w:rFonts w:cs="Arial"/>
                <w:sz w:val="16"/>
                <w:szCs w:val="20"/>
              </w:rPr>
            </w:pPr>
          </w:p>
        </w:tc>
        <w:tc>
          <w:tcPr>
            <w:tcW w:w="1852" w:type="dxa"/>
            <w:vAlign w:val="center"/>
          </w:tcPr>
          <w:p w:rsidR="00176CD2" w:rsidRPr="00F5501D" w:rsidRDefault="00176CD2" w:rsidP="00B51B51">
            <w:pPr>
              <w:widowControl w:val="0"/>
              <w:jc w:val="center"/>
              <w:rPr>
                <w:rFonts w:cs="Arial"/>
                <w:sz w:val="16"/>
                <w:szCs w:val="20"/>
              </w:rPr>
            </w:pPr>
            <w:r w:rsidRPr="00F5501D">
              <w:rPr>
                <w:rFonts w:cs="Arial"/>
                <w:sz w:val="16"/>
                <w:szCs w:val="20"/>
              </w:rPr>
              <w:t>Millones m</w:t>
            </w:r>
            <w:r w:rsidRPr="00F5501D">
              <w:rPr>
                <w:rFonts w:cs="Arial"/>
                <w:sz w:val="16"/>
                <w:szCs w:val="20"/>
                <w:vertAlign w:val="superscript"/>
              </w:rPr>
              <w:t>3</w:t>
            </w:r>
          </w:p>
        </w:tc>
        <w:tc>
          <w:tcPr>
            <w:tcW w:w="1311" w:type="dxa"/>
            <w:vAlign w:val="center"/>
          </w:tcPr>
          <w:p w:rsidR="00176CD2" w:rsidRPr="00F5501D" w:rsidRDefault="00176CD2" w:rsidP="00B51B51">
            <w:pPr>
              <w:widowControl w:val="0"/>
              <w:jc w:val="center"/>
              <w:rPr>
                <w:rFonts w:cs="Arial"/>
                <w:sz w:val="16"/>
                <w:szCs w:val="20"/>
              </w:rPr>
            </w:pPr>
            <w:r w:rsidRPr="00F5501D">
              <w:rPr>
                <w:rFonts w:cs="Arial"/>
                <w:sz w:val="16"/>
                <w:szCs w:val="20"/>
              </w:rPr>
              <w:t>l/s</w:t>
            </w:r>
          </w:p>
        </w:tc>
      </w:tr>
      <w:tr w:rsidR="00176CD2" w:rsidRPr="00F5501D">
        <w:trPr>
          <w:jc w:val="center"/>
        </w:trPr>
        <w:tc>
          <w:tcPr>
            <w:tcW w:w="773" w:type="dxa"/>
            <w:vAlign w:val="center"/>
          </w:tcPr>
          <w:p w:rsidR="00176CD2" w:rsidRPr="00F5501D" w:rsidRDefault="00176CD2" w:rsidP="00B51B51">
            <w:pPr>
              <w:widowControl w:val="0"/>
              <w:jc w:val="center"/>
              <w:rPr>
                <w:rFonts w:cs="Arial"/>
                <w:sz w:val="16"/>
                <w:szCs w:val="20"/>
              </w:rPr>
            </w:pPr>
            <w:r w:rsidRPr="00F5501D">
              <w:rPr>
                <w:rFonts w:cs="Arial"/>
                <w:sz w:val="16"/>
                <w:szCs w:val="20"/>
              </w:rPr>
              <w:t>2009</w:t>
            </w:r>
          </w:p>
        </w:tc>
        <w:tc>
          <w:tcPr>
            <w:tcW w:w="1852" w:type="dxa"/>
            <w:vAlign w:val="center"/>
          </w:tcPr>
          <w:p w:rsidR="00176CD2" w:rsidRPr="00F5501D" w:rsidRDefault="00176CD2" w:rsidP="00B51B51">
            <w:pPr>
              <w:widowControl w:val="0"/>
              <w:jc w:val="center"/>
              <w:rPr>
                <w:rFonts w:cs="Arial"/>
                <w:sz w:val="16"/>
                <w:szCs w:val="20"/>
              </w:rPr>
            </w:pPr>
            <w:r w:rsidRPr="00F5501D">
              <w:rPr>
                <w:rFonts w:cs="Arial"/>
                <w:sz w:val="16"/>
                <w:szCs w:val="20"/>
              </w:rPr>
              <w:t>65,0</w:t>
            </w:r>
          </w:p>
        </w:tc>
        <w:tc>
          <w:tcPr>
            <w:tcW w:w="1311" w:type="dxa"/>
            <w:vAlign w:val="center"/>
          </w:tcPr>
          <w:p w:rsidR="00176CD2" w:rsidRPr="00F5501D" w:rsidRDefault="00176CD2" w:rsidP="00B51B51">
            <w:pPr>
              <w:widowControl w:val="0"/>
              <w:jc w:val="center"/>
              <w:rPr>
                <w:rFonts w:cs="Arial"/>
                <w:sz w:val="16"/>
                <w:szCs w:val="20"/>
              </w:rPr>
            </w:pPr>
            <w:r w:rsidRPr="00F5501D">
              <w:rPr>
                <w:rFonts w:cs="Arial"/>
                <w:sz w:val="16"/>
                <w:szCs w:val="20"/>
              </w:rPr>
              <w:t>2.061,1</w:t>
            </w:r>
          </w:p>
        </w:tc>
      </w:tr>
      <w:tr w:rsidR="00176CD2" w:rsidRPr="00F5501D">
        <w:trPr>
          <w:jc w:val="center"/>
        </w:trPr>
        <w:tc>
          <w:tcPr>
            <w:tcW w:w="773" w:type="dxa"/>
            <w:vAlign w:val="center"/>
          </w:tcPr>
          <w:p w:rsidR="00176CD2" w:rsidRPr="00F5501D" w:rsidRDefault="00176CD2" w:rsidP="00B51B51">
            <w:pPr>
              <w:widowControl w:val="0"/>
              <w:jc w:val="center"/>
              <w:rPr>
                <w:rFonts w:cs="Arial"/>
                <w:sz w:val="16"/>
                <w:szCs w:val="20"/>
              </w:rPr>
            </w:pPr>
            <w:r w:rsidRPr="00F5501D">
              <w:rPr>
                <w:rFonts w:cs="Arial"/>
                <w:sz w:val="16"/>
                <w:szCs w:val="20"/>
              </w:rPr>
              <w:t>2010</w:t>
            </w:r>
          </w:p>
        </w:tc>
        <w:tc>
          <w:tcPr>
            <w:tcW w:w="1852" w:type="dxa"/>
            <w:vAlign w:val="center"/>
          </w:tcPr>
          <w:p w:rsidR="00176CD2" w:rsidRPr="00F5501D" w:rsidRDefault="00176CD2" w:rsidP="00B51B51">
            <w:pPr>
              <w:widowControl w:val="0"/>
              <w:jc w:val="center"/>
              <w:rPr>
                <w:rFonts w:cs="Arial"/>
                <w:sz w:val="16"/>
                <w:szCs w:val="20"/>
              </w:rPr>
            </w:pPr>
            <w:r w:rsidRPr="00F5501D">
              <w:rPr>
                <w:rFonts w:cs="Arial"/>
                <w:sz w:val="16"/>
                <w:szCs w:val="20"/>
              </w:rPr>
              <w:t>67,0</w:t>
            </w:r>
          </w:p>
        </w:tc>
        <w:tc>
          <w:tcPr>
            <w:tcW w:w="1311" w:type="dxa"/>
            <w:vAlign w:val="center"/>
          </w:tcPr>
          <w:p w:rsidR="00176CD2" w:rsidRPr="00F5501D" w:rsidRDefault="00176CD2" w:rsidP="00B51B51">
            <w:pPr>
              <w:widowControl w:val="0"/>
              <w:jc w:val="center"/>
              <w:rPr>
                <w:rFonts w:cs="Arial"/>
                <w:sz w:val="16"/>
                <w:szCs w:val="20"/>
              </w:rPr>
            </w:pPr>
            <w:r w:rsidRPr="00F5501D">
              <w:rPr>
                <w:rFonts w:cs="Arial"/>
                <w:sz w:val="16"/>
                <w:szCs w:val="20"/>
              </w:rPr>
              <w:t>2.124,6</w:t>
            </w:r>
          </w:p>
        </w:tc>
      </w:tr>
      <w:tr w:rsidR="00176CD2" w:rsidRPr="00F5501D">
        <w:trPr>
          <w:jc w:val="center"/>
        </w:trPr>
        <w:tc>
          <w:tcPr>
            <w:tcW w:w="773" w:type="dxa"/>
            <w:vAlign w:val="center"/>
          </w:tcPr>
          <w:p w:rsidR="00176CD2" w:rsidRPr="00F5501D" w:rsidRDefault="00176CD2" w:rsidP="00B51B51">
            <w:pPr>
              <w:widowControl w:val="0"/>
              <w:jc w:val="center"/>
              <w:rPr>
                <w:rFonts w:cs="Arial"/>
                <w:sz w:val="16"/>
                <w:szCs w:val="20"/>
              </w:rPr>
            </w:pPr>
            <w:r w:rsidRPr="00F5501D">
              <w:rPr>
                <w:rFonts w:cs="Arial"/>
                <w:sz w:val="16"/>
                <w:szCs w:val="20"/>
              </w:rPr>
              <w:t>2011</w:t>
            </w:r>
          </w:p>
        </w:tc>
        <w:tc>
          <w:tcPr>
            <w:tcW w:w="1852" w:type="dxa"/>
            <w:vAlign w:val="center"/>
          </w:tcPr>
          <w:p w:rsidR="00176CD2" w:rsidRPr="00F5501D" w:rsidRDefault="00176CD2" w:rsidP="00B51B51">
            <w:pPr>
              <w:widowControl w:val="0"/>
              <w:jc w:val="center"/>
              <w:rPr>
                <w:rFonts w:cs="Arial"/>
                <w:sz w:val="16"/>
                <w:szCs w:val="20"/>
              </w:rPr>
            </w:pPr>
            <w:r w:rsidRPr="00F5501D">
              <w:rPr>
                <w:rFonts w:cs="Arial"/>
                <w:sz w:val="16"/>
                <w:szCs w:val="20"/>
              </w:rPr>
              <w:t>67,9</w:t>
            </w:r>
          </w:p>
        </w:tc>
        <w:tc>
          <w:tcPr>
            <w:tcW w:w="1311" w:type="dxa"/>
            <w:vAlign w:val="center"/>
          </w:tcPr>
          <w:p w:rsidR="00176CD2" w:rsidRPr="00F5501D" w:rsidRDefault="00176CD2" w:rsidP="00B51B51">
            <w:pPr>
              <w:widowControl w:val="0"/>
              <w:jc w:val="center"/>
              <w:rPr>
                <w:rFonts w:cs="Arial"/>
                <w:sz w:val="16"/>
                <w:szCs w:val="20"/>
              </w:rPr>
            </w:pPr>
            <w:r w:rsidRPr="00F5501D">
              <w:rPr>
                <w:rFonts w:cs="Arial"/>
                <w:sz w:val="16"/>
                <w:szCs w:val="20"/>
              </w:rPr>
              <w:t>2.153,1</w:t>
            </w:r>
          </w:p>
        </w:tc>
      </w:tr>
    </w:tbl>
    <w:p w:rsidR="004B567E" w:rsidRDefault="004B567E" w:rsidP="00B51B51">
      <w:pPr>
        <w:widowControl w:val="0"/>
        <w:rPr>
          <w:sz w:val="18"/>
        </w:rPr>
      </w:pPr>
    </w:p>
    <w:p w:rsidR="00F5501D" w:rsidRPr="00DA61EE" w:rsidRDefault="00F5501D" w:rsidP="00B51B51">
      <w:pPr>
        <w:widowControl w:val="0"/>
        <w:rPr>
          <w:sz w:val="18"/>
        </w:rPr>
      </w:pPr>
    </w:p>
    <w:p w:rsidR="004B567E" w:rsidRDefault="004B567E" w:rsidP="00B51B51">
      <w:pPr>
        <w:widowControl w:val="0"/>
      </w:pPr>
      <w:r w:rsidRPr="00962D24">
        <w:t>Si se com</w:t>
      </w:r>
      <w:r w:rsidR="00F0733D" w:rsidRPr="00962D24">
        <w:t>paran las demandas de los años 2006 y 2009 que corresponden a las extracciones informadas por CODELCO, se observa que los volúmenes de agua son bastante similares.</w:t>
      </w:r>
    </w:p>
    <w:p w:rsidR="00F5501D" w:rsidRPr="00962D24" w:rsidRDefault="00F5501D" w:rsidP="00B51B51">
      <w:pPr>
        <w:widowControl w:val="0"/>
      </w:pPr>
    </w:p>
    <w:p w:rsidR="009057BF" w:rsidRPr="00962D24" w:rsidRDefault="00C72F97" w:rsidP="00F5501D">
      <w:pPr>
        <w:pStyle w:val="Ttulo3"/>
      </w:pPr>
      <w:bookmarkStart w:id="246" w:name="_Toc344391825"/>
      <w:r w:rsidRPr="00962D24">
        <w:t>Industrial</w:t>
      </w:r>
      <w:bookmarkEnd w:id="246"/>
    </w:p>
    <w:p w:rsidR="001F6144" w:rsidRPr="00962D24" w:rsidRDefault="001F6144" w:rsidP="00B51B51">
      <w:pPr>
        <w:widowControl w:val="0"/>
        <w:rPr>
          <w:rFonts w:cs="Arial"/>
          <w:sz w:val="16"/>
          <w:szCs w:val="16"/>
        </w:rPr>
      </w:pPr>
    </w:p>
    <w:p w:rsidR="001F6144" w:rsidRPr="00962D24" w:rsidRDefault="001F6144" w:rsidP="00B51B51">
      <w:pPr>
        <w:widowControl w:val="0"/>
        <w:rPr>
          <w:rFonts w:cs="Arial"/>
          <w:szCs w:val="22"/>
        </w:rPr>
      </w:pPr>
      <w:r w:rsidRPr="00962D24">
        <w:rPr>
          <w:rFonts w:cs="Arial"/>
          <w:szCs w:val="22"/>
        </w:rPr>
        <w:t>Las demandas de agua para su uso en el sector industrial es una de las más difíciles de poder caracterizar debido a la escasa información que se tiene al respecto a nivel nacional, lo que ha quedado reflejado en los diversos estudios que se han realizado a la fecha.</w:t>
      </w:r>
    </w:p>
    <w:p w:rsidR="008A416B" w:rsidRPr="00DA61EE" w:rsidRDefault="008A416B" w:rsidP="00B51B51">
      <w:pPr>
        <w:widowControl w:val="0"/>
        <w:rPr>
          <w:rFonts w:cs="Arial"/>
          <w:sz w:val="14"/>
          <w:szCs w:val="16"/>
        </w:rPr>
      </w:pPr>
    </w:p>
    <w:p w:rsidR="001F6144" w:rsidRDefault="001F6144" w:rsidP="00B51B51">
      <w:pPr>
        <w:widowControl w:val="0"/>
        <w:rPr>
          <w:rFonts w:cs="Arial"/>
          <w:szCs w:val="22"/>
        </w:rPr>
      </w:pPr>
      <w:r w:rsidRPr="00962D24">
        <w:rPr>
          <w:rFonts w:cs="Arial"/>
          <w:szCs w:val="22"/>
        </w:rPr>
        <w:t>Una de las primeras estimaciones de este sector se presenta en el estudio desarrollado por IPLA el año 1996 en función de la caracterización de efluentes in</w:t>
      </w:r>
      <w:r w:rsidR="009613A3" w:rsidRPr="00962D24">
        <w:rPr>
          <w:rFonts w:cs="Arial"/>
          <w:szCs w:val="22"/>
        </w:rPr>
        <w:t>dustriales</w:t>
      </w:r>
      <w:r w:rsidR="00A16BAB" w:rsidRPr="00962D24">
        <w:rPr>
          <w:rFonts w:cs="Arial"/>
          <w:szCs w:val="22"/>
        </w:rPr>
        <w:t xml:space="preserve"> para el año 1993 en el cual se estableció una relación efluente/demanda.</w:t>
      </w:r>
    </w:p>
    <w:p w:rsidR="003B0BE3" w:rsidRPr="00962D24" w:rsidRDefault="003B0BE3" w:rsidP="00B51B51">
      <w:pPr>
        <w:widowControl w:val="0"/>
        <w:rPr>
          <w:rFonts w:cs="Arial"/>
          <w:szCs w:val="22"/>
        </w:rPr>
      </w:pPr>
    </w:p>
    <w:p w:rsidR="001F6144" w:rsidRPr="00962D24" w:rsidRDefault="00F22E03" w:rsidP="00B51B51">
      <w:pPr>
        <w:widowControl w:val="0"/>
        <w:rPr>
          <w:rFonts w:cs="Arial"/>
          <w:szCs w:val="22"/>
        </w:rPr>
      </w:pPr>
      <w:r w:rsidRPr="00962D24">
        <w:rPr>
          <w:rFonts w:cs="Arial"/>
        </w:rPr>
        <w:t>En el estudio desarrollado por Ayala, Cabrera y Asociados Ltda. el año 2005</w:t>
      </w:r>
      <w:r w:rsidR="00621BF1">
        <w:rPr>
          <w:rFonts w:cs="Arial"/>
        </w:rPr>
        <w:t>, se</w:t>
      </w:r>
      <w:r w:rsidRPr="00962D24">
        <w:rPr>
          <w:rFonts w:cs="Arial"/>
        </w:rPr>
        <w:t xml:space="preserve"> realizó una actualización de las demandas tomando como base el estudio de IPLA proyectándola en función</w:t>
      </w:r>
      <w:r w:rsidR="00621BF1">
        <w:rPr>
          <w:rFonts w:cs="Arial"/>
        </w:rPr>
        <w:t xml:space="preserve"> de la variación</w:t>
      </w:r>
      <w:r w:rsidRPr="00962D24">
        <w:rPr>
          <w:rFonts w:cs="Arial"/>
        </w:rPr>
        <w:t xml:space="preserve"> del producto interno bruto entre el año 1994 y 2005</w:t>
      </w:r>
      <w:r w:rsidR="00FC48B5">
        <w:rPr>
          <w:rFonts w:cs="Arial"/>
        </w:rPr>
        <w:t>,</w:t>
      </w:r>
      <w:r w:rsidR="00F56AEE">
        <w:rPr>
          <w:rFonts w:cs="Arial"/>
        </w:rPr>
        <w:t xml:space="preserve"> </w:t>
      </w:r>
      <w:r w:rsidR="00F56AEE">
        <w:rPr>
          <w:rFonts w:cs="Arial"/>
        </w:rPr>
        <w:fldChar w:fldCharType="begin"/>
      </w:r>
      <w:r w:rsidR="00F56AEE">
        <w:rPr>
          <w:rFonts w:cs="Arial"/>
        </w:rPr>
        <w:instrText xml:space="preserve"> REF _Ref342041709 \h </w:instrText>
      </w:r>
      <w:r w:rsidR="00F56AEE" w:rsidRPr="00F56AEE">
        <w:rPr>
          <w:rFonts w:cs="Arial"/>
        </w:rPr>
      </w:r>
      <w:r w:rsidR="00F56AEE">
        <w:rPr>
          <w:rFonts w:cs="Arial"/>
        </w:rPr>
        <w:fldChar w:fldCharType="separate"/>
      </w:r>
      <w:r w:rsidR="00264070" w:rsidRPr="00962D24">
        <w:t xml:space="preserve">Tabla </w:t>
      </w:r>
      <w:r w:rsidR="00264070">
        <w:rPr>
          <w:noProof/>
        </w:rPr>
        <w:t>5</w:t>
      </w:r>
      <w:r w:rsidR="00264070">
        <w:t>.</w:t>
      </w:r>
      <w:r w:rsidR="00264070">
        <w:rPr>
          <w:noProof/>
        </w:rPr>
        <w:t>23</w:t>
      </w:r>
      <w:r w:rsidR="00F56AEE">
        <w:rPr>
          <w:rFonts w:cs="Arial"/>
        </w:rPr>
        <w:fldChar w:fldCharType="end"/>
      </w:r>
      <w:r w:rsidR="00F56AEE">
        <w:rPr>
          <w:rFonts w:cs="Arial"/>
        </w:rPr>
        <w:t>.</w:t>
      </w:r>
      <w:r w:rsidR="00FC48B5">
        <w:rPr>
          <w:rFonts w:cs="Arial"/>
        </w:rPr>
        <w:t xml:space="preserve"> </w:t>
      </w:r>
      <w:r w:rsidR="00621BF1">
        <w:rPr>
          <w:rFonts w:cs="Arial"/>
        </w:rPr>
        <w:t xml:space="preserve"> </w:t>
      </w:r>
    </w:p>
    <w:p w:rsidR="00FC48B5" w:rsidRDefault="00FC48B5" w:rsidP="00B51B51">
      <w:pPr>
        <w:pStyle w:val="Epgrafe"/>
        <w:widowControl w:val="0"/>
      </w:pPr>
      <w:bookmarkStart w:id="247" w:name="_Ref337131394"/>
    </w:p>
    <w:p w:rsidR="008F7E37" w:rsidRPr="00962D24" w:rsidRDefault="008F7E37" w:rsidP="00B51B51">
      <w:pPr>
        <w:pStyle w:val="Epgrafe"/>
        <w:widowControl w:val="0"/>
      </w:pPr>
      <w:bookmarkStart w:id="248" w:name="_Ref342041709"/>
      <w:r w:rsidRPr="00962D24">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23</w:t>
      </w:r>
      <w:r w:rsidR="007F3102">
        <w:fldChar w:fldCharType="end"/>
      </w:r>
      <w:bookmarkEnd w:id="247"/>
      <w:bookmarkEnd w:id="248"/>
      <w:r w:rsidRPr="00962D24">
        <w:t xml:space="preserve"> Demandas Industriales Informadas en Estudios Previos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8"/>
        <w:gridCol w:w="900"/>
        <w:gridCol w:w="667"/>
        <w:gridCol w:w="765"/>
        <w:gridCol w:w="672"/>
      </w:tblGrid>
      <w:tr w:rsidR="00454439" w:rsidRPr="007C2214">
        <w:trPr>
          <w:trHeight w:val="300"/>
          <w:jc w:val="center"/>
        </w:trPr>
        <w:tc>
          <w:tcPr>
            <w:tcW w:w="3508" w:type="dxa"/>
            <w:vMerge w:val="restart"/>
          </w:tcPr>
          <w:p w:rsidR="00454439" w:rsidRPr="007C2214" w:rsidRDefault="00454439" w:rsidP="00B51B51">
            <w:pPr>
              <w:widowControl w:val="0"/>
              <w:jc w:val="center"/>
              <w:rPr>
                <w:rFonts w:cs="Arial"/>
                <w:sz w:val="18"/>
                <w:szCs w:val="18"/>
              </w:rPr>
            </w:pPr>
            <w:r w:rsidRPr="007C2214">
              <w:rPr>
                <w:rFonts w:cs="Arial"/>
                <w:sz w:val="18"/>
                <w:szCs w:val="18"/>
              </w:rPr>
              <w:t>Cuenca</w:t>
            </w:r>
          </w:p>
        </w:tc>
        <w:tc>
          <w:tcPr>
            <w:tcW w:w="1567" w:type="dxa"/>
            <w:gridSpan w:val="2"/>
          </w:tcPr>
          <w:p w:rsidR="00454439" w:rsidRPr="007C2214" w:rsidRDefault="00454439" w:rsidP="00B51B51">
            <w:pPr>
              <w:widowControl w:val="0"/>
              <w:jc w:val="center"/>
              <w:rPr>
                <w:rFonts w:cs="Arial"/>
                <w:sz w:val="18"/>
                <w:szCs w:val="18"/>
              </w:rPr>
            </w:pPr>
            <w:r w:rsidRPr="007C2214">
              <w:rPr>
                <w:rFonts w:cs="Arial"/>
                <w:sz w:val="18"/>
                <w:szCs w:val="18"/>
              </w:rPr>
              <w:t>Año 1993 (l/s)</w:t>
            </w:r>
          </w:p>
        </w:tc>
        <w:tc>
          <w:tcPr>
            <w:tcW w:w="1437" w:type="dxa"/>
            <w:gridSpan w:val="2"/>
          </w:tcPr>
          <w:p w:rsidR="00454439" w:rsidRPr="007C2214" w:rsidRDefault="00454439" w:rsidP="00B51B51">
            <w:pPr>
              <w:widowControl w:val="0"/>
              <w:jc w:val="center"/>
              <w:rPr>
                <w:rFonts w:cs="Arial"/>
                <w:sz w:val="18"/>
                <w:szCs w:val="18"/>
              </w:rPr>
            </w:pPr>
            <w:r w:rsidRPr="007C2214">
              <w:rPr>
                <w:rFonts w:cs="Arial"/>
                <w:sz w:val="18"/>
                <w:szCs w:val="18"/>
              </w:rPr>
              <w:t>Año 2005 (l/s)</w:t>
            </w:r>
          </w:p>
        </w:tc>
      </w:tr>
      <w:tr w:rsidR="00454439" w:rsidRPr="007C2214">
        <w:trPr>
          <w:trHeight w:val="120"/>
          <w:jc w:val="center"/>
        </w:trPr>
        <w:tc>
          <w:tcPr>
            <w:tcW w:w="3508" w:type="dxa"/>
            <w:vMerge/>
          </w:tcPr>
          <w:p w:rsidR="00454439" w:rsidRPr="007C2214" w:rsidRDefault="00454439" w:rsidP="00B51B51">
            <w:pPr>
              <w:widowControl w:val="0"/>
              <w:jc w:val="center"/>
              <w:rPr>
                <w:rFonts w:cs="Arial"/>
                <w:sz w:val="18"/>
                <w:szCs w:val="18"/>
              </w:rPr>
            </w:pPr>
          </w:p>
        </w:tc>
        <w:tc>
          <w:tcPr>
            <w:tcW w:w="900" w:type="dxa"/>
          </w:tcPr>
          <w:p w:rsidR="00454439" w:rsidRPr="007C2214" w:rsidRDefault="00454439" w:rsidP="00B51B51">
            <w:pPr>
              <w:widowControl w:val="0"/>
              <w:jc w:val="center"/>
              <w:rPr>
                <w:rFonts w:cs="Arial"/>
                <w:sz w:val="18"/>
                <w:szCs w:val="18"/>
              </w:rPr>
            </w:pPr>
            <w:r w:rsidRPr="007C2214">
              <w:rPr>
                <w:rFonts w:cs="Arial"/>
                <w:sz w:val="18"/>
                <w:szCs w:val="18"/>
              </w:rPr>
              <w:t>Neta</w:t>
            </w:r>
          </w:p>
        </w:tc>
        <w:tc>
          <w:tcPr>
            <w:tcW w:w="667" w:type="dxa"/>
          </w:tcPr>
          <w:p w:rsidR="00454439" w:rsidRPr="007C2214" w:rsidRDefault="00454439" w:rsidP="00B51B51">
            <w:pPr>
              <w:widowControl w:val="0"/>
              <w:jc w:val="center"/>
              <w:rPr>
                <w:rFonts w:cs="Arial"/>
                <w:sz w:val="18"/>
                <w:szCs w:val="18"/>
              </w:rPr>
            </w:pPr>
            <w:r w:rsidRPr="007C2214">
              <w:rPr>
                <w:rFonts w:cs="Arial"/>
                <w:sz w:val="18"/>
                <w:szCs w:val="18"/>
              </w:rPr>
              <w:t>Bruta</w:t>
            </w:r>
          </w:p>
        </w:tc>
        <w:tc>
          <w:tcPr>
            <w:tcW w:w="765" w:type="dxa"/>
          </w:tcPr>
          <w:p w:rsidR="00454439" w:rsidRPr="007C2214" w:rsidRDefault="00454439" w:rsidP="00B51B51">
            <w:pPr>
              <w:widowControl w:val="0"/>
              <w:jc w:val="center"/>
              <w:rPr>
                <w:rFonts w:cs="Arial"/>
                <w:sz w:val="18"/>
                <w:szCs w:val="18"/>
              </w:rPr>
            </w:pPr>
            <w:r w:rsidRPr="007C2214">
              <w:rPr>
                <w:rFonts w:cs="Arial"/>
                <w:sz w:val="18"/>
                <w:szCs w:val="18"/>
              </w:rPr>
              <w:t>Neta</w:t>
            </w:r>
          </w:p>
        </w:tc>
        <w:tc>
          <w:tcPr>
            <w:tcW w:w="672" w:type="dxa"/>
          </w:tcPr>
          <w:p w:rsidR="00454439" w:rsidRPr="007C2214" w:rsidRDefault="00454439" w:rsidP="00B51B51">
            <w:pPr>
              <w:widowControl w:val="0"/>
              <w:jc w:val="center"/>
              <w:rPr>
                <w:rFonts w:cs="Arial"/>
                <w:sz w:val="18"/>
                <w:szCs w:val="18"/>
              </w:rPr>
            </w:pPr>
            <w:r w:rsidRPr="007C2214">
              <w:rPr>
                <w:rFonts w:cs="Arial"/>
                <w:sz w:val="18"/>
                <w:szCs w:val="18"/>
              </w:rPr>
              <w:t>Bruta</w:t>
            </w:r>
          </w:p>
        </w:tc>
      </w:tr>
      <w:tr w:rsidR="004C5962" w:rsidRPr="007C2214">
        <w:trPr>
          <w:jc w:val="center"/>
        </w:trPr>
        <w:tc>
          <w:tcPr>
            <w:tcW w:w="3508" w:type="dxa"/>
            <w:vAlign w:val="center"/>
          </w:tcPr>
          <w:p w:rsidR="004C5962" w:rsidRPr="007C2214" w:rsidRDefault="004C5962" w:rsidP="00B51B51">
            <w:pPr>
              <w:widowControl w:val="0"/>
              <w:rPr>
                <w:rFonts w:cs="Arial"/>
                <w:sz w:val="18"/>
                <w:szCs w:val="18"/>
              </w:rPr>
            </w:pPr>
            <w:r w:rsidRPr="007C2214">
              <w:rPr>
                <w:rFonts w:cs="Arial"/>
                <w:sz w:val="18"/>
                <w:szCs w:val="18"/>
              </w:rPr>
              <w:t>Río Maipo (071)</w:t>
            </w:r>
          </w:p>
        </w:tc>
        <w:tc>
          <w:tcPr>
            <w:tcW w:w="900" w:type="dxa"/>
          </w:tcPr>
          <w:p w:rsidR="004C5962" w:rsidRPr="007C2214" w:rsidRDefault="007643C9" w:rsidP="00B51B51">
            <w:pPr>
              <w:widowControl w:val="0"/>
              <w:jc w:val="center"/>
              <w:rPr>
                <w:rFonts w:cs="Arial"/>
                <w:sz w:val="18"/>
                <w:szCs w:val="18"/>
              </w:rPr>
            </w:pPr>
            <w:r w:rsidRPr="007C2214">
              <w:rPr>
                <w:rFonts w:cs="Arial"/>
                <w:sz w:val="18"/>
                <w:szCs w:val="18"/>
              </w:rPr>
              <w:t>0</w:t>
            </w:r>
          </w:p>
        </w:tc>
        <w:tc>
          <w:tcPr>
            <w:tcW w:w="667" w:type="dxa"/>
          </w:tcPr>
          <w:p w:rsidR="004C5962" w:rsidRPr="007C2214" w:rsidRDefault="007643C9" w:rsidP="00B51B51">
            <w:pPr>
              <w:widowControl w:val="0"/>
              <w:jc w:val="center"/>
              <w:rPr>
                <w:rFonts w:cs="Arial"/>
                <w:sz w:val="18"/>
                <w:szCs w:val="18"/>
              </w:rPr>
            </w:pPr>
            <w:r w:rsidRPr="007C2214">
              <w:rPr>
                <w:rFonts w:cs="Arial"/>
                <w:sz w:val="18"/>
                <w:szCs w:val="18"/>
              </w:rPr>
              <w:t>0</w:t>
            </w:r>
          </w:p>
        </w:tc>
        <w:tc>
          <w:tcPr>
            <w:tcW w:w="765" w:type="dxa"/>
          </w:tcPr>
          <w:p w:rsidR="004C5962" w:rsidRPr="007C2214" w:rsidRDefault="004C5962" w:rsidP="00B51B51">
            <w:pPr>
              <w:widowControl w:val="0"/>
              <w:jc w:val="center"/>
              <w:rPr>
                <w:rFonts w:cs="Arial"/>
                <w:sz w:val="18"/>
                <w:szCs w:val="18"/>
              </w:rPr>
            </w:pPr>
            <w:r w:rsidRPr="007C2214">
              <w:rPr>
                <w:rFonts w:cs="Arial"/>
                <w:sz w:val="18"/>
                <w:szCs w:val="18"/>
              </w:rPr>
              <w:t>0</w:t>
            </w:r>
          </w:p>
        </w:tc>
        <w:tc>
          <w:tcPr>
            <w:tcW w:w="672" w:type="dxa"/>
          </w:tcPr>
          <w:p w:rsidR="004C5962" w:rsidRPr="007C2214" w:rsidRDefault="004C5962" w:rsidP="00B51B51">
            <w:pPr>
              <w:widowControl w:val="0"/>
              <w:jc w:val="center"/>
              <w:rPr>
                <w:rFonts w:cs="Arial"/>
                <w:sz w:val="18"/>
                <w:szCs w:val="18"/>
              </w:rPr>
            </w:pPr>
            <w:r w:rsidRPr="007C2214">
              <w:rPr>
                <w:rFonts w:cs="Arial"/>
                <w:sz w:val="18"/>
                <w:szCs w:val="18"/>
              </w:rPr>
              <w:t>0</w:t>
            </w:r>
          </w:p>
        </w:tc>
      </w:tr>
      <w:tr w:rsidR="004C5962" w:rsidRPr="007C2214">
        <w:trPr>
          <w:jc w:val="center"/>
        </w:trPr>
        <w:tc>
          <w:tcPr>
            <w:tcW w:w="3508" w:type="dxa"/>
            <w:vAlign w:val="center"/>
          </w:tcPr>
          <w:p w:rsidR="004C5962" w:rsidRPr="007C2214" w:rsidRDefault="004C5962" w:rsidP="00B51B51">
            <w:pPr>
              <w:widowControl w:val="0"/>
              <w:rPr>
                <w:rFonts w:cs="Arial"/>
                <w:sz w:val="18"/>
                <w:szCs w:val="18"/>
              </w:rPr>
            </w:pPr>
            <w:r w:rsidRPr="007C2214">
              <w:rPr>
                <w:rFonts w:cs="Arial"/>
                <w:sz w:val="18"/>
                <w:szCs w:val="18"/>
              </w:rPr>
              <w:t>Río Rapel (060)</w:t>
            </w:r>
          </w:p>
        </w:tc>
        <w:tc>
          <w:tcPr>
            <w:tcW w:w="900" w:type="dxa"/>
          </w:tcPr>
          <w:p w:rsidR="004C5962" w:rsidRPr="007C2214" w:rsidRDefault="007643C9" w:rsidP="00B51B51">
            <w:pPr>
              <w:widowControl w:val="0"/>
              <w:jc w:val="center"/>
              <w:rPr>
                <w:rFonts w:cs="Arial"/>
                <w:sz w:val="18"/>
                <w:szCs w:val="18"/>
              </w:rPr>
            </w:pPr>
            <w:r w:rsidRPr="007C2214">
              <w:rPr>
                <w:rFonts w:cs="Arial"/>
                <w:sz w:val="18"/>
                <w:szCs w:val="18"/>
              </w:rPr>
              <w:t>485</w:t>
            </w:r>
          </w:p>
        </w:tc>
        <w:tc>
          <w:tcPr>
            <w:tcW w:w="667" w:type="dxa"/>
          </w:tcPr>
          <w:p w:rsidR="004C5962" w:rsidRPr="007C2214" w:rsidRDefault="007643C9" w:rsidP="00B51B51">
            <w:pPr>
              <w:widowControl w:val="0"/>
              <w:jc w:val="center"/>
              <w:rPr>
                <w:rFonts w:cs="Arial"/>
                <w:sz w:val="18"/>
                <w:szCs w:val="18"/>
              </w:rPr>
            </w:pPr>
            <w:r w:rsidRPr="007C2214">
              <w:rPr>
                <w:rFonts w:cs="Arial"/>
                <w:sz w:val="18"/>
                <w:szCs w:val="18"/>
              </w:rPr>
              <w:t>683</w:t>
            </w:r>
          </w:p>
        </w:tc>
        <w:tc>
          <w:tcPr>
            <w:tcW w:w="765" w:type="dxa"/>
          </w:tcPr>
          <w:p w:rsidR="004C5962" w:rsidRPr="007C2214" w:rsidRDefault="007643C9" w:rsidP="00B51B51">
            <w:pPr>
              <w:widowControl w:val="0"/>
              <w:jc w:val="center"/>
              <w:rPr>
                <w:rFonts w:cs="Arial"/>
                <w:sz w:val="18"/>
                <w:szCs w:val="18"/>
              </w:rPr>
            </w:pPr>
            <w:r w:rsidRPr="007C2214">
              <w:rPr>
                <w:rFonts w:cs="Arial"/>
                <w:sz w:val="18"/>
                <w:szCs w:val="18"/>
              </w:rPr>
              <w:t>874</w:t>
            </w:r>
          </w:p>
        </w:tc>
        <w:tc>
          <w:tcPr>
            <w:tcW w:w="672" w:type="dxa"/>
          </w:tcPr>
          <w:p w:rsidR="004C5962" w:rsidRPr="007C2214" w:rsidRDefault="007643C9" w:rsidP="00B51B51">
            <w:pPr>
              <w:widowControl w:val="0"/>
              <w:jc w:val="center"/>
              <w:rPr>
                <w:rFonts w:cs="Arial"/>
                <w:sz w:val="18"/>
                <w:szCs w:val="18"/>
              </w:rPr>
            </w:pPr>
            <w:r w:rsidRPr="007C2214">
              <w:rPr>
                <w:rFonts w:cs="Arial"/>
                <w:sz w:val="18"/>
                <w:szCs w:val="18"/>
              </w:rPr>
              <w:t>1.232</w:t>
            </w:r>
          </w:p>
        </w:tc>
      </w:tr>
      <w:tr w:rsidR="004C5962" w:rsidRPr="007C2214">
        <w:trPr>
          <w:jc w:val="center"/>
        </w:trPr>
        <w:tc>
          <w:tcPr>
            <w:tcW w:w="3508" w:type="dxa"/>
            <w:vAlign w:val="center"/>
          </w:tcPr>
          <w:p w:rsidR="004C5962" w:rsidRPr="007C2214" w:rsidRDefault="004C5962" w:rsidP="00B51B51">
            <w:pPr>
              <w:widowControl w:val="0"/>
              <w:jc w:val="left"/>
              <w:rPr>
                <w:rFonts w:cs="Arial"/>
                <w:sz w:val="18"/>
                <w:szCs w:val="18"/>
              </w:rPr>
            </w:pPr>
            <w:r w:rsidRPr="007C2214">
              <w:rPr>
                <w:rFonts w:cs="Arial"/>
                <w:sz w:val="18"/>
                <w:szCs w:val="18"/>
              </w:rPr>
              <w:t>Costeras entre Maipo y Rapel (061)</w:t>
            </w:r>
          </w:p>
        </w:tc>
        <w:tc>
          <w:tcPr>
            <w:tcW w:w="900" w:type="dxa"/>
          </w:tcPr>
          <w:p w:rsidR="004C5962" w:rsidRPr="007C2214" w:rsidRDefault="007643C9" w:rsidP="00B51B51">
            <w:pPr>
              <w:widowControl w:val="0"/>
              <w:jc w:val="center"/>
              <w:rPr>
                <w:rFonts w:cs="Arial"/>
                <w:sz w:val="18"/>
                <w:szCs w:val="18"/>
              </w:rPr>
            </w:pPr>
            <w:r w:rsidRPr="007C2214">
              <w:rPr>
                <w:rFonts w:cs="Arial"/>
                <w:sz w:val="18"/>
                <w:szCs w:val="18"/>
              </w:rPr>
              <w:t>0</w:t>
            </w:r>
          </w:p>
        </w:tc>
        <w:tc>
          <w:tcPr>
            <w:tcW w:w="667" w:type="dxa"/>
          </w:tcPr>
          <w:p w:rsidR="004C5962" w:rsidRPr="007C2214" w:rsidRDefault="007643C9" w:rsidP="00B51B51">
            <w:pPr>
              <w:widowControl w:val="0"/>
              <w:jc w:val="center"/>
              <w:rPr>
                <w:rFonts w:cs="Arial"/>
                <w:sz w:val="18"/>
                <w:szCs w:val="18"/>
              </w:rPr>
            </w:pPr>
            <w:r w:rsidRPr="007C2214">
              <w:rPr>
                <w:rFonts w:cs="Arial"/>
                <w:sz w:val="18"/>
                <w:szCs w:val="18"/>
              </w:rPr>
              <w:t>0</w:t>
            </w:r>
          </w:p>
        </w:tc>
        <w:tc>
          <w:tcPr>
            <w:tcW w:w="765" w:type="dxa"/>
          </w:tcPr>
          <w:p w:rsidR="004C5962" w:rsidRPr="007C2214" w:rsidRDefault="004C5962" w:rsidP="00B51B51">
            <w:pPr>
              <w:widowControl w:val="0"/>
              <w:jc w:val="center"/>
              <w:rPr>
                <w:rFonts w:cs="Arial"/>
                <w:sz w:val="18"/>
                <w:szCs w:val="18"/>
              </w:rPr>
            </w:pPr>
            <w:r w:rsidRPr="007C2214">
              <w:rPr>
                <w:rFonts w:cs="Arial"/>
                <w:sz w:val="18"/>
                <w:szCs w:val="18"/>
              </w:rPr>
              <w:t>0</w:t>
            </w:r>
          </w:p>
        </w:tc>
        <w:tc>
          <w:tcPr>
            <w:tcW w:w="672" w:type="dxa"/>
          </w:tcPr>
          <w:p w:rsidR="004C5962" w:rsidRPr="007C2214" w:rsidRDefault="004C5962" w:rsidP="00B51B51">
            <w:pPr>
              <w:widowControl w:val="0"/>
              <w:jc w:val="center"/>
              <w:rPr>
                <w:rFonts w:cs="Arial"/>
                <w:sz w:val="18"/>
                <w:szCs w:val="18"/>
              </w:rPr>
            </w:pPr>
            <w:r w:rsidRPr="007C2214">
              <w:rPr>
                <w:rFonts w:cs="Arial"/>
                <w:sz w:val="18"/>
                <w:szCs w:val="18"/>
              </w:rPr>
              <w:t>0</w:t>
            </w:r>
          </w:p>
        </w:tc>
      </w:tr>
      <w:tr w:rsidR="004C5962" w:rsidRPr="007C2214">
        <w:trPr>
          <w:jc w:val="center"/>
        </w:trPr>
        <w:tc>
          <w:tcPr>
            <w:tcW w:w="3508" w:type="dxa"/>
            <w:vAlign w:val="center"/>
          </w:tcPr>
          <w:p w:rsidR="004C5962" w:rsidRPr="007C2214" w:rsidRDefault="004C5962" w:rsidP="00B51B51">
            <w:pPr>
              <w:widowControl w:val="0"/>
              <w:rPr>
                <w:rFonts w:cs="Arial"/>
                <w:sz w:val="18"/>
                <w:szCs w:val="18"/>
              </w:rPr>
            </w:pPr>
            <w:r w:rsidRPr="007C2214">
              <w:rPr>
                <w:rFonts w:cs="Arial"/>
                <w:sz w:val="18"/>
                <w:szCs w:val="18"/>
              </w:rPr>
              <w:t>Total</w:t>
            </w:r>
          </w:p>
        </w:tc>
        <w:tc>
          <w:tcPr>
            <w:tcW w:w="900" w:type="dxa"/>
          </w:tcPr>
          <w:p w:rsidR="004C5962" w:rsidRPr="007C2214" w:rsidRDefault="007643C9" w:rsidP="00B51B51">
            <w:pPr>
              <w:widowControl w:val="0"/>
              <w:jc w:val="center"/>
              <w:rPr>
                <w:rFonts w:cs="Arial"/>
                <w:sz w:val="18"/>
                <w:szCs w:val="18"/>
              </w:rPr>
            </w:pPr>
            <w:r w:rsidRPr="007C2214">
              <w:rPr>
                <w:rFonts w:cs="Arial"/>
                <w:sz w:val="18"/>
                <w:szCs w:val="18"/>
              </w:rPr>
              <w:t>485</w:t>
            </w:r>
          </w:p>
        </w:tc>
        <w:tc>
          <w:tcPr>
            <w:tcW w:w="667" w:type="dxa"/>
          </w:tcPr>
          <w:p w:rsidR="004C5962" w:rsidRPr="007C2214" w:rsidRDefault="007643C9" w:rsidP="00B51B51">
            <w:pPr>
              <w:widowControl w:val="0"/>
              <w:jc w:val="center"/>
              <w:rPr>
                <w:rFonts w:cs="Arial"/>
                <w:sz w:val="18"/>
                <w:szCs w:val="18"/>
              </w:rPr>
            </w:pPr>
            <w:r w:rsidRPr="007C2214">
              <w:rPr>
                <w:rFonts w:cs="Arial"/>
                <w:sz w:val="18"/>
                <w:szCs w:val="18"/>
              </w:rPr>
              <w:t>683</w:t>
            </w:r>
          </w:p>
        </w:tc>
        <w:tc>
          <w:tcPr>
            <w:tcW w:w="765" w:type="dxa"/>
          </w:tcPr>
          <w:p w:rsidR="004C5962" w:rsidRPr="007C2214" w:rsidRDefault="007643C9" w:rsidP="00B51B51">
            <w:pPr>
              <w:widowControl w:val="0"/>
              <w:jc w:val="center"/>
              <w:rPr>
                <w:rFonts w:cs="Arial"/>
                <w:sz w:val="18"/>
                <w:szCs w:val="18"/>
              </w:rPr>
            </w:pPr>
            <w:r w:rsidRPr="007C2214">
              <w:rPr>
                <w:rFonts w:cs="Arial"/>
                <w:sz w:val="18"/>
                <w:szCs w:val="18"/>
              </w:rPr>
              <w:t>874</w:t>
            </w:r>
          </w:p>
        </w:tc>
        <w:tc>
          <w:tcPr>
            <w:tcW w:w="672" w:type="dxa"/>
          </w:tcPr>
          <w:p w:rsidR="004C5962" w:rsidRPr="007C2214" w:rsidRDefault="007643C9" w:rsidP="00B51B51">
            <w:pPr>
              <w:widowControl w:val="0"/>
              <w:jc w:val="center"/>
              <w:rPr>
                <w:rFonts w:cs="Arial"/>
                <w:sz w:val="18"/>
                <w:szCs w:val="18"/>
              </w:rPr>
            </w:pPr>
            <w:r w:rsidRPr="007C2214">
              <w:rPr>
                <w:rFonts w:cs="Arial"/>
                <w:sz w:val="18"/>
                <w:szCs w:val="18"/>
              </w:rPr>
              <w:t>1.232</w:t>
            </w:r>
          </w:p>
        </w:tc>
      </w:tr>
    </w:tbl>
    <w:p w:rsidR="00F56AEE" w:rsidRDefault="00F56AEE" w:rsidP="00F56AEE">
      <w:pPr>
        <w:pStyle w:val="Ttulo3"/>
        <w:numPr>
          <w:ilvl w:val="0"/>
          <w:numId w:val="0"/>
        </w:numPr>
      </w:pPr>
    </w:p>
    <w:p w:rsidR="000F6FF9" w:rsidRPr="00962D24" w:rsidRDefault="00F56AEE" w:rsidP="003B0BE3">
      <w:pPr>
        <w:pStyle w:val="Ttulo3"/>
      </w:pPr>
      <w:r>
        <w:br w:type="page"/>
      </w:r>
      <w:bookmarkStart w:id="249" w:name="_Toc344391826"/>
      <w:r w:rsidR="000F6FF9">
        <w:lastRenderedPageBreak/>
        <w:t>Generación Eléctrica</w:t>
      </w:r>
      <w:bookmarkEnd w:id="249"/>
    </w:p>
    <w:p w:rsidR="000F6FF9" w:rsidRDefault="000F6FF9" w:rsidP="00B51B51">
      <w:pPr>
        <w:widowControl w:val="0"/>
        <w:rPr>
          <w:rFonts w:cs="Arial"/>
          <w:szCs w:val="22"/>
        </w:rPr>
      </w:pPr>
    </w:p>
    <w:p w:rsidR="000F6FF9" w:rsidRDefault="000F6FF9" w:rsidP="00B51B51">
      <w:pPr>
        <w:widowControl w:val="0"/>
        <w:rPr>
          <w:rFonts w:cs="Arial"/>
          <w:szCs w:val="22"/>
        </w:rPr>
      </w:pPr>
      <w:r>
        <w:rPr>
          <w:rFonts w:cs="Arial"/>
          <w:szCs w:val="22"/>
        </w:rPr>
        <w:t>A objeto de caracterizar las demandas de agua del sector eléctrico se ha tomado en consideración los resultados alcanzados en los estudios desarrollados por</w:t>
      </w:r>
      <w:r w:rsidR="000E16CD">
        <w:rPr>
          <w:rFonts w:cs="Arial"/>
          <w:szCs w:val="22"/>
        </w:rPr>
        <w:t xml:space="preserve"> IPLA y</w:t>
      </w:r>
      <w:r>
        <w:rPr>
          <w:rFonts w:cs="Arial"/>
          <w:szCs w:val="22"/>
        </w:rPr>
        <w:t xml:space="preserve"> Ayala, Cabrera y Asociados Ltda. en el cual se caracterizaron las demandas para los años 1993 y 2005. En ellas se incluyen tanto las centrales de pasada como termoeléctricas.</w:t>
      </w:r>
    </w:p>
    <w:p w:rsidR="000F6FF9" w:rsidRDefault="000F6FF9" w:rsidP="00B51B51">
      <w:pPr>
        <w:widowControl w:val="0"/>
        <w:rPr>
          <w:rFonts w:cs="Arial"/>
          <w:szCs w:val="22"/>
        </w:rPr>
      </w:pPr>
    </w:p>
    <w:p w:rsidR="000F6FF9" w:rsidRDefault="000F6FF9" w:rsidP="00B51B51">
      <w:pPr>
        <w:widowControl w:val="0"/>
        <w:rPr>
          <w:rFonts w:cs="Arial"/>
          <w:szCs w:val="22"/>
        </w:rPr>
      </w:pPr>
      <w:r>
        <w:rPr>
          <w:rFonts w:cs="Arial"/>
          <w:szCs w:val="22"/>
        </w:rPr>
        <w:t>En estos estudios se evaluó la demanda para generación de electricidad en función de las centrales que estaban en operación a la fecha del estudio mencionado más aquellas que estaban en proyecto de desarrollo conforme a la información que se encintraba disponible en el Centro de Despacho Económico de Carga.</w:t>
      </w:r>
    </w:p>
    <w:p w:rsidR="000F6FF9" w:rsidRDefault="000F6FF9" w:rsidP="00B51B51">
      <w:pPr>
        <w:widowControl w:val="0"/>
        <w:rPr>
          <w:rFonts w:cs="Arial"/>
          <w:szCs w:val="22"/>
        </w:rPr>
      </w:pPr>
    </w:p>
    <w:p w:rsidR="000F6FF9" w:rsidRDefault="000F6FF9" w:rsidP="00B51B51">
      <w:pPr>
        <w:widowControl w:val="0"/>
        <w:rPr>
          <w:rFonts w:cs="Arial"/>
          <w:szCs w:val="22"/>
        </w:rPr>
      </w:pPr>
      <w:r w:rsidRPr="00B62241">
        <w:rPr>
          <w:rFonts w:cs="Arial"/>
          <w:szCs w:val="22"/>
        </w:rPr>
        <w:t xml:space="preserve">En </w:t>
      </w:r>
      <w:smartTag w:uri="urn:schemas-microsoft-com:office:smarttags" w:element="PersonName">
        <w:smartTagPr>
          <w:attr w:name="ProductID" w:val="la ￼￼￼￼￼￼￼￼￼￼￼￼￼￼￼￼￼￼￼￼￼￼￼￼￼￼￼￼￼￼￼￼￼￼￼￼￼￼￼￼￼Tabla"/>
        </w:smartTagPr>
        <w:r w:rsidRPr="00B62241">
          <w:rPr>
            <w:rFonts w:cs="Arial"/>
            <w:szCs w:val="22"/>
          </w:rPr>
          <w:t xml:space="preserve">la </w:t>
        </w:r>
        <w:r w:rsidRPr="00B62241">
          <w:rPr>
            <w:rFonts w:cs="Arial"/>
            <w:szCs w:val="22"/>
          </w:rPr>
          <w:fldChar w:fldCharType="begin"/>
        </w:r>
        <w:r w:rsidRPr="00B62241">
          <w:rPr>
            <w:rFonts w:cs="Arial"/>
            <w:szCs w:val="22"/>
          </w:rPr>
          <w:instrText xml:space="preserve"> REF _Ref338350433 \h </w:instrText>
        </w:r>
        <w:r w:rsidRPr="00B62241">
          <w:rPr>
            <w:rFonts w:cs="Arial"/>
            <w:szCs w:val="22"/>
          </w:rPr>
        </w:r>
        <w:r>
          <w:rPr>
            <w:rFonts w:cs="Arial"/>
            <w:szCs w:val="22"/>
          </w:rPr>
          <w:instrText xml:space="preserve"> \* MERGEFORMAT </w:instrText>
        </w:r>
        <w:r w:rsidRPr="00B62241">
          <w:rPr>
            <w:rFonts w:cs="Arial"/>
            <w:szCs w:val="22"/>
          </w:rPr>
          <w:fldChar w:fldCharType="separate"/>
        </w:r>
        <w:r w:rsidR="00264070" w:rsidRPr="00B62241">
          <w:t>Tabla</w:t>
        </w:r>
      </w:smartTag>
      <w:r w:rsidR="00264070" w:rsidRPr="00B62241">
        <w:t xml:space="preserve"> </w:t>
      </w:r>
      <w:r w:rsidR="00264070">
        <w:rPr>
          <w:noProof/>
        </w:rPr>
        <w:t>5.24</w:t>
      </w:r>
      <w:r w:rsidRPr="00B62241">
        <w:rPr>
          <w:rFonts w:cs="Arial"/>
          <w:szCs w:val="22"/>
        </w:rPr>
        <w:fldChar w:fldCharType="end"/>
      </w:r>
      <w:r w:rsidRPr="00B62241">
        <w:rPr>
          <w:rFonts w:cs="Arial"/>
          <w:szCs w:val="22"/>
        </w:rPr>
        <w:t xml:space="preserve"> se entrega una estimación de las demandas de este sector a nivel</w:t>
      </w:r>
      <w:r>
        <w:rPr>
          <w:rFonts w:cs="Arial"/>
          <w:szCs w:val="22"/>
        </w:rPr>
        <w:t xml:space="preserve"> </w:t>
      </w:r>
      <w:r w:rsidRPr="00B62241">
        <w:rPr>
          <w:rFonts w:cs="Arial"/>
          <w:szCs w:val="22"/>
        </w:rPr>
        <w:t>d</w:t>
      </w:r>
      <w:r>
        <w:rPr>
          <w:rFonts w:cs="Arial"/>
          <w:szCs w:val="22"/>
        </w:rPr>
        <w:t>e</w:t>
      </w:r>
      <w:r w:rsidRPr="00B62241">
        <w:rPr>
          <w:rFonts w:cs="Arial"/>
          <w:szCs w:val="22"/>
        </w:rPr>
        <w:t xml:space="preserve"> cuencas para los dos cortes temporales analizados.</w:t>
      </w:r>
    </w:p>
    <w:p w:rsidR="000F6FF9" w:rsidRDefault="000F6FF9" w:rsidP="00B51B51">
      <w:pPr>
        <w:widowControl w:val="0"/>
        <w:rPr>
          <w:rFonts w:cs="Arial"/>
          <w:szCs w:val="22"/>
        </w:rPr>
      </w:pPr>
    </w:p>
    <w:p w:rsidR="000F6FF9" w:rsidRPr="00B62241" w:rsidRDefault="000F6FF9" w:rsidP="00B51B51">
      <w:pPr>
        <w:pStyle w:val="Epgrafe"/>
        <w:widowControl w:val="0"/>
      </w:pPr>
      <w:bookmarkStart w:id="250" w:name="_Ref338350433"/>
      <w:r w:rsidRPr="00B62241">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24</w:t>
      </w:r>
      <w:r w:rsidR="007F3102">
        <w:fldChar w:fldCharType="end"/>
      </w:r>
      <w:bookmarkEnd w:id="250"/>
      <w:r>
        <w:t xml:space="preserve"> Demandas Generación de Electricidad</w:t>
      </w:r>
      <w:r w:rsidRPr="00B62241">
        <w:t xml:space="preserve"> Informadas en Estudios Previos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8"/>
        <w:gridCol w:w="1437"/>
        <w:gridCol w:w="1437"/>
      </w:tblGrid>
      <w:tr w:rsidR="000F6FF9" w:rsidRPr="00B62241">
        <w:trPr>
          <w:trHeight w:val="208"/>
          <w:jc w:val="center"/>
        </w:trPr>
        <w:tc>
          <w:tcPr>
            <w:tcW w:w="3508" w:type="dxa"/>
          </w:tcPr>
          <w:p w:rsidR="000F6FF9" w:rsidRPr="00B62241" w:rsidRDefault="000F6FF9" w:rsidP="00B51B51">
            <w:pPr>
              <w:widowControl w:val="0"/>
              <w:jc w:val="center"/>
              <w:rPr>
                <w:rFonts w:cs="Arial"/>
                <w:sz w:val="18"/>
                <w:szCs w:val="18"/>
              </w:rPr>
            </w:pPr>
            <w:bookmarkStart w:id="251" w:name="OLE_LINK22"/>
            <w:bookmarkStart w:id="252" w:name="OLE_LINK23"/>
            <w:r w:rsidRPr="00B62241">
              <w:rPr>
                <w:rFonts w:cs="Arial"/>
                <w:sz w:val="18"/>
                <w:szCs w:val="18"/>
              </w:rPr>
              <w:t>Cuenca</w:t>
            </w:r>
          </w:p>
        </w:tc>
        <w:tc>
          <w:tcPr>
            <w:tcW w:w="1437" w:type="dxa"/>
          </w:tcPr>
          <w:p w:rsidR="000F6FF9" w:rsidRPr="00B62241" w:rsidRDefault="000F6FF9" w:rsidP="00B51B51">
            <w:pPr>
              <w:widowControl w:val="0"/>
              <w:jc w:val="center"/>
              <w:rPr>
                <w:rFonts w:cs="Arial"/>
                <w:sz w:val="18"/>
                <w:szCs w:val="18"/>
              </w:rPr>
            </w:pPr>
            <w:r w:rsidRPr="00B62241">
              <w:rPr>
                <w:rFonts w:cs="Arial"/>
                <w:sz w:val="18"/>
                <w:szCs w:val="18"/>
              </w:rPr>
              <w:t>Año 1993 (l/s)</w:t>
            </w:r>
          </w:p>
        </w:tc>
        <w:tc>
          <w:tcPr>
            <w:tcW w:w="1437" w:type="dxa"/>
          </w:tcPr>
          <w:p w:rsidR="000F6FF9" w:rsidRPr="00B62241" w:rsidRDefault="000F6FF9" w:rsidP="00B51B51">
            <w:pPr>
              <w:widowControl w:val="0"/>
              <w:jc w:val="center"/>
              <w:rPr>
                <w:rFonts w:cs="Arial"/>
                <w:sz w:val="18"/>
                <w:szCs w:val="18"/>
              </w:rPr>
            </w:pPr>
            <w:r w:rsidRPr="00B62241">
              <w:rPr>
                <w:rFonts w:cs="Arial"/>
                <w:sz w:val="18"/>
                <w:szCs w:val="18"/>
              </w:rPr>
              <w:t>Año 2005 (l/s)</w:t>
            </w:r>
          </w:p>
        </w:tc>
      </w:tr>
      <w:tr w:rsidR="000F6FF9" w:rsidRPr="00B62241">
        <w:trPr>
          <w:jc w:val="center"/>
        </w:trPr>
        <w:tc>
          <w:tcPr>
            <w:tcW w:w="3508" w:type="dxa"/>
            <w:vAlign w:val="center"/>
          </w:tcPr>
          <w:p w:rsidR="000F6FF9" w:rsidRPr="007C2214" w:rsidRDefault="000F6FF9" w:rsidP="00B51B51">
            <w:pPr>
              <w:widowControl w:val="0"/>
              <w:rPr>
                <w:rFonts w:cs="Arial"/>
                <w:sz w:val="18"/>
                <w:szCs w:val="18"/>
              </w:rPr>
            </w:pPr>
            <w:r w:rsidRPr="007C2214">
              <w:rPr>
                <w:rFonts w:cs="Arial"/>
                <w:sz w:val="18"/>
                <w:szCs w:val="18"/>
              </w:rPr>
              <w:t>Río Maipo (071)</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0,0</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0,0</w:t>
            </w:r>
          </w:p>
        </w:tc>
      </w:tr>
      <w:tr w:rsidR="000F6FF9" w:rsidRPr="00B62241">
        <w:trPr>
          <w:jc w:val="center"/>
        </w:trPr>
        <w:tc>
          <w:tcPr>
            <w:tcW w:w="3508" w:type="dxa"/>
            <w:vAlign w:val="center"/>
          </w:tcPr>
          <w:p w:rsidR="000F6FF9" w:rsidRPr="007C2214" w:rsidRDefault="000F6FF9" w:rsidP="00B51B51">
            <w:pPr>
              <w:widowControl w:val="0"/>
              <w:rPr>
                <w:rFonts w:cs="Arial"/>
                <w:sz w:val="18"/>
                <w:szCs w:val="18"/>
              </w:rPr>
            </w:pPr>
            <w:r w:rsidRPr="007C2214">
              <w:rPr>
                <w:rFonts w:cs="Arial"/>
                <w:sz w:val="18"/>
                <w:szCs w:val="18"/>
              </w:rPr>
              <w:t>Río Rapel (060)</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273.600</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653.753</w:t>
            </w:r>
          </w:p>
        </w:tc>
      </w:tr>
      <w:tr w:rsidR="000F6FF9" w:rsidRPr="00B62241">
        <w:trPr>
          <w:jc w:val="center"/>
        </w:trPr>
        <w:tc>
          <w:tcPr>
            <w:tcW w:w="3508" w:type="dxa"/>
            <w:vAlign w:val="center"/>
          </w:tcPr>
          <w:p w:rsidR="000F6FF9" w:rsidRPr="007C2214" w:rsidRDefault="000F6FF9" w:rsidP="00B51B51">
            <w:pPr>
              <w:widowControl w:val="0"/>
              <w:jc w:val="left"/>
              <w:rPr>
                <w:rFonts w:cs="Arial"/>
                <w:sz w:val="18"/>
                <w:szCs w:val="18"/>
              </w:rPr>
            </w:pPr>
            <w:r w:rsidRPr="007C2214">
              <w:rPr>
                <w:rFonts w:cs="Arial"/>
                <w:sz w:val="18"/>
                <w:szCs w:val="18"/>
              </w:rPr>
              <w:t>Costeras entre Maipo y Rapel (061)</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0,0</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0,0</w:t>
            </w:r>
          </w:p>
        </w:tc>
      </w:tr>
      <w:tr w:rsidR="000F6FF9" w:rsidRPr="00B62241">
        <w:trPr>
          <w:jc w:val="center"/>
        </w:trPr>
        <w:tc>
          <w:tcPr>
            <w:tcW w:w="3508" w:type="dxa"/>
            <w:vAlign w:val="center"/>
          </w:tcPr>
          <w:p w:rsidR="000F6FF9" w:rsidRPr="007C2214" w:rsidRDefault="000F6FF9" w:rsidP="00B51B51">
            <w:pPr>
              <w:widowControl w:val="0"/>
              <w:rPr>
                <w:rFonts w:cs="Arial"/>
                <w:sz w:val="18"/>
                <w:szCs w:val="18"/>
              </w:rPr>
            </w:pPr>
            <w:r w:rsidRPr="007C2214">
              <w:rPr>
                <w:rFonts w:cs="Arial"/>
                <w:sz w:val="18"/>
                <w:szCs w:val="18"/>
              </w:rPr>
              <w:t>Total</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273.600</w:t>
            </w:r>
          </w:p>
        </w:tc>
        <w:tc>
          <w:tcPr>
            <w:tcW w:w="1437" w:type="dxa"/>
            <w:vAlign w:val="bottom"/>
          </w:tcPr>
          <w:p w:rsidR="000F6FF9" w:rsidRPr="00B62241" w:rsidRDefault="000E16CD" w:rsidP="00B51B51">
            <w:pPr>
              <w:widowControl w:val="0"/>
              <w:jc w:val="center"/>
              <w:rPr>
                <w:rFonts w:cs="Arial"/>
                <w:sz w:val="18"/>
                <w:szCs w:val="18"/>
              </w:rPr>
            </w:pPr>
            <w:r>
              <w:rPr>
                <w:rFonts w:cs="Arial"/>
                <w:sz w:val="18"/>
                <w:szCs w:val="18"/>
              </w:rPr>
              <w:t>653.753</w:t>
            </w:r>
          </w:p>
        </w:tc>
      </w:tr>
      <w:bookmarkEnd w:id="251"/>
      <w:bookmarkEnd w:id="252"/>
    </w:tbl>
    <w:p w:rsidR="000F6FF9" w:rsidRDefault="000F6FF9" w:rsidP="00B51B51">
      <w:pPr>
        <w:widowControl w:val="0"/>
        <w:ind w:left="1276"/>
        <w:rPr>
          <w:rFonts w:cs="Arial"/>
          <w:sz w:val="18"/>
          <w:szCs w:val="18"/>
        </w:rPr>
      </w:pPr>
    </w:p>
    <w:p w:rsidR="000F6FF9" w:rsidRDefault="000F6FF9" w:rsidP="00B51B51">
      <w:pPr>
        <w:widowControl w:val="0"/>
        <w:rPr>
          <w:rFonts w:cs="Arial"/>
          <w:szCs w:val="22"/>
        </w:rPr>
      </w:pPr>
      <w:r>
        <w:rPr>
          <w:rFonts w:cs="Arial"/>
          <w:szCs w:val="22"/>
        </w:rPr>
        <w:t xml:space="preserve">De acuerdo al estudio citado, al año 1993 las demandas del sector eléctrico ascienden a </w:t>
      </w:r>
      <w:r w:rsidR="000E16CD">
        <w:rPr>
          <w:rFonts w:cs="Arial"/>
          <w:szCs w:val="22"/>
        </w:rPr>
        <w:t>273.600</w:t>
      </w:r>
      <w:r>
        <w:rPr>
          <w:rFonts w:cs="Arial"/>
          <w:szCs w:val="22"/>
        </w:rPr>
        <w:t xml:space="preserve"> l/s, las cuales aumentan el año </w:t>
      </w:r>
      <w:smartTag w:uri="urn:schemas-microsoft-com:office:smarttags" w:element="metricconverter">
        <w:smartTagPr>
          <w:attr w:name="ProductID" w:val="2005 a"/>
        </w:smartTagPr>
        <w:r>
          <w:rPr>
            <w:rFonts w:cs="Arial"/>
            <w:szCs w:val="22"/>
          </w:rPr>
          <w:t>2005 a</w:t>
        </w:r>
      </w:smartTag>
      <w:r>
        <w:rPr>
          <w:rFonts w:cs="Arial"/>
          <w:szCs w:val="22"/>
        </w:rPr>
        <w:t xml:space="preserve"> </w:t>
      </w:r>
      <w:r w:rsidR="000E16CD">
        <w:rPr>
          <w:rFonts w:cs="Arial"/>
          <w:szCs w:val="22"/>
        </w:rPr>
        <w:t>653.753</w:t>
      </w:r>
      <w:r>
        <w:rPr>
          <w:rFonts w:cs="Arial"/>
          <w:szCs w:val="22"/>
        </w:rPr>
        <w:t xml:space="preserve"> l/s por la puesta en operación de </w:t>
      </w:r>
      <w:r w:rsidR="000E16CD">
        <w:rPr>
          <w:rFonts w:cs="Arial"/>
          <w:szCs w:val="22"/>
        </w:rPr>
        <w:t>nuevos centrales de generación</w:t>
      </w:r>
      <w:r>
        <w:rPr>
          <w:rFonts w:cs="Arial"/>
          <w:szCs w:val="22"/>
        </w:rPr>
        <w:t>.</w:t>
      </w:r>
    </w:p>
    <w:p w:rsidR="000F6FF9" w:rsidRPr="00962D24" w:rsidRDefault="000F6FF9" w:rsidP="00B51B51">
      <w:pPr>
        <w:widowControl w:val="0"/>
      </w:pPr>
    </w:p>
    <w:p w:rsidR="00BF4739" w:rsidRPr="00962D24" w:rsidRDefault="00C70BE0" w:rsidP="00B51B51">
      <w:pPr>
        <w:pStyle w:val="Ttulo2"/>
        <w:keepNext w:val="0"/>
      </w:pPr>
      <w:bookmarkStart w:id="253" w:name="_Toc344391827"/>
      <w:r w:rsidRPr="00962D24">
        <w:t>Demandas Actuales y Futuras</w:t>
      </w:r>
      <w:bookmarkEnd w:id="253"/>
    </w:p>
    <w:p w:rsidR="00476828" w:rsidRPr="00962D24" w:rsidRDefault="00476828" w:rsidP="00B51B51">
      <w:pPr>
        <w:widowControl w:val="0"/>
      </w:pPr>
    </w:p>
    <w:p w:rsidR="00C70BE0" w:rsidRDefault="00C70BE0" w:rsidP="00B51B51">
      <w:pPr>
        <w:widowControl w:val="0"/>
      </w:pPr>
      <w:r w:rsidRPr="00962D24">
        <w:t>En lo que sigue se presenta un análisis de la estimación de las demandas para los distintos sectores para dos escenarios</w:t>
      </w:r>
      <w:r w:rsidR="00621BF1">
        <w:t>:</w:t>
      </w:r>
      <w:r w:rsidRPr="00962D24">
        <w:t xml:space="preserve"> situación actual</w:t>
      </w:r>
      <w:r w:rsidR="00476828" w:rsidRPr="00962D24">
        <w:t xml:space="preserve"> (2012)</w:t>
      </w:r>
      <w:r w:rsidRPr="00962D24">
        <w:t xml:space="preserve"> y situación futura</w:t>
      </w:r>
      <w:r w:rsidR="00476828" w:rsidRPr="00962D24">
        <w:t xml:space="preserve"> (2030</w:t>
      </w:r>
      <w:r w:rsidR="00621BF1">
        <w:t>).</w:t>
      </w:r>
    </w:p>
    <w:p w:rsidR="003B0BE3" w:rsidRPr="00962D24" w:rsidRDefault="003B0BE3" w:rsidP="00B51B51">
      <w:pPr>
        <w:widowControl w:val="0"/>
      </w:pPr>
    </w:p>
    <w:p w:rsidR="00476828" w:rsidRPr="00962D24" w:rsidRDefault="00476828" w:rsidP="003B0BE3">
      <w:pPr>
        <w:pStyle w:val="Ttulo3"/>
      </w:pPr>
      <w:bookmarkStart w:id="254" w:name="_Toc344391828"/>
      <w:r w:rsidRPr="00962D24">
        <w:t>Riego</w:t>
      </w:r>
      <w:bookmarkEnd w:id="254"/>
    </w:p>
    <w:p w:rsidR="00476828" w:rsidRPr="00962D24" w:rsidRDefault="00476828" w:rsidP="00B51B51">
      <w:pPr>
        <w:widowControl w:val="0"/>
      </w:pPr>
    </w:p>
    <w:p w:rsidR="000A1474" w:rsidRPr="00962D24" w:rsidRDefault="000A1474" w:rsidP="00B51B51">
      <w:pPr>
        <w:widowControl w:val="0"/>
        <w:rPr>
          <w:rFonts w:cs="Arial"/>
        </w:rPr>
      </w:pPr>
      <w:r w:rsidRPr="00962D24">
        <w:rPr>
          <w:rFonts w:cs="Arial"/>
        </w:rPr>
        <w:t>Para poder establecer las demandas actuales de riego, previamente es necesario establecer la situación agropecuaria actual, en cuanto a uso del suelo y tecnología aplicada. Esto último está referido a los métodos de riego utilizados en la actualidad por especie cultivada.</w:t>
      </w:r>
    </w:p>
    <w:p w:rsidR="000A1474" w:rsidRPr="00962D24" w:rsidRDefault="000A1474" w:rsidP="00B51B51">
      <w:pPr>
        <w:widowControl w:val="0"/>
        <w:rPr>
          <w:rFonts w:cs="Arial"/>
        </w:rPr>
      </w:pPr>
    </w:p>
    <w:p w:rsidR="000A1474" w:rsidRPr="00962D24" w:rsidRDefault="000A1474" w:rsidP="00B51B51">
      <w:pPr>
        <w:widowControl w:val="0"/>
        <w:rPr>
          <w:rFonts w:cs="Arial"/>
        </w:rPr>
      </w:pPr>
      <w:r w:rsidRPr="00962D24">
        <w:rPr>
          <w:rFonts w:cs="Arial"/>
        </w:rPr>
        <w:t xml:space="preserve">Cabe señalar que dentro de los antecedentes considerados tanto en la determinación del uso actual de los suelos, como en los métodos de riego utilizados, se encuentra el Catastro Frutícola de Ciren Corfo, el VII Censo Nacional Agropecuario y estudios efectuados para </w:t>
      </w:r>
      <w:smartTag w:uri="urn:schemas-microsoft-com:office:smarttags" w:element="PersonName">
        <w:smartTagPr>
          <w:attr w:name="ProductID" w:val="la Dirección General"/>
        </w:smartTagPr>
        <w:r w:rsidRPr="00962D24">
          <w:rPr>
            <w:rFonts w:cs="Arial"/>
          </w:rPr>
          <w:t>la Dirección General</w:t>
        </w:r>
      </w:smartTag>
      <w:r w:rsidRPr="00962D24">
        <w:rPr>
          <w:rFonts w:cs="Arial"/>
        </w:rPr>
        <w:t xml:space="preserve"> de Aguas, Dirección de Obras Hidráulicas y para </w:t>
      </w:r>
      <w:smartTag w:uri="urn:schemas-microsoft-com:office:smarttags" w:element="PersonName">
        <w:smartTagPr>
          <w:attr w:name="ProductID" w:val="la Comisión Nacional"/>
        </w:smartTagPr>
        <w:r w:rsidRPr="00962D24">
          <w:rPr>
            <w:rFonts w:cs="Arial"/>
          </w:rPr>
          <w:t>la Comisión Nacional</w:t>
        </w:r>
      </w:smartTag>
      <w:r w:rsidRPr="00962D24">
        <w:rPr>
          <w:rFonts w:cs="Arial"/>
        </w:rPr>
        <w:t xml:space="preserve"> de Riego. </w:t>
      </w:r>
    </w:p>
    <w:p w:rsidR="000A1474" w:rsidRPr="00962D24" w:rsidRDefault="000A1474" w:rsidP="00B51B51">
      <w:pPr>
        <w:widowControl w:val="0"/>
        <w:rPr>
          <w:rFonts w:cs="Arial"/>
        </w:rPr>
      </w:pPr>
    </w:p>
    <w:p w:rsidR="000A1474" w:rsidRPr="00962D24" w:rsidRDefault="000A1474" w:rsidP="00B51B51">
      <w:pPr>
        <w:widowControl w:val="0"/>
        <w:rPr>
          <w:rFonts w:cs="Arial"/>
        </w:rPr>
      </w:pPr>
      <w:r w:rsidRPr="00962D24">
        <w:rPr>
          <w:rFonts w:cs="Arial"/>
        </w:rPr>
        <w:t>En</w:t>
      </w:r>
      <w:r w:rsidR="003B0BE3">
        <w:rPr>
          <w:rFonts w:cs="Arial"/>
        </w:rPr>
        <w:t xml:space="preserve"> </w:t>
      </w:r>
      <w:smartTag w:uri="urn:schemas-microsoft-com:office:smarttags" w:element="PersonName">
        <w:smartTagPr>
          <w:attr w:name="ProductID" w:val="la ￼￼￼￼￼￼￼￼￼￼￼￼￼￼￼￼￼￼￼￼￼￼￼￼￼￼￼￼￼￼￼￼￼￼￼￼￼￼￼￼￼Tabla"/>
        </w:smartTagPr>
        <w:r w:rsidR="003B0BE3">
          <w:rPr>
            <w:rFonts w:cs="Arial"/>
          </w:rPr>
          <w:t xml:space="preserve">la </w:t>
        </w:r>
        <w:r w:rsidR="003B0BE3">
          <w:rPr>
            <w:rFonts w:cs="Arial"/>
          </w:rPr>
          <w:fldChar w:fldCharType="begin"/>
        </w:r>
        <w:r w:rsidR="003B0BE3">
          <w:rPr>
            <w:rFonts w:cs="Arial"/>
          </w:rPr>
          <w:instrText xml:space="preserve"> REF _Ref341712358 \h </w:instrText>
        </w:r>
        <w:r w:rsidR="00E362F8" w:rsidRPr="003B0BE3">
          <w:rPr>
            <w:rFonts w:cs="Arial"/>
          </w:rPr>
        </w:r>
        <w:r w:rsidR="003B0BE3">
          <w:rPr>
            <w:rFonts w:cs="Arial"/>
          </w:rPr>
          <w:fldChar w:fldCharType="separate"/>
        </w:r>
        <w:r w:rsidR="00264070" w:rsidRPr="00962D24">
          <w:t>Tabla</w:t>
        </w:r>
      </w:smartTag>
      <w:r w:rsidR="00264070" w:rsidRPr="00962D24">
        <w:t xml:space="preserve"> </w:t>
      </w:r>
      <w:r w:rsidR="00264070">
        <w:rPr>
          <w:noProof/>
        </w:rPr>
        <w:t>5</w:t>
      </w:r>
      <w:r w:rsidR="00264070">
        <w:t>.</w:t>
      </w:r>
      <w:r w:rsidR="00264070">
        <w:rPr>
          <w:noProof/>
        </w:rPr>
        <w:t>25</w:t>
      </w:r>
      <w:r w:rsidR="003B0BE3">
        <w:rPr>
          <w:rFonts w:cs="Arial"/>
        </w:rPr>
        <w:fldChar w:fldCharType="end"/>
      </w:r>
      <w:r w:rsidRPr="00962D24">
        <w:rPr>
          <w:rFonts w:cs="Arial"/>
        </w:rPr>
        <w:t xml:space="preserve"> se observa la subdivisión de </w:t>
      </w:r>
      <w:smartTag w:uri="urn:schemas-microsoft-com:office:smarttags" w:element="PersonName">
        <w:smartTagPr>
          <w:attr w:name="ProductID" w:val="la VI Región"/>
        </w:smartTagPr>
        <w:r w:rsidRPr="00962D24">
          <w:rPr>
            <w:rFonts w:cs="Arial"/>
          </w:rPr>
          <w:t>la VI Región</w:t>
        </w:r>
      </w:smartTag>
      <w:r w:rsidRPr="00962D24">
        <w:rPr>
          <w:rFonts w:cs="Arial"/>
        </w:rPr>
        <w:t xml:space="preserve"> por subcuencas, las cuales para estos efectos representan la unidad mínima de caracterización.</w:t>
      </w:r>
    </w:p>
    <w:p w:rsidR="008A416B" w:rsidRDefault="008A416B" w:rsidP="00B51B51">
      <w:pPr>
        <w:widowControl w:val="0"/>
        <w:rPr>
          <w:rFonts w:cs="Arial"/>
          <w:b/>
          <w:bCs/>
        </w:rPr>
      </w:pPr>
    </w:p>
    <w:p w:rsidR="003B0BE3" w:rsidRPr="00962D24" w:rsidRDefault="003B0BE3" w:rsidP="003B0BE3">
      <w:pPr>
        <w:widowControl w:val="0"/>
      </w:pPr>
      <w:r w:rsidRPr="00962D24">
        <w:t xml:space="preserve">Cabe señalar que en </w:t>
      </w:r>
      <w:smartTag w:uri="urn:schemas-microsoft-com:office:smarttags" w:element="PersonName">
        <w:smartTagPr>
          <w:attr w:name="ProductID" w:val="la VI Región"/>
        </w:smartTagPr>
        <w:r w:rsidRPr="00962D24">
          <w:t>la VI Región</w:t>
        </w:r>
      </w:smartTag>
      <w:r w:rsidRPr="00962D24">
        <w:t xml:space="preserve"> existen otras s</w:t>
      </w:r>
      <w:r>
        <w:t xml:space="preserve">ubcuencas que son aportantes a </w:t>
      </w:r>
      <w:r w:rsidRPr="00962D24">
        <w:t xml:space="preserve">esta región, pero que se encuentran fuera de sus límites. De esta forma algunas de estas subcuencas externas son relevantes debido a la presencia de agricultura de riego, tal es el caso de las áreas denominadas como Teno y Parrón/Cobre de </w:t>
      </w:r>
      <w:smartTag w:uri="urn:schemas-microsoft-com:office:smarttags" w:element="PersonName">
        <w:smartTagPr>
          <w:attr w:name="ProductID" w:val="la VII Región"/>
        </w:smartTagPr>
        <w:r w:rsidRPr="00962D24">
          <w:t>la VII Región</w:t>
        </w:r>
      </w:smartTag>
      <w:r w:rsidRPr="00962D24">
        <w:t xml:space="preserve"> y Alhué de </w:t>
      </w:r>
      <w:smartTag w:uri="urn:schemas-microsoft-com:office:smarttags" w:element="PersonName">
        <w:smartTagPr>
          <w:attr w:name="ProductID" w:val="la Región Metropolitana."/>
        </w:smartTagPr>
        <w:r w:rsidRPr="00962D24">
          <w:t>la Región Metropolitana.</w:t>
        </w:r>
      </w:smartTag>
    </w:p>
    <w:p w:rsidR="000A1474" w:rsidRPr="00962D24" w:rsidRDefault="000A1474" w:rsidP="00B51B51">
      <w:pPr>
        <w:pStyle w:val="Epgrafe"/>
        <w:widowControl w:val="0"/>
        <w:rPr>
          <w:rFonts w:cs="Arial"/>
          <w:bCs w:val="0"/>
        </w:rPr>
      </w:pPr>
      <w:bookmarkStart w:id="255" w:name="_Ref336520581"/>
      <w:bookmarkStart w:id="256" w:name="_Ref341712358"/>
      <w:r w:rsidRPr="00962D24">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25</w:t>
      </w:r>
      <w:r w:rsidR="007F3102">
        <w:fldChar w:fldCharType="end"/>
      </w:r>
      <w:bookmarkEnd w:id="255"/>
      <w:bookmarkEnd w:id="256"/>
      <w:r w:rsidRPr="00962D24">
        <w:t xml:space="preserve"> </w:t>
      </w:r>
      <w:r w:rsidRPr="00962D24">
        <w:rPr>
          <w:rFonts w:cs="Arial"/>
          <w:bCs w:val="0"/>
        </w:rPr>
        <w:t>Subcuencas VI Región</w:t>
      </w:r>
    </w:p>
    <w:p w:rsidR="000A1474" w:rsidRPr="00962D24" w:rsidRDefault="00254CE2" w:rsidP="00B51B51">
      <w:pPr>
        <w:pStyle w:val="Sangradetextonormal"/>
        <w:widowControl w:val="0"/>
        <w:tabs>
          <w:tab w:val="left" w:pos="1418"/>
        </w:tabs>
        <w:jc w:val="center"/>
        <w:rPr>
          <w:rFonts w:cs="Arial"/>
        </w:rPr>
      </w:pPr>
      <w:r>
        <w:rPr>
          <w:noProof/>
          <w:lang w:val="es-CL" w:eastAsia="es-CL"/>
        </w:rPr>
        <w:drawing>
          <wp:inline distT="0" distB="0" distL="0" distR="0">
            <wp:extent cx="5592445" cy="6443345"/>
            <wp:effectExtent l="0" t="0" r="8255" b="0"/>
            <wp:docPr id="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92445" cy="644334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rPr>
      </w:pPr>
    </w:p>
    <w:p w:rsidR="000A1474" w:rsidRPr="00962D24" w:rsidRDefault="000A1474" w:rsidP="00B51B51">
      <w:pPr>
        <w:pStyle w:val="Sangradetextonormal"/>
        <w:widowControl w:val="0"/>
        <w:tabs>
          <w:tab w:val="left" w:pos="1418"/>
        </w:tabs>
        <w:jc w:val="center"/>
        <w:rPr>
          <w:rFonts w:cs="Arial"/>
        </w:rPr>
      </w:pPr>
    </w:p>
    <w:p w:rsidR="000A1474" w:rsidRPr="00962D24" w:rsidRDefault="000E16CD" w:rsidP="00B51B51">
      <w:pPr>
        <w:pStyle w:val="Epgrafe"/>
        <w:widowControl w:val="0"/>
        <w:rPr>
          <w:rFonts w:cs="Arial"/>
          <w:b w:val="0"/>
          <w:bCs w:val="0"/>
        </w:rPr>
      </w:pPr>
      <w:r>
        <w:br w:type="page"/>
      </w:r>
      <w:r>
        <w:lastRenderedPageBreak/>
        <w:t>Ta</w:t>
      </w:r>
      <w:r w:rsidR="000F6FF9" w:rsidRPr="00962D24">
        <w:t xml:space="preserve">bla </w:t>
      </w:r>
      <w:r w:rsidR="000F6FF9">
        <w:fldChar w:fldCharType="begin"/>
      </w:r>
      <w:r w:rsidR="000F6FF9">
        <w:instrText xml:space="preserve"> STYLEREF 1 \s </w:instrText>
      </w:r>
      <w:r w:rsidR="000F6FF9">
        <w:fldChar w:fldCharType="separate"/>
      </w:r>
      <w:r w:rsidR="00264070">
        <w:rPr>
          <w:noProof/>
        </w:rPr>
        <w:t>5</w:t>
      </w:r>
      <w:r w:rsidR="000F6FF9">
        <w:fldChar w:fldCharType="end"/>
      </w:r>
      <w:r w:rsidR="000F6FF9">
        <w:t>.2</w:t>
      </w:r>
      <w:r w:rsidR="001E4FE1">
        <w:t>5</w:t>
      </w:r>
      <w:r w:rsidR="000F6FF9" w:rsidRPr="00962D24">
        <w:t xml:space="preserve"> </w:t>
      </w:r>
      <w:r w:rsidR="000F6FF9" w:rsidRPr="000F6FF9">
        <w:t>Subcuencas VI Región (continuación)</w:t>
      </w:r>
    </w:p>
    <w:p w:rsidR="000A1474" w:rsidRPr="00962D24" w:rsidRDefault="00254CE2" w:rsidP="00B51B51">
      <w:pPr>
        <w:pStyle w:val="Sangradetextonormal"/>
        <w:widowControl w:val="0"/>
        <w:tabs>
          <w:tab w:val="left" w:pos="1418"/>
        </w:tabs>
        <w:jc w:val="center"/>
        <w:rPr>
          <w:rFonts w:cs="Arial"/>
        </w:rPr>
      </w:pPr>
      <w:r>
        <w:rPr>
          <w:noProof/>
          <w:lang w:val="es-CL" w:eastAsia="es-CL"/>
        </w:rPr>
        <w:drawing>
          <wp:inline distT="0" distB="0" distL="0" distR="0">
            <wp:extent cx="5592445" cy="4890770"/>
            <wp:effectExtent l="0" t="0" r="8255" b="5080"/>
            <wp:docPr id="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92445" cy="4890770"/>
                    </a:xfrm>
                    <a:prstGeom prst="rect">
                      <a:avLst/>
                    </a:prstGeom>
                    <a:noFill/>
                    <a:ln>
                      <a:noFill/>
                    </a:ln>
                  </pic:spPr>
                </pic:pic>
              </a:graphicData>
            </a:graphic>
          </wp:inline>
        </w:drawing>
      </w:r>
    </w:p>
    <w:p w:rsidR="00FC48B5" w:rsidRDefault="00FC48B5" w:rsidP="00FC48B5">
      <w:pPr>
        <w:widowControl w:val="0"/>
      </w:pPr>
    </w:p>
    <w:p w:rsidR="00FC48B5" w:rsidRPr="00962D24" w:rsidRDefault="00FC48B5" w:rsidP="00FC48B5">
      <w:pPr>
        <w:widowControl w:val="0"/>
      </w:pPr>
      <w:r w:rsidRPr="00962D24">
        <w:t xml:space="preserve">Al área denominada Parrón/Cobre se le ha nombrado de esta forma, debido a que en la actualidad existe un proyecto de construcción del Embalse El Parrón por parte de </w:t>
      </w:r>
      <w:smartTag w:uri="urn:schemas-microsoft-com:office:smarttags" w:element="PersonName">
        <w:smartTagPr>
          <w:attr w:name="ProductID" w:val="la Dirección"/>
        </w:smartTagPr>
        <w:r w:rsidRPr="00962D24">
          <w:t>la Dirección</w:t>
        </w:r>
      </w:smartTag>
      <w:r w:rsidRPr="00962D24">
        <w:t xml:space="preserve"> de Obras Hidráulicas y cuya área actual de riego se concentra entre las localidades de El Parrón en la comuna de Rauco y de El Cobre en la comuna de Hualañé.</w:t>
      </w:r>
    </w:p>
    <w:p w:rsidR="00FC48B5" w:rsidRPr="00962D24" w:rsidRDefault="00FC48B5" w:rsidP="00FC48B5">
      <w:pPr>
        <w:widowControl w:val="0"/>
      </w:pPr>
    </w:p>
    <w:p w:rsidR="00FC48B5" w:rsidRPr="00962D24" w:rsidRDefault="00FC48B5" w:rsidP="00FC48B5">
      <w:pPr>
        <w:widowControl w:val="0"/>
      </w:pPr>
      <w:r w:rsidRPr="00962D24">
        <w:t>El resto de las áreas externas no fueron consideradas dentro de esta caracterización debido a la inexistencia de agricultura de riego.</w:t>
      </w:r>
    </w:p>
    <w:p w:rsidR="000A1474" w:rsidRPr="00962D24" w:rsidRDefault="000A1474" w:rsidP="00B51B51">
      <w:pPr>
        <w:widowControl w:val="0"/>
      </w:pPr>
    </w:p>
    <w:p w:rsidR="000A1474" w:rsidRPr="00962D24" w:rsidRDefault="000A1474" w:rsidP="00B51B51">
      <w:pPr>
        <w:pStyle w:val="Ttulo4Ttulo4"/>
        <w:keepNext w:val="0"/>
        <w:widowControl w:val="0"/>
        <w:spacing w:before="0" w:after="0"/>
        <w:ind w:left="862" w:hanging="862"/>
      </w:pPr>
      <w:bookmarkStart w:id="257" w:name="_Toc336614797"/>
      <w:bookmarkStart w:id="258" w:name="_Toc344391829"/>
      <w:r w:rsidRPr="00962D24">
        <w:t>Uso Actual del Suelo</w:t>
      </w:r>
      <w:bookmarkEnd w:id="257"/>
      <w:bookmarkEnd w:id="258"/>
    </w:p>
    <w:p w:rsidR="000A1474" w:rsidRPr="00962D24" w:rsidRDefault="000A1474" w:rsidP="00B51B51">
      <w:pPr>
        <w:widowControl w:val="0"/>
      </w:pPr>
    </w:p>
    <w:p w:rsidR="000A1474" w:rsidRPr="00962D24" w:rsidRDefault="000A1474" w:rsidP="00B51B51">
      <w:pPr>
        <w:widowControl w:val="0"/>
      </w:pPr>
      <w:r w:rsidRPr="00962D24">
        <w:t xml:space="preserve">El área de </w:t>
      </w:r>
      <w:smartTag w:uri="urn:schemas-microsoft-com:office:smarttags" w:element="PersonName">
        <w:smartTagPr>
          <w:attr w:name="ProductID" w:val="la VI Región"/>
        </w:smartTagPr>
        <w:r w:rsidRPr="00962D24">
          <w:t>la VI Región</w:t>
        </w:r>
      </w:smartTag>
      <w:r w:rsidRPr="00962D24">
        <w:t xml:space="preserve"> del Libertador Bernardo O’Higgins se subdividió en subcuencas y para efectuar una adecuada caracterización del área, se requirió de la identificación de los límites de cada subcuenca. Esto se efectuó demarcando en planos las envolventes de las actuales zonas de riego. Para lo anterior fue de gran importancia los antecedentes incluidos en los catastros de usuarios de </w:t>
      </w:r>
      <w:smartTag w:uri="urn:schemas-microsoft-com:office:smarttags" w:element="PersonName">
        <w:smartTagPr>
          <w:attr w:name="ProductID" w:val="la Dirección General"/>
        </w:smartTagPr>
        <w:r w:rsidRPr="00962D24">
          <w:t>la Dirección General</w:t>
        </w:r>
      </w:smartTag>
      <w:r w:rsidRPr="00962D24">
        <w:t xml:space="preserve"> de Aguas y las fotografías satelitales del Google Earth Pro.</w:t>
      </w:r>
    </w:p>
    <w:p w:rsidR="001E4FE1" w:rsidRPr="00962D24" w:rsidRDefault="001E4FE1" w:rsidP="00B51B51">
      <w:pPr>
        <w:widowControl w:val="0"/>
      </w:pPr>
    </w:p>
    <w:p w:rsidR="000A1474" w:rsidRPr="00962D24" w:rsidRDefault="000A1474" w:rsidP="00B51B51">
      <w:pPr>
        <w:widowControl w:val="0"/>
      </w:pPr>
      <w:r w:rsidRPr="00962D24">
        <w:t xml:space="preserve">Se elaboró un mapa de uso del suelo en función de la cartografía frutícola proveniente de </w:t>
      </w:r>
      <w:r w:rsidRPr="00962D24">
        <w:lastRenderedPageBreak/>
        <w:t>Ciren Corfo y de la fotointerpretación de las fotografías satelitales del Google Earth Pro.</w:t>
      </w:r>
    </w:p>
    <w:p w:rsidR="000A1474" w:rsidRPr="00962D24" w:rsidRDefault="000A1474" w:rsidP="00B51B51">
      <w:pPr>
        <w:widowControl w:val="0"/>
      </w:pPr>
    </w:p>
    <w:p w:rsidR="000A1474" w:rsidRPr="00962D24" w:rsidRDefault="000A1474" w:rsidP="00B51B51">
      <w:pPr>
        <w:widowControl w:val="0"/>
      </w:pPr>
      <w:r w:rsidRPr="00962D24">
        <w:t>Cabe señalar que el catastro frutícola en formato digital para ArcGis, el cual fue elaborado por Ciren Corfo especialmente para este consultor, sólo presenta información de frutales y uva de mesa, por lo cual es insuficiente para la determinación del uso actual del suelo para el total del área. Según lo anterior, esta información fue complementada con la proveniente de la imagen satelital de Google Earth Pro.</w:t>
      </w:r>
    </w:p>
    <w:p w:rsidR="000A1474" w:rsidRPr="00962D24" w:rsidRDefault="000A1474" w:rsidP="00B51B51">
      <w:pPr>
        <w:widowControl w:val="0"/>
      </w:pPr>
    </w:p>
    <w:p w:rsidR="000A1474" w:rsidRPr="00962D24" w:rsidRDefault="000A1474" w:rsidP="00B51B51">
      <w:pPr>
        <w:widowControl w:val="0"/>
      </w:pPr>
      <w:r w:rsidRPr="00962D24">
        <w:t>El estudio de uso actual del suelo presenta la siguiente leyenda, la cual está acorde con aquellos rubros que requieren de riego:</w:t>
      </w:r>
    </w:p>
    <w:p w:rsidR="000A1474" w:rsidRPr="00962D24" w:rsidRDefault="000A1474" w:rsidP="00B51B51">
      <w:pPr>
        <w:widowControl w:val="0"/>
      </w:pPr>
    </w:p>
    <w:p w:rsidR="000A1474" w:rsidRPr="00962D24" w:rsidRDefault="000A1474" w:rsidP="00145762">
      <w:pPr>
        <w:widowControl w:val="0"/>
        <w:numPr>
          <w:ilvl w:val="0"/>
          <w:numId w:val="8"/>
        </w:numPr>
      </w:pPr>
      <w:r w:rsidRPr="00962D24">
        <w:t>Cultivos (Incluye anuales y hortalizas)</w:t>
      </w:r>
    </w:p>
    <w:p w:rsidR="000A1474" w:rsidRPr="00962D24" w:rsidRDefault="000A1474" w:rsidP="00145762">
      <w:pPr>
        <w:widowControl w:val="0"/>
        <w:numPr>
          <w:ilvl w:val="0"/>
          <w:numId w:val="8"/>
        </w:numPr>
      </w:pPr>
      <w:r w:rsidRPr="00962D24">
        <w:t>Invernaderos</w:t>
      </w:r>
    </w:p>
    <w:p w:rsidR="000A1474" w:rsidRPr="00962D24" w:rsidRDefault="000A1474" w:rsidP="00145762">
      <w:pPr>
        <w:widowControl w:val="0"/>
        <w:numPr>
          <w:ilvl w:val="0"/>
          <w:numId w:val="8"/>
        </w:numPr>
      </w:pPr>
      <w:r w:rsidRPr="00962D24">
        <w:t xml:space="preserve">Frutales </w:t>
      </w:r>
    </w:p>
    <w:p w:rsidR="000A1474" w:rsidRPr="00962D24" w:rsidRDefault="000A1474" w:rsidP="00145762">
      <w:pPr>
        <w:widowControl w:val="0"/>
        <w:numPr>
          <w:ilvl w:val="0"/>
          <w:numId w:val="8"/>
        </w:numPr>
      </w:pPr>
      <w:r w:rsidRPr="00962D24">
        <w:t>Vid Vinífera</w:t>
      </w:r>
    </w:p>
    <w:p w:rsidR="000A1474" w:rsidRPr="00962D24" w:rsidRDefault="000A1474" w:rsidP="00145762">
      <w:pPr>
        <w:widowControl w:val="0"/>
        <w:numPr>
          <w:ilvl w:val="0"/>
          <w:numId w:val="8"/>
        </w:numPr>
      </w:pPr>
      <w:r w:rsidRPr="00962D24">
        <w:t xml:space="preserve">Praderas </w:t>
      </w:r>
    </w:p>
    <w:p w:rsidR="000A1474" w:rsidRPr="00962D24" w:rsidRDefault="000A1474" w:rsidP="00145762">
      <w:pPr>
        <w:widowControl w:val="0"/>
        <w:numPr>
          <w:ilvl w:val="0"/>
          <w:numId w:val="8"/>
        </w:numPr>
      </w:pPr>
      <w:r w:rsidRPr="00962D24">
        <w:t xml:space="preserve">Cultivos/Praderas </w:t>
      </w:r>
    </w:p>
    <w:p w:rsidR="000A1474" w:rsidRPr="00962D24" w:rsidRDefault="000A1474" w:rsidP="00B51B51">
      <w:pPr>
        <w:widowControl w:val="0"/>
      </w:pPr>
    </w:p>
    <w:p w:rsidR="000A1474" w:rsidRPr="00962D24" w:rsidRDefault="000A1474" w:rsidP="00B51B51">
      <w:pPr>
        <w:widowControl w:val="0"/>
      </w:pPr>
      <w:r w:rsidRPr="00962D24">
        <w:t>En el caso de Frutales determinados a través de la fotointerpretación de imágenes satelitales, éstas incluyen aquellos frutales pr</w:t>
      </w:r>
      <w:r w:rsidR="00446B48">
        <w:t xml:space="preserve">esentes en predios menores de </w:t>
      </w:r>
      <w:smartTag w:uri="urn:schemas-microsoft-com:office:smarttags" w:element="metricconverter">
        <w:smartTagPr>
          <w:attr w:name="ProductID" w:val="0,5 ha"/>
        </w:smartTagPr>
        <w:r w:rsidR="00446B48">
          <w:t>0,</w:t>
        </w:r>
        <w:r w:rsidRPr="00962D24">
          <w:t>5 ha</w:t>
        </w:r>
      </w:smartTag>
      <w:r w:rsidRPr="00962D24">
        <w:t xml:space="preserve"> y no incluidos en el Catastro Frutícola de Ciren Corfo y aquellas plantaciones frutícolas y de vid de mesa posteriores al año 2009, que corresponde al año del Catastro Frutícola.</w:t>
      </w:r>
    </w:p>
    <w:p w:rsidR="000A1474" w:rsidRPr="00962D24" w:rsidRDefault="000A1474" w:rsidP="00B51B51">
      <w:pPr>
        <w:widowControl w:val="0"/>
      </w:pPr>
    </w:p>
    <w:p w:rsidR="000A1474" w:rsidRPr="00962D24" w:rsidRDefault="000A1474" w:rsidP="00B51B51">
      <w:pPr>
        <w:widowControl w:val="0"/>
      </w:pPr>
      <w:r w:rsidRPr="00962D24">
        <w:t>En el caso de Cultivos/Praderas, corresponde a aquellos casos en que no fue posible diferenciar el rubro por la fotointerpretación o a superficies muy pequeñas en donde existe mezcla de cultivos y praderas.</w:t>
      </w:r>
    </w:p>
    <w:p w:rsidR="000A1474" w:rsidRPr="00962D24" w:rsidRDefault="000A1474" w:rsidP="00B51B51">
      <w:pPr>
        <w:widowControl w:val="0"/>
      </w:pPr>
    </w:p>
    <w:p w:rsidR="000A1474" w:rsidRPr="00962D24" w:rsidRDefault="000A1474" w:rsidP="00B51B51">
      <w:pPr>
        <w:widowControl w:val="0"/>
      </w:pPr>
      <w:r w:rsidRPr="00962D24">
        <w:t xml:space="preserve">En el caso de los frutales incluidos dentro del Catastro Frutícola de Ciren Corfo, que para </w:t>
      </w:r>
      <w:smartTag w:uri="urn:schemas-microsoft-com:office:smarttags" w:element="PersonName">
        <w:smartTagPr>
          <w:attr w:name="ProductID" w:val="la VI Región"/>
        </w:smartTagPr>
        <w:r w:rsidRPr="00962D24">
          <w:t>la VI Región</w:t>
        </w:r>
      </w:smartTag>
      <w:r w:rsidRPr="00962D24">
        <w:t xml:space="preserve"> se encuentra actualizado al año 2009, presenta su propia simbología, la cual se incluye a continuación 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_Ref336520547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5.26</w:t>
      </w:r>
      <w:r w:rsidRPr="00962D24">
        <w:fldChar w:fldCharType="end"/>
      </w:r>
      <w:r w:rsidRPr="00962D24">
        <w:t xml:space="preserve"> junto a la obtenida de la fotointerpretación de imágenes satelitales.</w:t>
      </w:r>
    </w:p>
    <w:p w:rsidR="000A1474" w:rsidRPr="00962D24" w:rsidRDefault="000A1474" w:rsidP="00B51B51">
      <w:pPr>
        <w:widowControl w:val="0"/>
      </w:pPr>
      <w:r w:rsidRPr="00962D24">
        <w:t xml:space="preserve"> </w:t>
      </w:r>
    </w:p>
    <w:p w:rsidR="000A1474" w:rsidRDefault="00074EFD" w:rsidP="00B51B51">
      <w:pPr>
        <w:widowControl w:val="0"/>
      </w:pPr>
      <w:r w:rsidRPr="00962D24">
        <w:t xml:space="preserve">En Plano </w:t>
      </w:r>
      <w:r w:rsidR="00A87F61">
        <w:t>6</w:t>
      </w:r>
      <w:r w:rsidRPr="00962D24">
        <w:t xml:space="preserve"> se entrega una representación de las áreas con cobertura en Catastro Ciren, más aquellas que han sido obtenidas de la interpretación Google Earth.</w:t>
      </w:r>
    </w:p>
    <w:p w:rsidR="003B0BE3" w:rsidRDefault="003B0BE3" w:rsidP="00B51B51">
      <w:pPr>
        <w:widowControl w:val="0"/>
      </w:pPr>
    </w:p>
    <w:p w:rsidR="003B0BE3" w:rsidRPr="00962D24" w:rsidRDefault="003B0BE3" w:rsidP="003B0BE3">
      <w:pPr>
        <w:widowControl w:val="0"/>
      </w:pPr>
      <w:r w:rsidRPr="00962D24">
        <w:t>Para la caracterización final de cada subcuenca, en el caso de los rubros identificados por fotointerpretación, como por ejemplo en Frutales, la superficie determinada se distribuyó proporcionalmente de acuerdo a la estructura frutícola presente en la respectiva subcuenca obtenida del Catastro Frutícola de Ciren Corfo.</w:t>
      </w:r>
    </w:p>
    <w:p w:rsidR="003B0BE3" w:rsidRPr="00962D24" w:rsidRDefault="003B0BE3" w:rsidP="003B0BE3">
      <w:pPr>
        <w:widowControl w:val="0"/>
      </w:pPr>
    </w:p>
    <w:p w:rsidR="003B0BE3" w:rsidRPr="00962D24" w:rsidRDefault="003B0BE3" w:rsidP="003B0BE3">
      <w:pPr>
        <w:widowControl w:val="0"/>
      </w:pPr>
      <w:r w:rsidRPr="00962D24">
        <w:t>En el caso de los cultivos, la superficie determinada por fotointerpretación se distribuyó de acuerdo a la estructura porcentual de cultivos y hortalizas presente en las comunas que componen cada subcuenca. La información comunal fue obtenida del VII Censo Nacional Agropecuario del INE 2007.</w:t>
      </w:r>
    </w:p>
    <w:p w:rsidR="003B0BE3" w:rsidRPr="00962D24" w:rsidRDefault="003B0BE3" w:rsidP="003B0BE3">
      <w:pPr>
        <w:widowControl w:val="0"/>
      </w:pPr>
    </w:p>
    <w:p w:rsidR="003B0BE3" w:rsidRDefault="003B0BE3" w:rsidP="003B0BE3">
      <w:pPr>
        <w:widowControl w:val="0"/>
      </w:pPr>
      <w:r w:rsidRPr="00962D24">
        <w:t xml:space="preserve">Según lo anterior, </w:t>
      </w:r>
      <w:r w:rsidR="00FC48B5">
        <w:t xml:space="preserve">en </w:t>
      </w:r>
      <w:r w:rsidR="00FC48B5" w:rsidRPr="00962D24">
        <w:fldChar w:fldCharType="begin"/>
      </w:r>
      <w:r w:rsidR="00FC48B5" w:rsidRPr="00962D24">
        <w:instrText xml:space="preserve"> REF _Ref336520649 \h </w:instrText>
      </w:r>
      <w:r w:rsidR="00FC48B5" w:rsidRPr="00962D24">
        <w:instrText xml:space="preserve"> \* MERGEFORMAT </w:instrText>
      </w:r>
      <w:r w:rsidR="00FC48B5" w:rsidRPr="00962D24">
        <w:fldChar w:fldCharType="separate"/>
      </w:r>
      <w:r w:rsidR="00264070" w:rsidRPr="00264070">
        <w:t xml:space="preserve">Tabla </w:t>
      </w:r>
      <w:r w:rsidR="00264070" w:rsidRPr="00264070">
        <w:rPr>
          <w:noProof/>
        </w:rPr>
        <w:t>5.28</w:t>
      </w:r>
      <w:r w:rsidR="00FC48B5" w:rsidRPr="00962D24">
        <w:fldChar w:fldCharType="end"/>
      </w:r>
      <w:r w:rsidR="00FC48B5" w:rsidRPr="00962D24">
        <w:t>.</w:t>
      </w:r>
      <w:r w:rsidR="00FC48B5">
        <w:t xml:space="preserve"> </w:t>
      </w:r>
      <w:r w:rsidRPr="00962D24">
        <w:t>se presenta el uso actual del suelo</w:t>
      </w:r>
      <w:r w:rsidR="00FC48B5">
        <w:t xml:space="preserve"> en cada subucuenca.</w:t>
      </w:r>
    </w:p>
    <w:p w:rsidR="00FC48B5" w:rsidRPr="00962D24" w:rsidRDefault="00FC48B5" w:rsidP="003B0BE3">
      <w:pPr>
        <w:widowControl w:val="0"/>
      </w:pPr>
    </w:p>
    <w:p w:rsidR="003B0BE3" w:rsidRPr="00962D24" w:rsidRDefault="003B0BE3" w:rsidP="003B0BE3">
      <w:pPr>
        <w:widowControl w:val="0"/>
      </w:pPr>
      <w:r w:rsidRPr="00962D24">
        <w:t xml:space="preserve">Considerando la información de los Catastros de Usuarios de </w:t>
      </w:r>
      <w:smartTag w:uri="urn:schemas-microsoft-com:office:smarttags" w:element="PersonName">
        <w:smartTagPr>
          <w:attr w:name="ProductID" w:val="la Dirección General"/>
        </w:smartTagPr>
        <w:r w:rsidRPr="00962D24">
          <w:t>la Dirección General</w:t>
        </w:r>
      </w:smartTag>
      <w:r w:rsidRPr="00962D24">
        <w:t xml:space="preserve"> de Aguas, se ha determinado que para </w:t>
      </w:r>
      <w:smartTag w:uri="urn:schemas-microsoft-com:office:smarttags" w:element="PersonName">
        <w:smartTagPr>
          <w:attr w:name="ProductID" w:val="la VI Región"/>
        </w:smartTagPr>
        <w:r w:rsidRPr="00962D24">
          <w:t>la VI Región</w:t>
        </w:r>
      </w:smartTag>
      <w:r w:rsidRPr="00962D24">
        <w:t xml:space="preserve">, al año 1982/1986 (años en que fueron elaborados los catastros) existía una superficie regada del orden de las </w:t>
      </w:r>
      <w:smartTag w:uri="urn:schemas-microsoft-com:office:smarttags" w:element="metricconverter">
        <w:smartTagPr>
          <w:attr w:name="ProductID" w:val="216.840 hectáreas"/>
        </w:smartTagPr>
        <w:r w:rsidRPr="00962D24">
          <w:t>216.840 hectáreas</w:t>
        </w:r>
      </w:smartTag>
      <w:r w:rsidRPr="00962D24">
        <w:t xml:space="preserve"> con alrededor de 45.694 usuarios (</w:t>
      </w:r>
      <w:r w:rsidRPr="00962D24">
        <w:fldChar w:fldCharType="begin"/>
      </w:r>
      <w:r w:rsidRPr="00962D24">
        <w:instrText xml:space="preserve"> REF _Ref336520697 \h </w:instrText>
      </w:r>
      <w:r w:rsidRPr="00962D24">
        <w:instrText xml:space="preserve"> \* MERGEFORMAT </w:instrText>
      </w:r>
      <w:r w:rsidRPr="00962D24">
        <w:fldChar w:fldCharType="separate"/>
      </w:r>
      <w:r w:rsidR="00264070" w:rsidRPr="00264070">
        <w:t xml:space="preserve">Tabla </w:t>
      </w:r>
      <w:r w:rsidR="00264070" w:rsidRPr="00264070">
        <w:rPr>
          <w:noProof/>
        </w:rPr>
        <w:t>5.27</w:t>
      </w:r>
      <w:r w:rsidRPr="00962D24">
        <w:fldChar w:fldCharType="end"/>
      </w:r>
      <w:r w:rsidRPr="00962D24">
        <w:t>).</w:t>
      </w:r>
    </w:p>
    <w:p w:rsidR="000A1474" w:rsidRPr="00962D24" w:rsidRDefault="000A1474" w:rsidP="00B51B51">
      <w:pPr>
        <w:pStyle w:val="Sangradetextonormal"/>
        <w:widowControl w:val="0"/>
        <w:tabs>
          <w:tab w:val="left" w:pos="1418"/>
        </w:tabs>
        <w:jc w:val="center"/>
        <w:rPr>
          <w:rFonts w:cs="Arial"/>
          <w:b/>
          <w:bCs/>
        </w:rPr>
      </w:pPr>
      <w:bookmarkStart w:id="259" w:name="_Ref336520547"/>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26</w:t>
      </w:r>
      <w:r w:rsidR="007F3102">
        <w:rPr>
          <w:b/>
        </w:rPr>
        <w:fldChar w:fldCharType="end"/>
      </w:r>
      <w:bookmarkEnd w:id="259"/>
      <w:r w:rsidRPr="00962D24">
        <w:rPr>
          <w:b/>
        </w:rPr>
        <w:t xml:space="preserve"> </w:t>
      </w:r>
      <w:r w:rsidRPr="00962D24">
        <w:rPr>
          <w:rFonts w:cs="Arial"/>
          <w:b/>
          <w:bCs/>
        </w:rPr>
        <w:t>Simbología Uso del Suelo VI Región</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3211195" cy="7421245"/>
            <wp:effectExtent l="0" t="0" r="8255" b="8255"/>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11195" cy="742124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93394C" w:rsidRPr="00962D24" w:rsidRDefault="0093394C" w:rsidP="00B51B51">
      <w:pPr>
        <w:pStyle w:val="Sangradetextonormal"/>
        <w:widowControl w:val="0"/>
        <w:tabs>
          <w:tab w:val="left" w:pos="1418"/>
        </w:tabs>
        <w:rPr>
          <w:rFonts w:cs="Arial"/>
        </w:rPr>
      </w:pPr>
    </w:p>
    <w:p w:rsidR="0093394C" w:rsidRPr="00962D24" w:rsidRDefault="0093394C" w:rsidP="00B51B51">
      <w:pPr>
        <w:pStyle w:val="Sangradetextonormal"/>
        <w:widowControl w:val="0"/>
        <w:tabs>
          <w:tab w:val="left" w:pos="1418"/>
        </w:tabs>
        <w:jc w:val="center"/>
        <w:rPr>
          <w:rFonts w:cs="Arial"/>
          <w:b/>
          <w:bCs/>
        </w:rPr>
      </w:pPr>
      <w:bookmarkStart w:id="260" w:name="_Ref336520697"/>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27</w:t>
      </w:r>
      <w:r w:rsidR="007F3102">
        <w:rPr>
          <w:b/>
        </w:rPr>
        <w:fldChar w:fldCharType="end"/>
      </w:r>
      <w:bookmarkEnd w:id="260"/>
      <w:r w:rsidRPr="00962D24">
        <w:rPr>
          <w:b/>
        </w:rPr>
        <w:t xml:space="preserve"> </w:t>
      </w:r>
      <w:r w:rsidRPr="00962D24">
        <w:rPr>
          <w:rFonts w:cs="Arial"/>
          <w:b/>
          <w:bCs/>
        </w:rPr>
        <w:t xml:space="preserve">Resumen de Catastro de Usuarios de </w:t>
      </w:r>
      <w:smartTag w:uri="urn:schemas-microsoft-com:office:smarttags" w:element="PersonName">
        <w:smartTagPr>
          <w:attr w:name="ProductID" w:val="la Dirección General"/>
        </w:smartTagPr>
        <w:r w:rsidRPr="00962D24">
          <w:rPr>
            <w:rFonts w:cs="Arial"/>
            <w:b/>
            <w:bCs/>
          </w:rPr>
          <w:t>la Dirección General</w:t>
        </w:r>
      </w:smartTag>
      <w:r w:rsidRPr="00962D24">
        <w:rPr>
          <w:rFonts w:cs="Arial"/>
          <w:b/>
          <w:bCs/>
        </w:rPr>
        <w:t xml:space="preserve"> de Aguas</w:t>
      </w:r>
    </w:p>
    <w:p w:rsidR="0093394C" w:rsidRPr="00962D24" w:rsidRDefault="00254CE2" w:rsidP="00B51B51">
      <w:pPr>
        <w:pStyle w:val="Sangradetextonormal"/>
        <w:widowControl w:val="0"/>
        <w:tabs>
          <w:tab w:val="left" w:pos="1418"/>
        </w:tabs>
        <w:ind w:left="0"/>
        <w:jc w:val="center"/>
        <w:rPr>
          <w:rFonts w:cs="Arial"/>
          <w:b/>
          <w:bCs/>
        </w:rPr>
      </w:pPr>
      <w:r>
        <w:rPr>
          <w:noProof/>
          <w:lang w:val="es-CL" w:eastAsia="es-CL"/>
        </w:rPr>
        <w:drawing>
          <wp:inline distT="0" distB="0" distL="0" distR="0">
            <wp:extent cx="5603240" cy="1329055"/>
            <wp:effectExtent l="0" t="0" r="0"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3240" cy="1329055"/>
                    </a:xfrm>
                    <a:prstGeom prst="rect">
                      <a:avLst/>
                    </a:prstGeom>
                    <a:noFill/>
                    <a:ln>
                      <a:noFill/>
                    </a:ln>
                  </pic:spPr>
                </pic:pic>
              </a:graphicData>
            </a:graphic>
          </wp:inline>
        </w:drawing>
      </w:r>
    </w:p>
    <w:p w:rsidR="0093394C" w:rsidRPr="00962D24" w:rsidRDefault="0093394C" w:rsidP="00B51B51">
      <w:pPr>
        <w:widowControl w:val="0"/>
      </w:pPr>
    </w:p>
    <w:p w:rsidR="0093394C" w:rsidRPr="00962D24" w:rsidRDefault="0093394C" w:rsidP="00B51B51">
      <w:pPr>
        <w:widowControl w:val="0"/>
      </w:pPr>
      <w:r w:rsidRPr="00962D24">
        <w:t>Se debe señalar que el número de regantes ajustado presentado se obtiene de la relación existente entre el número de regantes total (referido a usos de riego por cada canal) en relación al número efectivo de predios regados. Dicha relación es obtenida de diversos estudios efectuados por el presente consultor, cuyo valor es de aproximadamente el 90% del total de los regantes.</w:t>
      </w:r>
    </w:p>
    <w:p w:rsidR="0093394C" w:rsidRPr="00962D24" w:rsidRDefault="0093394C" w:rsidP="00B51B51">
      <w:pPr>
        <w:widowControl w:val="0"/>
        <w:rPr>
          <w:b/>
          <w:bCs/>
        </w:rPr>
      </w:pPr>
    </w:p>
    <w:p w:rsidR="0093394C" w:rsidRPr="00962D24" w:rsidRDefault="0093394C" w:rsidP="00B51B51">
      <w:pPr>
        <w:widowControl w:val="0"/>
      </w:pPr>
      <w:r w:rsidRPr="00962D24">
        <w:t xml:space="preserve">Si se comparan las </w:t>
      </w:r>
      <w:smartTag w:uri="urn:schemas-microsoft-com:office:smarttags" w:element="metricconverter">
        <w:smartTagPr>
          <w:attr w:name="ProductID" w:val="216.840,31 hectáreas"/>
        </w:smartTagPr>
        <w:r w:rsidRPr="00962D24">
          <w:t>216.840,31 hectáreas</w:t>
        </w:r>
      </w:smartTag>
      <w:r w:rsidRPr="00962D24">
        <w:t xml:space="preserve"> regadas de los Catastros de </w:t>
      </w:r>
      <w:smartTag w:uri="urn:schemas-microsoft-com:office:smarttags" w:element="PersonName">
        <w:smartTagPr>
          <w:attr w:name="ProductID" w:val="la DGA"/>
        </w:smartTagPr>
        <w:r w:rsidRPr="00962D24">
          <w:t>la DGA</w:t>
        </w:r>
      </w:smartTag>
      <w:r w:rsidRPr="00962D24">
        <w:t xml:space="preserve"> con las </w:t>
      </w:r>
      <w:smartTag w:uri="urn:schemas-microsoft-com:office:smarttags" w:element="metricconverter">
        <w:smartTagPr>
          <w:attr w:name="ProductID" w:val="240.181,72 hectáreas"/>
        </w:smartTagPr>
        <w:r w:rsidRPr="00962D24">
          <w:t>240.181,72 hectáreas</w:t>
        </w:r>
      </w:smartTag>
      <w:r w:rsidRPr="00962D24">
        <w:t xml:space="preserve"> regadas actualmente, sin considerar las cuencas externas, se constata un crecimiento del riego en torno a las </w:t>
      </w:r>
      <w:smartTag w:uri="urn:schemas-microsoft-com:office:smarttags" w:element="metricconverter">
        <w:smartTagPr>
          <w:attr w:name="ProductID" w:val="23.341,41 ha"/>
        </w:smartTagPr>
        <w:r w:rsidRPr="00962D24">
          <w:t>23.341,41 ha</w:t>
        </w:r>
      </w:smartTag>
      <w:r w:rsidRPr="00962D24">
        <w:t xml:space="preserve">, correspondiente a un 10,76%. Esto significa que en la actualidad existe un total no catastrado por estudios de </w:t>
      </w:r>
      <w:smartTag w:uri="urn:schemas-microsoft-com:office:smarttags" w:element="PersonName">
        <w:smartTagPr>
          <w:attr w:name="ProductID" w:val="la DGA"/>
        </w:smartTagPr>
        <w:r w:rsidRPr="00962D24">
          <w:t>la DGA</w:t>
        </w:r>
      </w:smartTag>
      <w:r w:rsidRPr="00962D24">
        <w:t xml:space="preserve"> del orden de las </w:t>
      </w:r>
      <w:smartTag w:uri="urn:schemas-microsoft-com:office:smarttags" w:element="metricconverter">
        <w:smartTagPr>
          <w:attr w:name="ProductID" w:val="23.350 ha"/>
        </w:smartTagPr>
        <w:r w:rsidRPr="00962D24">
          <w:t>23.350 ha</w:t>
        </w:r>
      </w:smartTag>
      <w:r w:rsidRPr="00962D24">
        <w:t>.</w:t>
      </w:r>
    </w:p>
    <w:p w:rsidR="0093394C" w:rsidRPr="00962D24" w:rsidRDefault="0093394C" w:rsidP="00B51B51">
      <w:pPr>
        <w:widowControl w:val="0"/>
        <w:rPr>
          <w:b/>
          <w:bCs/>
        </w:rPr>
      </w:pPr>
    </w:p>
    <w:p w:rsidR="0093394C" w:rsidRPr="00962D24" w:rsidRDefault="0093394C" w:rsidP="00B51B51">
      <w:pPr>
        <w:widowControl w:val="0"/>
      </w:pPr>
      <w:r w:rsidRPr="00962D24">
        <w:t xml:space="preserve">Ahora bien, desde el punto de vista predial, los Catastros de </w:t>
      </w:r>
      <w:smartTag w:uri="urn:schemas-microsoft-com:office:smarttags" w:element="PersonName">
        <w:smartTagPr>
          <w:attr w:name="ProductID" w:val="la DGA"/>
        </w:smartTagPr>
        <w:r w:rsidRPr="00962D24">
          <w:t>la DGA</w:t>
        </w:r>
      </w:smartTag>
      <w:r w:rsidRPr="00962D24">
        <w:t xml:space="preserve"> suman un total de 45.694 predios regados, los cuales si se compara con el número total de predios regados según el VII Censo Nacional Agropecuario del INE, 2007, que alcanza a los 22.678, se produce una gran difere</w:t>
      </w:r>
      <w:r w:rsidR="00446B48">
        <w:t>ncia de predios. Lo anterior es</w:t>
      </w:r>
      <w:r w:rsidRPr="00962D24">
        <w:t xml:space="preserve"> producto de que el VII Censo del INE no incluye aquellos predios menores de </w:t>
      </w:r>
      <w:smartTag w:uri="urn:schemas-microsoft-com:office:smarttags" w:element="metricconverter">
        <w:smartTagPr>
          <w:attr w:name="ProductID" w:val="0,5 ha"/>
        </w:smartTagPr>
        <w:r w:rsidRPr="00962D24">
          <w:t>0,5 ha</w:t>
        </w:r>
      </w:smartTag>
      <w:r w:rsidRPr="00962D24">
        <w:t>, razón por la cual no es factible realizar dicha comparación.</w:t>
      </w:r>
    </w:p>
    <w:p w:rsidR="0093394C" w:rsidRPr="00962D24" w:rsidRDefault="0093394C" w:rsidP="00B51B51">
      <w:pPr>
        <w:widowControl w:val="0"/>
        <w:rPr>
          <w:b/>
          <w:bCs/>
        </w:rPr>
        <w:sectPr w:rsidR="0093394C" w:rsidRPr="00962D24" w:rsidSect="001A4D3D">
          <w:pgSz w:w="12240" w:h="15840"/>
          <w:pgMar w:top="1417" w:right="1701" w:bottom="1417" w:left="1701" w:header="708" w:footer="708" w:gutter="0"/>
          <w:cols w:space="708"/>
          <w:docGrid w:linePitch="360"/>
        </w:sectPr>
      </w:pPr>
    </w:p>
    <w:p w:rsidR="000A1474" w:rsidRPr="00962D24" w:rsidRDefault="000A1474" w:rsidP="00B51B51">
      <w:pPr>
        <w:pStyle w:val="Sangradetextonormal"/>
        <w:widowControl w:val="0"/>
        <w:tabs>
          <w:tab w:val="left" w:pos="1418"/>
        </w:tabs>
        <w:jc w:val="center"/>
        <w:rPr>
          <w:rFonts w:cs="Arial"/>
          <w:b/>
          <w:bCs/>
        </w:rPr>
      </w:pPr>
      <w:bookmarkStart w:id="261" w:name="_Ref336520649"/>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28</w:t>
      </w:r>
      <w:r w:rsidR="007F3102">
        <w:rPr>
          <w:b/>
        </w:rPr>
        <w:fldChar w:fldCharType="end"/>
      </w:r>
      <w:bookmarkEnd w:id="261"/>
      <w:r w:rsidRPr="00962D24">
        <w:rPr>
          <w:b/>
        </w:rPr>
        <w:t xml:space="preserve"> </w:t>
      </w:r>
      <w:r w:rsidRPr="00962D24">
        <w:rPr>
          <w:rFonts w:cs="Arial"/>
          <w:b/>
          <w:bCs/>
        </w:rPr>
        <w:t>Uso Actual del Suelo VI Región por Subcuenca</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29600" cy="4869815"/>
            <wp:effectExtent l="0" t="0" r="0"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29600" cy="486981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sectPr w:rsidR="000A1474" w:rsidRPr="00962D24" w:rsidSect="000A1474">
          <w:pgSz w:w="15840" w:h="12240" w:orient="landscape"/>
          <w:pgMar w:top="1701" w:right="1418" w:bottom="1701" w:left="1418" w:header="709" w:footer="709" w:gutter="0"/>
          <w:cols w:space="708"/>
          <w:docGrid w:linePitch="360"/>
        </w:sectPr>
      </w:pPr>
    </w:p>
    <w:p w:rsidR="000A1474" w:rsidRPr="00962D24" w:rsidRDefault="000A1474" w:rsidP="00B51B51">
      <w:pPr>
        <w:pStyle w:val="Ttulo4Ttulo4"/>
        <w:keepNext w:val="0"/>
        <w:widowControl w:val="0"/>
        <w:spacing w:before="0" w:after="0"/>
        <w:ind w:left="862" w:hanging="862"/>
      </w:pPr>
      <w:bookmarkStart w:id="262" w:name="_Toc336614798"/>
      <w:bookmarkStart w:id="263" w:name="_Toc344391830"/>
      <w:r w:rsidRPr="00962D24">
        <w:lastRenderedPageBreak/>
        <w:t>Demandas de Agua de Riego Actuales</w:t>
      </w:r>
      <w:bookmarkEnd w:id="262"/>
      <w:bookmarkEnd w:id="263"/>
    </w:p>
    <w:p w:rsidR="000A1474" w:rsidRPr="00962D24" w:rsidRDefault="000A1474" w:rsidP="00B51B51">
      <w:pPr>
        <w:widowControl w:val="0"/>
      </w:pPr>
    </w:p>
    <w:p w:rsidR="000A1474" w:rsidRPr="00962D24" w:rsidRDefault="000A1474" w:rsidP="00145762">
      <w:pPr>
        <w:pStyle w:val="Ttulo5"/>
        <w:widowControl w:val="0"/>
        <w:numPr>
          <w:ilvl w:val="0"/>
          <w:numId w:val="4"/>
        </w:numPr>
        <w:spacing w:before="0" w:after="0"/>
        <w:ind w:hanging="720"/>
        <w:rPr>
          <w:i w:val="0"/>
          <w:sz w:val="22"/>
          <w:szCs w:val="22"/>
        </w:rPr>
      </w:pPr>
      <w:r w:rsidRPr="00962D24">
        <w:rPr>
          <w:i w:val="0"/>
          <w:sz w:val="22"/>
          <w:szCs w:val="22"/>
        </w:rPr>
        <w:t>Antecedentes Agroclimáticos</w:t>
      </w:r>
    </w:p>
    <w:p w:rsidR="000A1474" w:rsidRPr="00962D24" w:rsidRDefault="000A1474" w:rsidP="00B51B51">
      <w:pPr>
        <w:widowControl w:val="0"/>
      </w:pPr>
    </w:p>
    <w:p w:rsidR="000A1474" w:rsidRPr="00962D24" w:rsidRDefault="000A1474" w:rsidP="00B51B51">
      <w:pPr>
        <w:widowControl w:val="0"/>
      </w:pPr>
      <w:r w:rsidRPr="00962D24">
        <w:t xml:space="preserve">Para efectos de determinar </w:t>
      </w:r>
      <w:smartTag w:uri="urn:schemas-microsoft-com:office:smarttags" w:element="PersonName">
        <w:smartTagPr>
          <w:attr w:name="ProductID" w:val="la Evapotranspiración Potencial"/>
        </w:smartTagPr>
        <w:r w:rsidRPr="00962D24">
          <w:t>la Evapotra</w:t>
        </w:r>
        <w:r w:rsidR="00446B48">
          <w:t>n</w:t>
        </w:r>
        <w:r w:rsidRPr="00962D24">
          <w:t>spiración Potencial</w:t>
        </w:r>
      </w:smartTag>
      <w:r w:rsidRPr="00962D24">
        <w:t xml:space="preserve"> (ET0) y </w:t>
      </w:r>
      <w:smartTag w:uri="urn:schemas-microsoft-com:office:smarttags" w:element="PersonName">
        <w:smartTagPr>
          <w:attr w:name="ProductID" w:val="la Precipitación Efectiva"/>
        </w:smartTagPr>
        <w:r w:rsidRPr="00962D24">
          <w:t>la Precipitación Efectiva</w:t>
        </w:r>
      </w:smartTag>
      <w:r w:rsidRPr="00962D24">
        <w:t xml:space="preserve"> (pEf) se ha utilizado el Atlas Bioclimático de Chile, elaborado por </w:t>
      </w:r>
      <w:smartTag w:uri="urn:schemas-microsoft-com:office:smarttags" w:element="PersonName">
        <w:smartTagPr>
          <w:attr w:name="ProductID" w:val="la Universidad"/>
        </w:smartTagPr>
        <w:r w:rsidRPr="00962D24">
          <w:t>la Universidad</w:t>
        </w:r>
      </w:smartTag>
      <w:r w:rsidRPr="00962D24">
        <w:t xml:space="preserve"> de Chile y puesto a disposición del público en julio del 2012. </w:t>
      </w:r>
    </w:p>
    <w:p w:rsidR="000A1474" w:rsidRPr="00962D24" w:rsidRDefault="000A1474" w:rsidP="00B51B51">
      <w:pPr>
        <w:widowControl w:val="0"/>
      </w:pPr>
    </w:p>
    <w:p w:rsidR="000A1474" w:rsidRPr="00962D24" w:rsidRDefault="000A1474" w:rsidP="00B51B51">
      <w:pPr>
        <w:widowControl w:val="0"/>
      </w:pPr>
      <w:r w:rsidRPr="00962D24">
        <w:t xml:space="preserve">Cabe señalar que el Atlas Bioclimático incluye información de las últimas temporadas a través de los datos aportados por </w:t>
      </w:r>
      <w:smartTag w:uri="urn:schemas-microsoft-com:office:smarttags" w:element="PersonName">
        <w:smartTagPr>
          <w:attr w:name="ProductID" w:val="la Dirección General"/>
        </w:smartTagPr>
        <w:r w:rsidRPr="00962D24">
          <w:t>la Dirección General</w:t>
        </w:r>
      </w:smartTag>
      <w:r w:rsidRPr="00962D24">
        <w:t xml:space="preserve"> de Aguas.</w:t>
      </w:r>
    </w:p>
    <w:p w:rsidR="000A1474" w:rsidRPr="00962D24" w:rsidRDefault="000A1474" w:rsidP="00B51B51">
      <w:pPr>
        <w:widowControl w:val="0"/>
      </w:pPr>
    </w:p>
    <w:p w:rsidR="000A1474" w:rsidRPr="00962D24" w:rsidRDefault="000A1474" w:rsidP="00B51B51">
      <w:pPr>
        <w:widowControl w:val="0"/>
      </w:pPr>
      <w:r w:rsidRPr="00962D24">
        <w:t xml:space="preserve">Los Distritos Bioclimáticos relacionados con la temática hídrica y que están presentes en </w:t>
      </w:r>
      <w:smartTag w:uri="urn:schemas-microsoft-com:office:smarttags" w:element="PersonName">
        <w:smartTagPr>
          <w:attr w:name="ProductID" w:val="la  VI Región"/>
        </w:smartTagPr>
        <w:r w:rsidRPr="00962D24">
          <w:t>la  VI Región</w:t>
        </w:r>
      </w:smartTag>
      <w:r w:rsidRPr="00962D24">
        <w:t xml:space="preserve"> se presentan en </w:t>
      </w:r>
      <w:smartTag w:uri="urn:schemas-microsoft-com:office:smarttags" w:element="PersonName">
        <w:smartTagPr>
          <w:attr w:name="ProductID" w:val="la ￼￼￼￼￼￼￼￼￼￼￼￼￼￼￼￼￼￼￼￼￼￼￼￼￼Figura"/>
        </w:smartTagPr>
        <w:r w:rsidRPr="00962D24">
          <w:t xml:space="preserve">la </w:t>
        </w:r>
        <w:r w:rsidRPr="00962D24">
          <w:fldChar w:fldCharType="begin"/>
        </w:r>
        <w:r w:rsidRPr="00962D24">
          <w:instrText xml:space="preserve"> REF _Ref336521275 \h </w:instrText>
        </w:r>
        <w:r w:rsidRPr="00962D24">
          <w:instrText xml:space="preserve"> \* MERGEFORMAT </w:instrText>
        </w:r>
        <w:r w:rsidRPr="00962D24">
          <w:fldChar w:fldCharType="separate"/>
        </w:r>
        <w:r w:rsidR="00264070" w:rsidRPr="00264070">
          <w:t>Figura</w:t>
        </w:r>
      </w:smartTag>
      <w:r w:rsidR="00264070" w:rsidRPr="00264070">
        <w:t xml:space="preserve"> </w:t>
      </w:r>
      <w:r w:rsidR="00264070" w:rsidRPr="00264070">
        <w:rPr>
          <w:noProof/>
        </w:rPr>
        <w:t>5.1</w:t>
      </w:r>
      <w:r w:rsidRPr="00962D24">
        <w:fldChar w:fldCharType="end"/>
      </w:r>
      <w:r w:rsidRPr="00962D24">
        <w:t>.</w:t>
      </w:r>
    </w:p>
    <w:p w:rsidR="000A1474" w:rsidRPr="00962D24" w:rsidRDefault="000A1474"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64" w:name="_Ref336521275"/>
      <w:r w:rsidRPr="00962D24">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w:t>
      </w:r>
      <w:r w:rsidR="00951FEC">
        <w:rPr>
          <w:b/>
        </w:rPr>
        <w:fldChar w:fldCharType="end"/>
      </w:r>
      <w:bookmarkEnd w:id="264"/>
      <w:r w:rsidRPr="00962D24">
        <w:rPr>
          <w:b/>
        </w:rPr>
        <w:t xml:space="preserve"> </w:t>
      </w:r>
      <w:r w:rsidRPr="00962D24">
        <w:rPr>
          <w:rFonts w:cs="Arial"/>
          <w:b/>
          <w:bCs/>
        </w:rPr>
        <w:t>Distritos Bioclimáticos</w:t>
      </w:r>
    </w:p>
    <w:p w:rsidR="000A1474" w:rsidRPr="00962D24" w:rsidRDefault="00254CE2" w:rsidP="00B51B51">
      <w:pPr>
        <w:pStyle w:val="Sangradetextonormal"/>
        <w:widowControl w:val="0"/>
        <w:tabs>
          <w:tab w:val="left" w:pos="1418"/>
        </w:tabs>
        <w:jc w:val="center"/>
        <w:rPr>
          <w:rFonts w:cs="Arial"/>
          <w:b/>
          <w:bCs/>
        </w:rPr>
      </w:pPr>
      <w:r>
        <w:rPr>
          <w:rFonts w:cs="Arial"/>
          <w:b/>
          <w:bCs/>
          <w:noProof/>
          <w:lang w:val="es-CL" w:eastAsia="es-CL"/>
        </w:rPr>
        <w:drawing>
          <wp:inline distT="0" distB="0" distL="0" distR="0">
            <wp:extent cx="4284980" cy="3328035"/>
            <wp:effectExtent l="0" t="0" r="1270" b="5715"/>
            <wp:docPr id="60" name="75 Imagen" descr="VI Bioclima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Imagen" descr="VI Bioclimatic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84980" cy="3328035"/>
                    </a:xfrm>
                    <a:prstGeom prst="rect">
                      <a:avLst/>
                    </a:prstGeom>
                    <a:noFill/>
                    <a:ln>
                      <a:noFill/>
                    </a:ln>
                  </pic:spPr>
                </pic:pic>
              </a:graphicData>
            </a:graphic>
          </wp:inline>
        </w:drawing>
      </w:r>
    </w:p>
    <w:p w:rsidR="000A1474" w:rsidRPr="00962D24" w:rsidRDefault="000A1474" w:rsidP="00B51B51">
      <w:pPr>
        <w:widowControl w:val="0"/>
        <w:rPr>
          <w:sz w:val="16"/>
          <w:szCs w:val="16"/>
        </w:rPr>
      </w:pPr>
    </w:p>
    <w:p w:rsidR="000A1474" w:rsidRPr="00962D24" w:rsidRDefault="000A1474" w:rsidP="00B51B51">
      <w:pPr>
        <w:widowControl w:val="0"/>
      </w:pPr>
      <w:r w:rsidRPr="00962D24">
        <w:t xml:space="preserve">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_Ref336521314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5.29</w:t>
      </w:r>
      <w:r w:rsidRPr="00962D24">
        <w:fldChar w:fldCharType="end"/>
      </w:r>
      <w:r w:rsidRPr="00962D24">
        <w:t xml:space="preserve"> y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_Ref336521326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5.30</w:t>
      </w:r>
      <w:r w:rsidRPr="00962D24">
        <w:fldChar w:fldCharType="end"/>
      </w:r>
      <w:r w:rsidRPr="00962D24">
        <w:t xml:space="preserve"> se presentan las Evapotranspiraciones Potenciales y Precipitaciones Medias Mensuales para cada uno de los Distritos Bioclimáticos presentes en las subcuencas en estudio.</w:t>
      </w:r>
    </w:p>
    <w:p w:rsidR="0093394C" w:rsidRPr="00962D24" w:rsidRDefault="0093394C"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65" w:name="_Ref336521314"/>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29</w:t>
      </w:r>
      <w:r w:rsidR="007F3102">
        <w:rPr>
          <w:b/>
        </w:rPr>
        <w:fldChar w:fldCharType="end"/>
      </w:r>
      <w:bookmarkEnd w:id="265"/>
      <w:r w:rsidRPr="00962D24">
        <w:rPr>
          <w:b/>
        </w:rPr>
        <w:t xml:space="preserve"> </w:t>
      </w:r>
      <w:r w:rsidRPr="00962D24">
        <w:rPr>
          <w:rFonts w:cs="Arial"/>
          <w:b/>
          <w:bCs/>
        </w:rPr>
        <w:t>Evapotranspirac</w:t>
      </w:r>
      <w:r w:rsidR="00446B48">
        <w:rPr>
          <w:rFonts w:cs="Arial"/>
          <w:b/>
          <w:bCs/>
        </w:rPr>
        <w:t>ión Potencial por Distrito Biocl</w:t>
      </w:r>
      <w:r w:rsidRPr="00962D24">
        <w:rPr>
          <w:rFonts w:cs="Arial"/>
          <w:b/>
          <w:bCs/>
        </w:rPr>
        <w:t>imático (mm)</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1084580"/>
            <wp:effectExtent l="0" t="0" r="0" b="1270"/>
            <wp:docPr id="6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1490" cy="1084580"/>
                    </a:xfrm>
                    <a:prstGeom prst="rect">
                      <a:avLst/>
                    </a:prstGeom>
                    <a:noFill/>
                    <a:ln>
                      <a:noFill/>
                    </a:ln>
                  </pic:spPr>
                </pic:pic>
              </a:graphicData>
            </a:graphic>
          </wp:inline>
        </w:drawing>
      </w:r>
    </w:p>
    <w:p w:rsidR="000A1474" w:rsidRPr="00962D24" w:rsidRDefault="000A1474" w:rsidP="00B51B51">
      <w:pPr>
        <w:widowControl w:val="0"/>
        <w:rPr>
          <w:sz w:val="16"/>
          <w:szCs w:val="16"/>
        </w:rPr>
      </w:pPr>
    </w:p>
    <w:p w:rsidR="000A1474" w:rsidRPr="00962D24" w:rsidRDefault="000A1474" w:rsidP="00B51B51">
      <w:pPr>
        <w:pStyle w:val="Sangradetextonormal"/>
        <w:widowControl w:val="0"/>
        <w:tabs>
          <w:tab w:val="left" w:pos="1418"/>
        </w:tabs>
        <w:jc w:val="center"/>
        <w:rPr>
          <w:rFonts w:cs="Arial"/>
          <w:b/>
          <w:bCs/>
        </w:rPr>
      </w:pPr>
      <w:bookmarkStart w:id="266" w:name="_Ref336521326"/>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30</w:t>
      </w:r>
      <w:r w:rsidR="007F3102">
        <w:rPr>
          <w:b/>
        </w:rPr>
        <w:fldChar w:fldCharType="end"/>
      </w:r>
      <w:bookmarkEnd w:id="266"/>
      <w:r w:rsidRPr="00962D24">
        <w:rPr>
          <w:b/>
        </w:rPr>
        <w:t xml:space="preserve"> </w:t>
      </w:r>
      <w:r w:rsidRPr="00962D24">
        <w:rPr>
          <w:rFonts w:cs="Arial"/>
          <w:b/>
          <w:bCs/>
        </w:rPr>
        <w:t>Precipitación M</w:t>
      </w:r>
      <w:r w:rsidR="00446B48">
        <w:rPr>
          <w:rFonts w:cs="Arial"/>
          <w:b/>
          <w:bCs/>
        </w:rPr>
        <w:t>edia Mensual por Distrito Biocli</w:t>
      </w:r>
      <w:r w:rsidRPr="00962D24">
        <w:rPr>
          <w:rFonts w:cs="Arial"/>
          <w:b/>
          <w:bCs/>
        </w:rPr>
        <w:t>mático (mm)</w:t>
      </w:r>
    </w:p>
    <w:p w:rsidR="000A1474" w:rsidRDefault="00254CE2" w:rsidP="00B51B51">
      <w:pPr>
        <w:pStyle w:val="Sangradetextonormal"/>
        <w:widowControl w:val="0"/>
        <w:tabs>
          <w:tab w:val="left" w:pos="1418"/>
        </w:tabs>
        <w:jc w:val="center"/>
        <w:rPr>
          <w:noProof/>
          <w:lang w:val="es-CL" w:eastAsia="es-CL"/>
        </w:rPr>
      </w:pPr>
      <w:r>
        <w:rPr>
          <w:noProof/>
          <w:lang w:val="es-CL" w:eastAsia="es-CL"/>
        </w:rPr>
        <w:drawing>
          <wp:inline distT="0" distB="0" distL="0" distR="0">
            <wp:extent cx="5571490" cy="1084580"/>
            <wp:effectExtent l="0" t="0" r="0" b="1270"/>
            <wp:docPr id="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1490" cy="1084580"/>
                    </a:xfrm>
                    <a:prstGeom prst="rect">
                      <a:avLst/>
                    </a:prstGeom>
                    <a:noFill/>
                    <a:ln>
                      <a:noFill/>
                    </a:ln>
                  </pic:spPr>
                </pic:pic>
              </a:graphicData>
            </a:graphic>
          </wp:inline>
        </w:drawing>
      </w:r>
    </w:p>
    <w:p w:rsidR="00DA61EE" w:rsidRPr="00962D24" w:rsidRDefault="00DA61EE" w:rsidP="00B51B51">
      <w:pPr>
        <w:pStyle w:val="Sangradetextonormal"/>
        <w:widowControl w:val="0"/>
        <w:tabs>
          <w:tab w:val="left" w:pos="1418"/>
        </w:tabs>
        <w:jc w:val="center"/>
        <w:rPr>
          <w:rFonts w:cs="Arial"/>
          <w:b/>
          <w:bCs/>
        </w:rPr>
      </w:pPr>
    </w:p>
    <w:p w:rsidR="000A1474" w:rsidRPr="00962D24" w:rsidRDefault="000A1474" w:rsidP="00145762">
      <w:pPr>
        <w:pStyle w:val="Ttulo5"/>
        <w:widowControl w:val="0"/>
        <w:numPr>
          <w:ilvl w:val="0"/>
          <w:numId w:val="4"/>
        </w:numPr>
        <w:tabs>
          <w:tab w:val="clear" w:pos="720"/>
          <w:tab w:val="left" w:pos="709"/>
        </w:tabs>
        <w:spacing w:before="0" w:after="0"/>
        <w:ind w:hanging="720"/>
        <w:rPr>
          <w:i w:val="0"/>
          <w:sz w:val="22"/>
          <w:szCs w:val="22"/>
        </w:rPr>
      </w:pPr>
      <w:r w:rsidRPr="00962D24">
        <w:rPr>
          <w:i w:val="0"/>
          <w:sz w:val="22"/>
          <w:szCs w:val="22"/>
        </w:rPr>
        <w:t>Necesidades de Agua de Riego Situación Actual</w:t>
      </w:r>
    </w:p>
    <w:p w:rsidR="000A1474" w:rsidRPr="00962D24" w:rsidRDefault="000A1474" w:rsidP="00B51B51">
      <w:pPr>
        <w:widowControl w:val="0"/>
      </w:pPr>
    </w:p>
    <w:p w:rsidR="000A1474" w:rsidRPr="00962D24" w:rsidRDefault="000A1474" w:rsidP="00B51B51">
      <w:pPr>
        <w:widowControl w:val="0"/>
        <w:rPr>
          <w:b/>
        </w:rPr>
      </w:pPr>
      <w:r w:rsidRPr="00962D24">
        <w:rPr>
          <w:b/>
        </w:rPr>
        <w:t>b.1)</w:t>
      </w:r>
      <w:r w:rsidRPr="00962D24">
        <w:rPr>
          <w:b/>
        </w:rPr>
        <w:tab/>
        <w:t>Evapotranspiración Potencial y Real</w:t>
      </w:r>
    </w:p>
    <w:p w:rsidR="000A1474" w:rsidRPr="00962D24" w:rsidRDefault="000A1474" w:rsidP="00B51B51">
      <w:pPr>
        <w:widowControl w:val="0"/>
        <w:tabs>
          <w:tab w:val="left" w:pos="1134"/>
        </w:tabs>
        <w:rPr>
          <w:rFonts w:cs="Arial"/>
        </w:rPr>
      </w:pPr>
    </w:p>
    <w:p w:rsidR="000A1474" w:rsidRPr="00962D24" w:rsidRDefault="000A1474" w:rsidP="00B51B51">
      <w:pPr>
        <w:widowControl w:val="0"/>
      </w:pPr>
      <w:r w:rsidRPr="00962D24">
        <w:t xml:space="preserve">El valor de </w:t>
      </w:r>
      <w:smartTag w:uri="urn:schemas-microsoft-com:office:smarttags" w:element="PersonName">
        <w:smartTagPr>
          <w:attr w:name="ProductID" w:val="la Evapotranspiración Potencial"/>
        </w:smartTagPr>
        <w:r w:rsidRPr="00962D24">
          <w:t>la Evapotranspiración Potencial</w:t>
        </w:r>
      </w:smartTag>
      <w:r w:rsidRPr="00962D24">
        <w:t xml:space="preserve"> (ETo) se ha obtenido de los antecedentes climáticos elaborados en esta consultoría a través de la información proporcionada por el Atlas Bioclimático de Chile de </w:t>
      </w:r>
      <w:smartTag w:uri="urn:schemas-microsoft-com:office:smarttags" w:element="PersonName">
        <w:smartTagPr>
          <w:attr w:name="ProductID" w:val="la Universidad"/>
        </w:smartTagPr>
        <w:r w:rsidRPr="00962D24">
          <w:t>la Universidad</w:t>
        </w:r>
      </w:smartTag>
      <w:r w:rsidRPr="00962D24">
        <w:t xml:space="preserve"> de Chile. Los valores de Evapotranspiración Potencial se expresan mensualmente en mm/mes ponderados para cada subcuenca (</w:t>
      </w:r>
      <w:r w:rsidRPr="00962D24">
        <w:fldChar w:fldCharType="begin"/>
      </w:r>
      <w:r w:rsidRPr="00962D24">
        <w:instrText xml:space="preserve"> REF _Ref336521410 \h </w:instrText>
      </w:r>
      <w:r w:rsidRPr="00962D24">
        <w:instrText xml:space="preserve"> \* MERGEFORMAT </w:instrText>
      </w:r>
      <w:r w:rsidRPr="00962D24">
        <w:fldChar w:fldCharType="separate"/>
      </w:r>
      <w:r w:rsidR="00264070" w:rsidRPr="00264070">
        <w:t xml:space="preserve">Tabla </w:t>
      </w:r>
      <w:r w:rsidR="00264070" w:rsidRPr="00264070">
        <w:rPr>
          <w:noProof/>
        </w:rPr>
        <w:t>5.31</w:t>
      </w:r>
      <w:r w:rsidRPr="00962D24">
        <w:fldChar w:fldCharType="end"/>
      </w:r>
      <w:r w:rsidRPr="00962D24">
        <w:t>).</w:t>
      </w:r>
    </w:p>
    <w:p w:rsidR="000A1474" w:rsidRPr="00962D24" w:rsidRDefault="000A1474" w:rsidP="00B51B51">
      <w:pPr>
        <w:widowControl w:val="0"/>
        <w:rPr>
          <w:sz w:val="16"/>
          <w:szCs w:val="16"/>
        </w:rPr>
      </w:pPr>
    </w:p>
    <w:p w:rsidR="000A1474" w:rsidRPr="00962D24" w:rsidRDefault="000A1474" w:rsidP="00B51B51">
      <w:pPr>
        <w:pStyle w:val="Sangradetextonormal"/>
        <w:widowControl w:val="0"/>
        <w:tabs>
          <w:tab w:val="left" w:pos="1418"/>
        </w:tabs>
        <w:jc w:val="center"/>
        <w:rPr>
          <w:rFonts w:cs="Arial"/>
          <w:b/>
          <w:bCs/>
        </w:rPr>
      </w:pPr>
      <w:bookmarkStart w:id="267" w:name="_Ref336521410"/>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31</w:t>
      </w:r>
      <w:r w:rsidR="007F3102">
        <w:rPr>
          <w:b/>
        </w:rPr>
        <w:fldChar w:fldCharType="end"/>
      </w:r>
      <w:bookmarkEnd w:id="267"/>
      <w:r w:rsidRPr="00962D24">
        <w:rPr>
          <w:b/>
        </w:rPr>
        <w:t xml:space="preserve"> </w:t>
      </w:r>
      <w:r w:rsidRPr="00962D24">
        <w:rPr>
          <w:rFonts w:cs="Arial"/>
          <w:b/>
          <w:bCs/>
        </w:rPr>
        <w:t>Evapotranspiración Potencial por Subcuenca (mm)</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2296795"/>
            <wp:effectExtent l="0" t="0" r="0" b="8255"/>
            <wp:docPr id="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1490" cy="2296795"/>
                    </a:xfrm>
                    <a:prstGeom prst="rect">
                      <a:avLst/>
                    </a:prstGeom>
                    <a:noFill/>
                    <a:ln>
                      <a:noFill/>
                    </a:ln>
                  </pic:spPr>
                </pic:pic>
              </a:graphicData>
            </a:graphic>
          </wp:inline>
        </w:drawing>
      </w:r>
    </w:p>
    <w:p w:rsidR="000A1474" w:rsidRPr="00962D24" w:rsidRDefault="000A1474" w:rsidP="00B51B51">
      <w:pPr>
        <w:widowControl w:val="0"/>
        <w:rPr>
          <w:sz w:val="16"/>
          <w:szCs w:val="16"/>
        </w:rPr>
      </w:pPr>
    </w:p>
    <w:p w:rsidR="000A1474" w:rsidRPr="00962D24" w:rsidRDefault="000A1474" w:rsidP="00B51B51">
      <w:pPr>
        <w:widowControl w:val="0"/>
      </w:pPr>
      <w:r w:rsidRPr="00962D24">
        <w:t>Paralelamente, se han determinado para cada cultivo por mes los Coeficientes de Culti</w:t>
      </w:r>
      <w:r w:rsidR="00446B48">
        <w:t>vo (kc). Estos, tanto en montos como en el</w:t>
      </w:r>
      <w:r w:rsidRPr="00962D24">
        <w:t xml:space="preserve"> procedimiento de obtención, se basaron en el FAO Irrigation and Drainage Paper 56, denominado "Crop Evapotranspiration Guidelines for computing crop water requeriments” (R. Allen, L. Pereira, D. Raes y M. Smith) (ver </w:t>
      </w:r>
      <w:r w:rsidRPr="00962D24">
        <w:fldChar w:fldCharType="begin"/>
      </w:r>
      <w:r w:rsidRPr="00962D24">
        <w:instrText xml:space="preserve"> REF _Ref336521464 \h </w:instrText>
      </w:r>
      <w:r w:rsidRPr="00962D24">
        <w:instrText xml:space="preserve"> \* MERGEFORMAT </w:instrText>
      </w:r>
      <w:r w:rsidRPr="00962D24">
        <w:fldChar w:fldCharType="separate"/>
      </w:r>
      <w:r w:rsidR="00264070" w:rsidRPr="00264070">
        <w:t xml:space="preserve">Tabla </w:t>
      </w:r>
      <w:r w:rsidR="00264070" w:rsidRPr="00264070">
        <w:rPr>
          <w:noProof/>
        </w:rPr>
        <w:t>5.32</w:t>
      </w:r>
      <w:r w:rsidRPr="00962D24">
        <w:fldChar w:fldCharType="end"/>
      </w:r>
      <w:r w:rsidRPr="00962D24">
        <w:t>).</w:t>
      </w:r>
    </w:p>
    <w:p w:rsidR="000A1474" w:rsidRPr="00962D24" w:rsidRDefault="000A1474" w:rsidP="00B51B51">
      <w:pPr>
        <w:widowControl w:val="0"/>
      </w:pPr>
    </w:p>
    <w:p w:rsidR="000A1474" w:rsidRPr="00962D24" w:rsidRDefault="000A1474" w:rsidP="00B51B51">
      <w:pPr>
        <w:widowControl w:val="0"/>
        <w:rPr>
          <w:rFonts w:cs="Arial"/>
        </w:rPr>
      </w:pPr>
      <w:r w:rsidRPr="00962D24">
        <w:rPr>
          <w:rFonts w:cs="Arial"/>
        </w:rPr>
        <w:t xml:space="preserve">Luego, mediante la multiplicación de </w:t>
      </w:r>
      <w:smartTag w:uri="urn:schemas-microsoft-com:office:smarttags" w:element="PersonName">
        <w:smartTagPr>
          <w:attr w:name="ProductID" w:val="la Evapotranspiración Potencial"/>
        </w:smartTagPr>
        <w:r w:rsidRPr="00962D24">
          <w:rPr>
            <w:rFonts w:cs="Arial"/>
          </w:rPr>
          <w:t>la Evapotranspiración Potencial</w:t>
        </w:r>
      </w:smartTag>
      <w:r w:rsidRPr="00962D24">
        <w:rPr>
          <w:rFonts w:cs="Arial"/>
        </w:rPr>
        <w:t xml:space="preserve"> por los Coeficientes de Cultivo, se determinó para cada sector </w:t>
      </w:r>
      <w:smartTag w:uri="urn:schemas-microsoft-com:office:smarttags" w:element="PersonName">
        <w:smartTagPr>
          <w:attr w:name="ProductID" w:val="la Evapotranspiración Real"/>
        </w:smartTagPr>
        <w:r w:rsidRPr="00962D24">
          <w:rPr>
            <w:rFonts w:cs="Arial"/>
          </w:rPr>
          <w:t>la Evapotranspiración Real</w:t>
        </w:r>
      </w:smartTag>
      <w:r w:rsidRPr="00962D24">
        <w:rPr>
          <w:rFonts w:cs="Arial"/>
        </w:rPr>
        <w:t xml:space="preserve"> (ETr) mensual para cada cultivo asignado.</w:t>
      </w:r>
    </w:p>
    <w:p w:rsidR="000A1474" w:rsidRPr="00962D24" w:rsidRDefault="000A1474" w:rsidP="00B51B51">
      <w:pPr>
        <w:widowControl w:val="0"/>
      </w:pPr>
    </w:p>
    <w:p w:rsidR="0093394C" w:rsidRPr="00962D24" w:rsidRDefault="0093394C" w:rsidP="00B51B51">
      <w:pPr>
        <w:widowControl w:val="0"/>
      </w:pPr>
    </w:p>
    <w:p w:rsidR="0093394C" w:rsidRPr="00962D24" w:rsidRDefault="0093394C" w:rsidP="00B51B51">
      <w:pPr>
        <w:widowControl w:val="0"/>
      </w:pPr>
    </w:p>
    <w:p w:rsidR="0093394C" w:rsidRPr="00962D24" w:rsidRDefault="0093394C" w:rsidP="00B51B51">
      <w:pPr>
        <w:widowControl w:val="0"/>
      </w:pPr>
    </w:p>
    <w:p w:rsidR="0093394C" w:rsidRPr="00962D24" w:rsidRDefault="0093394C"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68" w:name="_Ref336521464"/>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32</w:t>
      </w:r>
      <w:r w:rsidR="007F3102">
        <w:rPr>
          <w:b/>
        </w:rPr>
        <w:fldChar w:fldCharType="end"/>
      </w:r>
      <w:bookmarkEnd w:id="268"/>
      <w:r w:rsidRPr="00962D24">
        <w:rPr>
          <w:b/>
        </w:rPr>
        <w:t xml:space="preserve"> </w:t>
      </w:r>
      <w:r w:rsidRPr="00962D24">
        <w:rPr>
          <w:rFonts w:cs="Arial"/>
          <w:b/>
          <w:bCs/>
        </w:rPr>
        <w:t>Coeficientes de Cultivo KC</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4135755" cy="7985125"/>
            <wp:effectExtent l="0" t="0" r="0" b="0"/>
            <wp:docPr id="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35755" cy="7985125"/>
                    </a:xfrm>
                    <a:prstGeom prst="rect">
                      <a:avLst/>
                    </a:prstGeom>
                    <a:noFill/>
                    <a:ln>
                      <a:noFill/>
                    </a:ln>
                  </pic:spPr>
                </pic:pic>
              </a:graphicData>
            </a:graphic>
          </wp:inline>
        </w:drawing>
      </w:r>
    </w:p>
    <w:p w:rsidR="000A1474" w:rsidRPr="00962D24" w:rsidRDefault="00107DAA" w:rsidP="00B51B51">
      <w:pPr>
        <w:widowControl w:val="0"/>
        <w:rPr>
          <w:b/>
        </w:rPr>
      </w:pPr>
      <w:r w:rsidRPr="00962D24">
        <w:rPr>
          <w:b/>
        </w:rPr>
        <w:lastRenderedPageBreak/>
        <w:t>b.2)</w:t>
      </w:r>
      <w:r w:rsidRPr="00962D24">
        <w:rPr>
          <w:b/>
        </w:rPr>
        <w:tab/>
      </w:r>
      <w:r w:rsidR="000A1474" w:rsidRPr="00962D24">
        <w:rPr>
          <w:b/>
        </w:rPr>
        <w:t>Demanda Neta de Agua de Riego</w:t>
      </w:r>
    </w:p>
    <w:p w:rsidR="000A1474" w:rsidRPr="00962D24" w:rsidRDefault="000A1474" w:rsidP="00B51B51">
      <w:pPr>
        <w:widowControl w:val="0"/>
      </w:pPr>
    </w:p>
    <w:p w:rsidR="000A1474" w:rsidRPr="00962D24" w:rsidRDefault="000A1474" w:rsidP="00B51B51">
      <w:pPr>
        <w:widowControl w:val="0"/>
      </w:pPr>
      <w:r w:rsidRPr="00962D24">
        <w:t>Para determinar la demanda neta de agua de riego, es necesario en primer lugar conocer la precipitación efectiva (ppf) ocurrida en el área en estudio.</w:t>
      </w:r>
    </w:p>
    <w:p w:rsidR="000A1474" w:rsidRPr="00962D24" w:rsidRDefault="000A1474" w:rsidP="00B51B51">
      <w:pPr>
        <w:widowControl w:val="0"/>
      </w:pPr>
    </w:p>
    <w:p w:rsidR="000A1474" w:rsidRPr="00962D24" w:rsidRDefault="000A1474" w:rsidP="00B51B51">
      <w:pPr>
        <w:widowControl w:val="0"/>
      </w:pPr>
      <w:r w:rsidRPr="00962D24">
        <w:t xml:space="preserve">Al respecto, para el cálculo en la precipitación efectiva (ppf) se ha utilizado la metodología de Blanney y Criddle modificada por Horacio Merlet y Fernando Santibáñez en el año 1986, la cual representa  adecuadamente la zona de estudio. Esta metodología relaciona la precipitación efectiva con la media mensual a través de una curva. </w:t>
      </w:r>
    </w:p>
    <w:p w:rsidR="000A1474" w:rsidRPr="00962D24" w:rsidRDefault="000A1474" w:rsidP="00B51B51">
      <w:pPr>
        <w:widowControl w:val="0"/>
      </w:pPr>
    </w:p>
    <w:p w:rsidR="000A1474" w:rsidRPr="00962D24" w:rsidRDefault="000A1474" w:rsidP="00B51B51">
      <w:pPr>
        <w:widowControl w:val="0"/>
      </w:pPr>
      <w:r w:rsidRPr="00962D24">
        <w:t xml:space="preserve">En </w:t>
      </w:r>
      <w:smartTag w:uri="urn:schemas-microsoft-com:office:smarttags" w:element="PersonName">
        <w:smartTagPr>
          <w:attr w:name="ProductID" w:val="la ￼￼￼￼￼￼￼￼￼￼￼￼￼￼￼￼￼￼￼￼￼￼￼￼￼Figura"/>
        </w:smartTagPr>
        <w:r w:rsidRPr="00962D24">
          <w:t xml:space="preserve">la </w:t>
        </w:r>
        <w:r w:rsidRPr="00962D24">
          <w:fldChar w:fldCharType="begin"/>
        </w:r>
        <w:r w:rsidRPr="00962D24">
          <w:instrText xml:space="preserve"> REF _Ref336521555 \h </w:instrText>
        </w:r>
        <w:r w:rsidRPr="00962D24">
          <w:instrText xml:space="preserve"> \* MERGEFORMAT </w:instrText>
        </w:r>
        <w:r w:rsidRPr="00962D24">
          <w:fldChar w:fldCharType="separate"/>
        </w:r>
        <w:r w:rsidR="00264070" w:rsidRPr="00264070">
          <w:t>Figura</w:t>
        </w:r>
      </w:smartTag>
      <w:r w:rsidR="00264070" w:rsidRPr="00264070">
        <w:t xml:space="preserve"> </w:t>
      </w:r>
      <w:r w:rsidR="00264070" w:rsidRPr="00264070">
        <w:rPr>
          <w:noProof/>
        </w:rPr>
        <w:t>5.2</w:t>
      </w:r>
      <w:r w:rsidRPr="00962D24">
        <w:fldChar w:fldCharType="end"/>
      </w:r>
      <w:r w:rsidRPr="00962D24">
        <w:t xml:space="preserve"> se presenta la curva de Blanney y Criddle, modificada por Merlet y Santibáñez, 1986.</w:t>
      </w:r>
    </w:p>
    <w:p w:rsidR="000A1474" w:rsidRPr="00962D24" w:rsidRDefault="000A1474"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69" w:name="_Ref336521555"/>
      <w:r w:rsidRPr="00962D24">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w:t>
      </w:r>
      <w:r w:rsidR="00951FEC">
        <w:rPr>
          <w:b/>
        </w:rPr>
        <w:fldChar w:fldCharType="end"/>
      </w:r>
      <w:bookmarkEnd w:id="269"/>
      <w:r w:rsidRPr="00962D24">
        <w:rPr>
          <w:b/>
        </w:rPr>
        <w:t xml:space="preserve"> </w:t>
      </w:r>
      <w:r w:rsidRPr="00962D24">
        <w:rPr>
          <w:rFonts w:cs="Arial"/>
          <w:b/>
          <w:bCs/>
        </w:rPr>
        <w:t>Relación Precipitación Media Mensual v/s Precipitación Efectiva</w:t>
      </w:r>
    </w:p>
    <w:p w:rsidR="000A1474" w:rsidRPr="00962D24" w:rsidRDefault="00254CE2" w:rsidP="00B51B51">
      <w:pPr>
        <w:widowControl w:val="0"/>
        <w:jc w:val="center"/>
        <w:rPr>
          <w:noProof/>
          <w:lang w:val="es-CL" w:eastAsia="es-CL"/>
        </w:rPr>
      </w:pPr>
      <w:r>
        <w:rPr>
          <w:noProof/>
          <w:lang w:val="es-CL" w:eastAsia="es-CL"/>
        </w:rPr>
        <w:drawing>
          <wp:inline distT="0" distB="0" distL="0" distR="0">
            <wp:extent cx="4146550" cy="2902585"/>
            <wp:effectExtent l="0" t="0" r="0" b="0"/>
            <wp:docPr id="6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46550" cy="2902585"/>
                    </a:xfrm>
                    <a:prstGeom prst="rect">
                      <a:avLst/>
                    </a:prstGeom>
                    <a:noFill/>
                    <a:ln>
                      <a:noFill/>
                    </a:ln>
                  </pic:spPr>
                </pic:pic>
              </a:graphicData>
            </a:graphic>
          </wp:inline>
        </w:drawing>
      </w:r>
    </w:p>
    <w:p w:rsidR="000A1474" w:rsidRPr="00962D24" w:rsidRDefault="000A1474" w:rsidP="00B51B51">
      <w:pPr>
        <w:widowControl w:val="0"/>
        <w:jc w:val="center"/>
      </w:pPr>
    </w:p>
    <w:p w:rsidR="000A1474" w:rsidRPr="00962D24" w:rsidRDefault="000A1474" w:rsidP="00B51B51">
      <w:pPr>
        <w:widowControl w:val="0"/>
      </w:pPr>
      <w:r w:rsidRPr="00962D24">
        <w:t xml:space="preserve">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_Ref336521644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5.33</w:t>
      </w:r>
      <w:r w:rsidRPr="00962D24">
        <w:fldChar w:fldCharType="end"/>
      </w:r>
      <w:r w:rsidRPr="00962D24">
        <w:t xml:space="preserve"> se presenta la precipitación efectiva para cada uno de los distritos Bioclimáticos y 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_Ref336521619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5.34</w:t>
      </w:r>
      <w:r w:rsidRPr="00962D24">
        <w:fldChar w:fldCharType="end"/>
      </w:r>
      <w:r w:rsidRPr="00962D24">
        <w:t xml:space="preserve"> se presenta la misma información ponderada por subcuenca.</w:t>
      </w:r>
    </w:p>
    <w:p w:rsidR="000A1474" w:rsidRPr="00962D24" w:rsidRDefault="000A1474"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70" w:name="_Ref336521644"/>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33</w:t>
      </w:r>
      <w:r w:rsidR="007F3102">
        <w:rPr>
          <w:b/>
        </w:rPr>
        <w:fldChar w:fldCharType="end"/>
      </w:r>
      <w:bookmarkEnd w:id="270"/>
      <w:r w:rsidRPr="00962D24">
        <w:rPr>
          <w:b/>
        </w:rPr>
        <w:t xml:space="preserve"> </w:t>
      </w:r>
      <w:r w:rsidRPr="00962D24">
        <w:rPr>
          <w:rFonts w:cs="Arial"/>
          <w:b/>
          <w:bCs/>
        </w:rPr>
        <w:t>Precipitación Efectiva por Distrito Bioclimático (mm)</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1084580"/>
            <wp:effectExtent l="0" t="0" r="0" b="1270"/>
            <wp:docPr id="6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1490" cy="108458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107DAA" w:rsidRPr="00962D24" w:rsidRDefault="00107DAA"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bookmarkStart w:id="271" w:name="_Ref336521619"/>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34</w:t>
      </w:r>
      <w:r w:rsidR="007F3102">
        <w:rPr>
          <w:b/>
        </w:rPr>
        <w:fldChar w:fldCharType="end"/>
      </w:r>
      <w:bookmarkEnd w:id="271"/>
      <w:r w:rsidRPr="00962D24">
        <w:rPr>
          <w:b/>
        </w:rPr>
        <w:t xml:space="preserve"> </w:t>
      </w:r>
      <w:r w:rsidRPr="00962D24">
        <w:rPr>
          <w:rFonts w:cs="Arial"/>
          <w:b/>
          <w:bCs/>
        </w:rPr>
        <w:t>Precipitación Efectiva por Subcuenca (mm)</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2296795"/>
            <wp:effectExtent l="0" t="0" r="0" b="8255"/>
            <wp:docPr id="6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1490" cy="2296795"/>
                    </a:xfrm>
                    <a:prstGeom prst="rect">
                      <a:avLst/>
                    </a:prstGeom>
                    <a:noFill/>
                    <a:ln>
                      <a:noFill/>
                    </a:ln>
                  </pic:spPr>
                </pic:pic>
              </a:graphicData>
            </a:graphic>
          </wp:inline>
        </w:drawing>
      </w:r>
    </w:p>
    <w:p w:rsidR="000A1474" w:rsidRPr="00962D24" w:rsidRDefault="000A1474" w:rsidP="00B51B51">
      <w:pPr>
        <w:widowControl w:val="0"/>
      </w:pPr>
    </w:p>
    <w:p w:rsidR="000A1474" w:rsidRPr="00962D24" w:rsidRDefault="000A1474" w:rsidP="00B51B51">
      <w:pPr>
        <w:widowControl w:val="0"/>
      </w:pPr>
      <w:r w:rsidRPr="00962D24">
        <w:t xml:space="preserve">Una vez conocida la precipitación efectiva, se restó a </w:t>
      </w:r>
      <w:smartTag w:uri="urn:schemas-microsoft-com:office:smarttags" w:element="PersonName">
        <w:smartTagPr>
          <w:attr w:name="ProductID" w:val="la Evapotranspiración Real"/>
        </w:smartTagPr>
        <w:r w:rsidRPr="00962D24">
          <w:t>la Evapotranspiración Real</w:t>
        </w:r>
      </w:smartTag>
      <w:r w:rsidRPr="00962D24">
        <w:t xml:space="preserve"> (ETr) obtenida en el punto anterior. De esta forma, se determinaron las demandas unitarias netas mensuales para cada cultivo y sector.</w:t>
      </w:r>
    </w:p>
    <w:p w:rsidR="000A1474" w:rsidRPr="00962D24" w:rsidRDefault="000A1474" w:rsidP="00B51B51">
      <w:pPr>
        <w:widowControl w:val="0"/>
      </w:pPr>
    </w:p>
    <w:p w:rsidR="000A1474" w:rsidRPr="00962D24" w:rsidRDefault="00107DAA" w:rsidP="00B51B51">
      <w:pPr>
        <w:widowControl w:val="0"/>
        <w:rPr>
          <w:b/>
        </w:rPr>
      </w:pPr>
      <w:r w:rsidRPr="00962D24">
        <w:rPr>
          <w:b/>
        </w:rPr>
        <w:t>b.3)</w:t>
      </w:r>
      <w:r w:rsidRPr="00962D24">
        <w:rPr>
          <w:b/>
        </w:rPr>
        <w:tab/>
      </w:r>
      <w:r w:rsidR="000A1474" w:rsidRPr="00962D24">
        <w:rPr>
          <w:b/>
        </w:rPr>
        <w:t>Eficiencias de Riego y Tasas de Riego</w:t>
      </w:r>
    </w:p>
    <w:p w:rsidR="000A1474" w:rsidRPr="00962D24" w:rsidRDefault="000A1474" w:rsidP="00B51B51">
      <w:pPr>
        <w:widowControl w:val="0"/>
      </w:pPr>
    </w:p>
    <w:p w:rsidR="000A1474" w:rsidRPr="00962D24" w:rsidRDefault="000A1474" w:rsidP="00B51B51">
      <w:pPr>
        <w:widowControl w:val="0"/>
      </w:pPr>
      <w:r w:rsidRPr="00962D24">
        <w:t>Las eficiencias de riego consideradas para los diferentes cultivos asignados en situación actual, corresponden a valores que se producen a nivel potrero. Estas eficiencias varían según el método de riego utilizado, sea éste gravitacional o tecnificado.</w:t>
      </w:r>
    </w:p>
    <w:p w:rsidR="000A1474" w:rsidRPr="00962D24" w:rsidRDefault="000A1474" w:rsidP="00B51B51">
      <w:pPr>
        <w:widowControl w:val="0"/>
      </w:pPr>
    </w:p>
    <w:p w:rsidR="000A1474" w:rsidRPr="00962D24" w:rsidRDefault="000A1474" w:rsidP="00B51B51">
      <w:pPr>
        <w:widowControl w:val="0"/>
      </w:pPr>
      <w:r w:rsidRPr="00962D24">
        <w:t xml:space="preserve">A cada uno de los métodos de riego se les asignó un determinado coeficiente de eficiencia. Estos coeficientes, debido a la imposibilidad de hacer experiencias a lo largo del estudio, se estimaron de acuerdo a la experiencia de los consultores, y tomando como base los coeficientes contenidos en </w:t>
      </w:r>
      <w:smartTag w:uri="urn:schemas-microsoft-com:office:smarttags" w:element="PersonName">
        <w:smartTagPr>
          <w:attr w:name="ProductID" w:val="la Ley No."/>
        </w:smartTagPr>
        <w:r w:rsidRPr="00962D24">
          <w:t>la Ley No.</w:t>
        </w:r>
      </w:smartTag>
      <w:r w:rsidRPr="00962D24">
        <w:t xml:space="preserve"> 18.450, de subsidio al riego.</w:t>
      </w:r>
    </w:p>
    <w:p w:rsidR="000A1474" w:rsidRPr="00962D24" w:rsidRDefault="000A1474" w:rsidP="00B51B51">
      <w:pPr>
        <w:widowControl w:val="0"/>
      </w:pPr>
    </w:p>
    <w:p w:rsidR="000A1474" w:rsidRPr="00962D24" w:rsidRDefault="000A1474" w:rsidP="00B51B51">
      <w:pPr>
        <w:widowControl w:val="0"/>
      </w:pPr>
      <w:r w:rsidRPr="00962D24">
        <w:t xml:space="preserve">Cabe señalar que en el caso de los frutales, los métodos de riego utilizados fueron obtenidos directamente del Catastro Frutícola de Ciren Corfo. En cuanto a los métodos de riego utilizados en cultivos anuales y praderas, éstos fueron estimados en función de otros estudios realizados en la zona para </w:t>
      </w:r>
      <w:smartTag w:uri="urn:schemas-microsoft-com:office:smarttags" w:element="PersonName">
        <w:smartTagPr>
          <w:attr w:name="ProductID" w:val="la Dirección"/>
        </w:smartTagPr>
        <w:r w:rsidRPr="00962D24">
          <w:t>la Dirección</w:t>
        </w:r>
      </w:smartTag>
      <w:r w:rsidRPr="00962D24">
        <w:t xml:space="preserve"> de Obras Hidráulicas y </w:t>
      </w:r>
      <w:smartTag w:uri="urn:schemas-microsoft-com:office:smarttags" w:element="PersonName">
        <w:smartTagPr>
          <w:attr w:name="ProductID" w:val="la Comisión Nacional"/>
        </w:smartTagPr>
        <w:r w:rsidRPr="00962D24">
          <w:t>la Comisión Nacional</w:t>
        </w:r>
      </w:smartTag>
      <w:r w:rsidRPr="00962D24">
        <w:t xml:space="preserve"> de Riego. </w:t>
      </w:r>
    </w:p>
    <w:p w:rsidR="000A1474" w:rsidRPr="00962D24" w:rsidRDefault="000A1474" w:rsidP="00B51B51">
      <w:pPr>
        <w:widowControl w:val="0"/>
      </w:pPr>
    </w:p>
    <w:p w:rsidR="000A1474" w:rsidRPr="00962D24" w:rsidRDefault="000A1474" w:rsidP="00B51B51">
      <w:pPr>
        <w:widowControl w:val="0"/>
      </w:pPr>
      <w:r w:rsidRPr="00962D24">
        <w:t xml:space="preserve">Las eficiencias consideradas para cada uno de las especies cultivadas por subcuenca se presentan 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_Ref336521823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5.35</w:t>
      </w:r>
      <w:r w:rsidRPr="00962D24">
        <w:fldChar w:fldCharType="end"/>
      </w:r>
      <w:r w:rsidRPr="00962D24">
        <w:t xml:space="preserve"> a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_Ref336521842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5.49</w:t>
      </w:r>
      <w:r w:rsidRPr="00962D24">
        <w:fldChar w:fldCharType="end"/>
      </w:r>
      <w:r w:rsidRPr="00962D24">
        <w:t xml:space="preserve">. </w:t>
      </w:r>
    </w:p>
    <w:p w:rsidR="000A1474" w:rsidRPr="00962D24" w:rsidRDefault="000A1474" w:rsidP="00B51B51">
      <w:pPr>
        <w:widowControl w:val="0"/>
      </w:pPr>
    </w:p>
    <w:p w:rsidR="000A1474" w:rsidRPr="00962D24" w:rsidRDefault="000A1474" w:rsidP="00B51B51">
      <w:pPr>
        <w:widowControl w:val="0"/>
      </w:pPr>
    </w:p>
    <w:p w:rsidR="00962D24" w:rsidRPr="00962D24" w:rsidRDefault="00962D2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widowControl w:val="0"/>
      </w:pPr>
    </w:p>
    <w:p w:rsidR="000A1474" w:rsidRPr="00962D24" w:rsidRDefault="000A1474" w:rsidP="00B51B51">
      <w:pPr>
        <w:pStyle w:val="Sangradetextonormal"/>
        <w:widowControl w:val="0"/>
        <w:tabs>
          <w:tab w:val="left" w:pos="1418"/>
        </w:tabs>
        <w:jc w:val="center"/>
        <w:rPr>
          <w:rFonts w:cs="Arial"/>
          <w:b/>
          <w:bCs/>
        </w:rPr>
      </w:pPr>
      <w:bookmarkStart w:id="272" w:name="_Ref336521823"/>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35</w:t>
      </w:r>
      <w:r w:rsidR="007F3102">
        <w:rPr>
          <w:b/>
        </w:rPr>
        <w:fldChar w:fldCharType="end"/>
      </w:r>
      <w:bookmarkEnd w:id="272"/>
      <w:r w:rsidRPr="00962D24">
        <w:rPr>
          <w:b/>
        </w:rPr>
        <w:t xml:space="preserve"> </w:t>
      </w:r>
      <w:r w:rsidRPr="00962D24">
        <w:rPr>
          <w:rFonts w:cs="Arial"/>
          <w:b/>
          <w:bCs/>
        </w:rPr>
        <w:t>Eficiencias de Riego por Especie y Subcuenca 0571</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694309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28290" cy="694309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962D24" w:rsidRPr="00962D24" w:rsidRDefault="00962D24" w:rsidP="00B51B51">
      <w:pPr>
        <w:pStyle w:val="Sangradetextonormal"/>
        <w:widowControl w:val="0"/>
        <w:tabs>
          <w:tab w:val="left" w:pos="1418"/>
        </w:tabs>
        <w:jc w:val="center"/>
        <w:rPr>
          <w:rFonts w:cs="Arial"/>
          <w:b/>
          <w:bCs/>
        </w:rPr>
      </w:pPr>
    </w:p>
    <w:p w:rsidR="00962D24" w:rsidRPr="00962D24" w:rsidRDefault="00962D2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36</w:t>
      </w:r>
      <w:r w:rsidR="007F3102">
        <w:rPr>
          <w:b/>
        </w:rPr>
        <w:fldChar w:fldCharType="end"/>
      </w:r>
      <w:r w:rsidRPr="00962D24">
        <w:rPr>
          <w:b/>
        </w:rPr>
        <w:t xml:space="preserve"> </w:t>
      </w:r>
      <w:r w:rsidRPr="00962D24">
        <w:rPr>
          <w:rFonts w:cs="Arial"/>
          <w:b/>
          <w:bCs/>
        </w:rPr>
        <w:t>Eficiencias de Riego por Especie y Subcuenca 0600</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5029200"/>
            <wp:effectExtent l="0" t="0" r="0" b="0"/>
            <wp:docPr id="6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28290" cy="502920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37</w:t>
      </w:r>
      <w:r w:rsidR="007F3102">
        <w:rPr>
          <w:b/>
        </w:rPr>
        <w:fldChar w:fldCharType="end"/>
      </w:r>
      <w:r w:rsidRPr="00962D24">
        <w:rPr>
          <w:b/>
        </w:rPr>
        <w:t xml:space="preserve"> </w:t>
      </w:r>
      <w:r w:rsidRPr="00962D24">
        <w:rPr>
          <w:rFonts w:cs="Arial"/>
          <w:b/>
          <w:bCs/>
        </w:rPr>
        <w:t>Eficiencias de Riego por Especie y Subcuenca 0601</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966720" cy="7995920"/>
            <wp:effectExtent l="0" t="0" r="5080" b="5080"/>
            <wp:docPr id="7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6720" cy="799592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38</w:t>
      </w:r>
      <w:r w:rsidR="007F3102">
        <w:rPr>
          <w:b/>
        </w:rPr>
        <w:fldChar w:fldCharType="end"/>
      </w:r>
      <w:r w:rsidRPr="00962D24">
        <w:rPr>
          <w:b/>
        </w:rPr>
        <w:t xml:space="preserve"> </w:t>
      </w:r>
      <w:r w:rsidRPr="00962D24">
        <w:rPr>
          <w:rFonts w:cs="Arial"/>
          <w:b/>
          <w:bCs/>
        </w:rPr>
        <w:t>Eficiencias de Riego por Especie y Subcuenca 0604</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7134225"/>
            <wp:effectExtent l="0" t="0" r="0" b="9525"/>
            <wp:docPr id="7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8290" cy="713422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39</w:t>
      </w:r>
      <w:r w:rsidR="007F3102">
        <w:rPr>
          <w:b/>
        </w:rPr>
        <w:fldChar w:fldCharType="end"/>
      </w:r>
      <w:r w:rsidRPr="00962D24">
        <w:rPr>
          <w:b/>
        </w:rPr>
        <w:t xml:space="preserve"> </w:t>
      </w:r>
      <w:r w:rsidRPr="00962D24">
        <w:rPr>
          <w:rFonts w:cs="Arial"/>
          <w:b/>
          <w:bCs/>
        </w:rPr>
        <w:t>Eficiencias de Riego por Especie y Subcuenca 0605</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7602220"/>
            <wp:effectExtent l="0" t="0" r="0" b="0"/>
            <wp:docPr id="7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8290" cy="760222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40</w:t>
      </w:r>
      <w:r w:rsidR="007F3102">
        <w:rPr>
          <w:b/>
        </w:rPr>
        <w:fldChar w:fldCharType="end"/>
      </w:r>
      <w:r w:rsidRPr="00962D24">
        <w:rPr>
          <w:b/>
        </w:rPr>
        <w:t xml:space="preserve"> </w:t>
      </w:r>
      <w:r w:rsidRPr="00962D24">
        <w:rPr>
          <w:rFonts w:cs="Arial"/>
          <w:b/>
          <w:bCs/>
        </w:rPr>
        <w:t>Eficiencias de Riego por Especie y Subcuenca 0610</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818515"/>
            <wp:effectExtent l="0" t="0" r="0" b="635"/>
            <wp:docPr id="7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8290" cy="81851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41</w:t>
      </w:r>
      <w:r w:rsidR="007F3102">
        <w:rPr>
          <w:b/>
        </w:rPr>
        <w:fldChar w:fldCharType="end"/>
      </w:r>
      <w:r w:rsidRPr="00962D24">
        <w:rPr>
          <w:b/>
        </w:rPr>
        <w:t xml:space="preserve"> </w:t>
      </w:r>
      <w:r w:rsidRPr="00962D24">
        <w:rPr>
          <w:rFonts w:cs="Arial"/>
          <w:b/>
          <w:bCs/>
        </w:rPr>
        <w:t>Eficiencias de Riego por Especie y Subcuenca 0611</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5518150"/>
            <wp:effectExtent l="0" t="0" r="0" b="6350"/>
            <wp:docPr id="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8290" cy="551815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42</w:t>
      </w:r>
      <w:r w:rsidR="007F3102">
        <w:rPr>
          <w:b/>
        </w:rPr>
        <w:fldChar w:fldCharType="end"/>
      </w:r>
      <w:r w:rsidRPr="00962D24">
        <w:rPr>
          <w:b/>
        </w:rPr>
        <w:t xml:space="preserve"> </w:t>
      </w:r>
      <w:r w:rsidRPr="00962D24">
        <w:rPr>
          <w:rFonts w:cs="Arial"/>
          <w:b/>
          <w:bCs/>
        </w:rPr>
        <w:t>Eficiencias de Riego por Especie y Subcuenca 0612</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818515"/>
            <wp:effectExtent l="0" t="0" r="0" b="635"/>
            <wp:docPr id="7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28290" cy="81851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43</w:t>
      </w:r>
      <w:r w:rsidR="007F3102">
        <w:rPr>
          <w:b/>
        </w:rPr>
        <w:fldChar w:fldCharType="end"/>
      </w:r>
      <w:r w:rsidRPr="00962D24">
        <w:rPr>
          <w:b/>
        </w:rPr>
        <w:t xml:space="preserve"> </w:t>
      </w:r>
      <w:r w:rsidRPr="00962D24">
        <w:rPr>
          <w:rFonts w:cs="Arial"/>
          <w:b/>
          <w:bCs/>
        </w:rPr>
        <w:t>Eficiencias de Riego por Especie y Subcuenca 0602</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5677535"/>
            <wp:effectExtent l="0" t="0" r="0" b="0"/>
            <wp:docPr id="7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28290" cy="567753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44</w:t>
      </w:r>
      <w:r w:rsidR="007F3102">
        <w:rPr>
          <w:b/>
        </w:rPr>
        <w:fldChar w:fldCharType="end"/>
      </w:r>
      <w:r w:rsidRPr="00962D24">
        <w:rPr>
          <w:b/>
        </w:rPr>
        <w:t xml:space="preserve"> </w:t>
      </w:r>
      <w:r w:rsidRPr="00962D24">
        <w:rPr>
          <w:rFonts w:cs="Arial"/>
          <w:b/>
          <w:bCs/>
        </w:rPr>
        <w:t>Eficiencias de Riego por Especie y Subcuenca 0603</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7613015"/>
            <wp:effectExtent l="0" t="0" r="0" b="6985"/>
            <wp:docPr id="7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28290" cy="761301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45</w:t>
      </w:r>
      <w:r w:rsidR="007F3102">
        <w:rPr>
          <w:b/>
        </w:rPr>
        <w:fldChar w:fldCharType="end"/>
      </w:r>
      <w:r w:rsidRPr="00962D24">
        <w:rPr>
          <w:b/>
        </w:rPr>
        <w:t xml:space="preserve"> </w:t>
      </w:r>
      <w:r w:rsidRPr="00962D24">
        <w:rPr>
          <w:rFonts w:cs="Arial"/>
          <w:b/>
          <w:bCs/>
        </w:rPr>
        <w:t>Eficiencias de Riego por Especie y Subcuenca 0613</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7602220"/>
            <wp:effectExtent l="0" t="0" r="0" b="0"/>
            <wp:docPr id="7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28290" cy="760222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46</w:t>
      </w:r>
      <w:r w:rsidR="007F3102">
        <w:rPr>
          <w:b/>
        </w:rPr>
        <w:fldChar w:fldCharType="end"/>
      </w:r>
      <w:r w:rsidRPr="00962D24">
        <w:rPr>
          <w:b/>
        </w:rPr>
        <w:t xml:space="preserve"> </w:t>
      </w:r>
      <w:r w:rsidRPr="00962D24">
        <w:rPr>
          <w:rFonts w:cs="Arial"/>
          <w:b/>
          <w:bCs/>
        </w:rPr>
        <w:t>Eficiencias de Riego por Especie y Subcuenca 0614</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818515"/>
            <wp:effectExtent l="0" t="0" r="0" b="635"/>
            <wp:docPr id="7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28290" cy="81851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47</w:t>
      </w:r>
      <w:r w:rsidR="007F3102">
        <w:rPr>
          <w:b/>
        </w:rPr>
        <w:fldChar w:fldCharType="end"/>
      </w:r>
      <w:r w:rsidRPr="00962D24">
        <w:rPr>
          <w:b/>
        </w:rPr>
        <w:t xml:space="preserve"> </w:t>
      </w:r>
      <w:r w:rsidRPr="00962D24">
        <w:rPr>
          <w:rFonts w:cs="Arial"/>
          <w:b/>
          <w:bCs/>
        </w:rPr>
        <w:t>Eficiencias de Riego por Especie y Área Externa Alhué</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4380865"/>
            <wp:effectExtent l="0" t="0" r="0" b="635"/>
            <wp:docPr id="8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8290" cy="438086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48</w:t>
      </w:r>
      <w:r w:rsidR="007F3102">
        <w:rPr>
          <w:b/>
        </w:rPr>
        <w:fldChar w:fldCharType="end"/>
      </w:r>
      <w:r w:rsidRPr="00962D24">
        <w:rPr>
          <w:b/>
        </w:rPr>
        <w:t xml:space="preserve"> </w:t>
      </w:r>
      <w:r w:rsidRPr="00962D24">
        <w:rPr>
          <w:rFonts w:cs="Arial"/>
          <w:b/>
          <w:bCs/>
        </w:rPr>
        <w:t>Eficiencias de Riego por Especie y Área Externa Teno</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7644765"/>
            <wp:effectExtent l="0" t="0" r="0" b="0"/>
            <wp:docPr id="8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8290" cy="764476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bookmarkStart w:id="273" w:name="_Ref336521842"/>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49</w:t>
      </w:r>
      <w:r w:rsidR="007F3102">
        <w:rPr>
          <w:b/>
        </w:rPr>
        <w:fldChar w:fldCharType="end"/>
      </w:r>
      <w:bookmarkEnd w:id="273"/>
      <w:r w:rsidRPr="00962D24">
        <w:rPr>
          <w:b/>
        </w:rPr>
        <w:t xml:space="preserve"> </w:t>
      </w:r>
      <w:r w:rsidRPr="00962D24">
        <w:rPr>
          <w:rFonts w:cs="Arial"/>
          <w:b/>
          <w:bCs/>
        </w:rPr>
        <w:t>Eficiencias de Riego por Especie y Área Externa Parrón/Cobre</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828290" cy="1308100"/>
            <wp:effectExtent l="0" t="0" r="0" b="6350"/>
            <wp:docPr id="8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28290" cy="1308100"/>
                    </a:xfrm>
                    <a:prstGeom prst="rect">
                      <a:avLst/>
                    </a:prstGeom>
                    <a:noFill/>
                    <a:ln>
                      <a:noFill/>
                    </a:ln>
                  </pic:spPr>
                </pic:pic>
              </a:graphicData>
            </a:graphic>
          </wp:inline>
        </w:drawing>
      </w:r>
    </w:p>
    <w:p w:rsidR="000A1474" w:rsidRPr="00962D24" w:rsidRDefault="000A1474" w:rsidP="00B51B51">
      <w:pPr>
        <w:widowControl w:val="0"/>
      </w:pPr>
    </w:p>
    <w:p w:rsidR="000A1474" w:rsidRPr="00962D24" w:rsidRDefault="00107DAA" w:rsidP="00B51B51">
      <w:pPr>
        <w:widowControl w:val="0"/>
        <w:rPr>
          <w:b/>
        </w:rPr>
      </w:pPr>
      <w:r w:rsidRPr="00962D24">
        <w:rPr>
          <w:b/>
        </w:rPr>
        <w:t>b.4)</w:t>
      </w:r>
      <w:r w:rsidRPr="00962D24">
        <w:rPr>
          <w:b/>
        </w:rPr>
        <w:tab/>
      </w:r>
      <w:r w:rsidR="000A1474" w:rsidRPr="00962D24">
        <w:rPr>
          <w:b/>
        </w:rPr>
        <w:t>Demandas Brutas de Riego</w:t>
      </w:r>
    </w:p>
    <w:p w:rsidR="000A1474" w:rsidRPr="00962D24" w:rsidRDefault="000A1474" w:rsidP="00B51B51">
      <w:pPr>
        <w:widowControl w:val="0"/>
      </w:pPr>
    </w:p>
    <w:p w:rsidR="000A1474" w:rsidRPr="00962D24" w:rsidRDefault="00446B48" w:rsidP="00B51B51">
      <w:pPr>
        <w:widowControl w:val="0"/>
      </w:pPr>
      <w:r>
        <w:t xml:space="preserve">Se han determinado las demandas brutas de agua por </w:t>
      </w:r>
      <w:r w:rsidR="000A1474" w:rsidRPr="00962D24">
        <w:t>cultivo. Esto se ha efectuado mediante la multiplicación de las tasas de riego por las asignaciones de cultivo.</w:t>
      </w:r>
    </w:p>
    <w:p w:rsidR="000A1474" w:rsidRPr="00962D24" w:rsidRDefault="000A1474" w:rsidP="00B51B51">
      <w:pPr>
        <w:widowControl w:val="0"/>
      </w:pPr>
    </w:p>
    <w:p w:rsidR="000A1474" w:rsidRPr="00962D24" w:rsidRDefault="00446B48" w:rsidP="00B51B51">
      <w:pPr>
        <w:widowControl w:val="0"/>
      </w:pPr>
      <w:r>
        <w:t>La información por</w:t>
      </w:r>
      <w:r w:rsidR="000A1474" w:rsidRPr="00962D24">
        <w:t xml:space="preserve"> subcuenca y espec</w:t>
      </w:r>
      <w:r>
        <w:t xml:space="preserve">ie cultivada se presenta desde </w:t>
      </w:r>
      <w:smartTag w:uri="urn:schemas-microsoft-com:office:smarttags" w:element="PersonName">
        <w:smartTagPr>
          <w:attr w:name="ProductID" w:val="la ￼￼￼￼￼￼￼￼￼￼￼￼￼￼￼￼￼￼￼￼￼￼￼￼￼￼￼￼￼￼￼￼￼￼￼￼￼￼￼￼￼Tabla"/>
        </w:smartTagPr>
        <w:r>
          <w:t>la</w:t>
        </w:r>
        <w:r w:rsidR="000A1474" w:rsidRPr="00B20E87">
          <w:t xml:space="preserve"> </w:t>
        </w:r>
        <w:r w:rsidR="00B20E87" w:rsidRPr="00B20E87">
          <w:fldChar w:fldCharType="begin"/>
        </w:r>
        <w:r w:rsidR="00B20E87" w:rsidRPr="00B20E87">
          <w:instrText xml:space="preserve"> REF _Ref336522183 \h </w:instrText>
        </w:r>
        <w:r w:rsidR="00B20E87" w:rsidRPr="00B20E87">
          <w:instrText xml:space="preserve"> \* MERGEFORMAT </w:instrText>
        </w:r>
        <w:r w:rsidR="00B20E87" w:rsidRPr="00B20E87">
          <w:fldChar w:fldCharType="separate"/>
        </w:r>
        <w:r w:rsidR="00264070" w:rsidRPr="00264070">
          <w:t>Tabla</w:t>
        </w:r>
      </w:smartTag>
      <w:r w:rsidR="00264070" w:rsidRPr="00264070">
        <w:t xml:space="preserve"> </w:t>
      </w:r>
      <w:r w:rsidR="00264070" w:rsidRPr="00264070">
        <w:rPr>
          <w:noProof/>
        </w:rPr>
        <w:t>5.50</w:t>
      </w:r>
      <w:r w:rsidR="00B20E87" w:rsidRPr="00B20E87">
        <w:fldChar w:fldCharType="end"/>
      </w:r>
      <w:r w:rsidR="000A1474" w:rsidRPr="00B20E87">
        <w:t xml:space="preserve"> a </w:t>
      </w:r>
      <w:smartTag w:uri="urn:schemas-microsoft-com:office:smarttags" w:element="PersonName">
        <w:smartTagPr>
          <w:attr w:name="ProductID" w:val="la ￼￼￼￼￼￼￼￼￼￼￼￼￼￼￼￼￼￼￼￼￼￼￼￼￼￼￼￼￼￼￼￼￼￼￼￼￼￼￼￼￼Tabla"/>
        </w:smartTagPr>
        <w:r w:rsidR="000A1474" w:rsidRPr="00B20E87">
          <w:t xml:space="preserve">la </w:t>
        </w:r>
        <w:r w:rsidR="000A1474" w:rsidRPr="00962D24">
          <w:fldChar w:fldCharType="begin"/>
        </w:r>
        <w:r w:rsidR="000A1474" w:rsidRPr="00962D24">
          <w:instrText xml:space="preserve"> REF _Ref336522241 \h </w:instrText>
        </w:r>
        <w:r w:rsidR="000A1474" w:rsidRPr="00962D24">
          <w:instrText xml:space="preserve"> \* MERGEFORMAT </w:instrText>
        </w:r>
        <w:r w:rsidR="000A1474" w:rsidRPr="00962D24">
          <w:fldChar w:fldCharType="separate"/>
        </w:r>
        <w:r w:rsidR="00264070" w:rsidRPr="00264070">
          <w:t>Tabla</w:t>
        </w:r>
      </w:smartTag>
      <w:r w:rsidR="00264070" w:rsidRPr="00264070">
        <w:t xml:space="preserve"> </w:t>
      </w:r>
      <w:r w:rsidR="00264070" w:rsidRPr="00264070">
        <w:rPr>
          <w:noProof/>
        </w:rPr>
        <w:t>5.61</w:t>
      </w:r>
      <w:r w:rsidR="000A1474" w:rsidRPr="00962D24">
        <w:fldChar w:fldCharType="end"/>
      </w:r>
      <w:r w:rsidR="000A1474" w:rsidRPr="00962D24">
        <w:t>.</w:t>
      </w:r>
    </w:p>
    <w:p w:rsidR="00107DAA" w:rsidRPr="00962D24" w:rsidRDefault="00107DAA" w:rsidP="00B51B51">
      <w:pPr>
        <w:widowControl w:val="0"/>
      </w:pPr>
    </w:p>
    <w:p w:rsidR="000A1474" w:rsidRPr="00962D24" w:rsidRDefault="000A1474" w:rsidP="00B51B51">
      <w:pPr>
        <w:widowControl w:val="0"/>
      </w:pPr>
      <w:r w:rsidRPr="00962D24">
        <w:t xml:space="preserve">En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_Ref336522258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5.62</w:t>
      </w:r>
      <w:r w:rsidRPr="00962D24">
        <w:fldChar w:fldCharType="end"/>
      </w:r>
      <w:r w:rsidRPr="00962D24">
        <w:t xml:space="preserve"> se puede apreciar la demanda bruta para el total de </w:t>
      </w:r>
      <w:smartTag w:uri="urn:schemas-microsoft-com:office:smarttags" w:element="PersonName">
        <w:smartTagPr>
          <w:attr w:name="ProductID" w:val="la VI Región"/>
        </w:smartTagPr>
        <w:r w:rsidRPr="00962D24">
          <w:t>la V</w:t>
        </w:r>
        <w:r w:rsidR="00446B48">
          <w:t>I Región</w:t>
        </w:r>
      </w:smartTag>
      <w:r w:rsidR="00446B48">
        <w:t xml:space="preserve"> de O’Higgins</w:t>
      </w:r>
      <w:r w:rsidRPr="00962D24">
        <w:t>, la cual alcanza a los 2.139,8 millones de m</w:t>
      </w:r>
      <w:r w:rsidRPr="00962D24">
        <w:rPr>
          <w:szCs w:val="22"/>
          <w:vertAlign w:val="superscript"/>
        </w:rPr>
        <w:t>3</w:t>
      </w:r>
      <w:r w:rsidRPr="00962D24">
        <w:t>, con un mes de máxima demanda en enero con 2.005 m</w:t>
      </w:r>
      <w:r w:rsidRPr="00962D24">
        <w:rPr>
          <w:vertAlign w:val="superscript"/>
        </w:rPr>
        <w:t>3</w:t>
      </w:r>
      <w:r w:rsidR="000C7907">
        <w:t>/ha</w:t>
      </w:r>
      <w:r w:rsidRPr="00962D24">
        <w:t>.</w:t>
      </w:r>
    </w:p>
    <w:p w:rsidR="000A1474" w:rsidRPr="00962D24" w:rsidRDefault="000A1474" w:rsidP="00B51B51">
      <w:pPr>
        <w:widowControl w:val="0"/>
      </w:pPr>
    </w:p>
    <w:p w:rsidR="000A1474" w:rsidRPr="00962D24" w:rsidRDefault="000A1474" w:rsidP="00B51B51">
      <w:pPr>
        <w:widowControl w:val="0"/>
      </w:pPr>
      <w:r w:rsidRPr="00962D24">
        <w:t xml:space="preserve">Finalmente, en </w:t>
      </w:r>
      <w:smartTag w:uri="urn:schemas-microsoft-com:office:smarttags" w:element="PersonName">
        <w:smartTagPr>
          <w:attr w:name="ProductID" w:val="la ￼￼￼￼￼￼￼￼￼￼￼￼￼￼￼￼￼￼￼￼￼￼￼￼￼￼￼￼￼￼￼￼￼￼￼￼￼￼￼￼￼Tabla"/>
        </w:smartTagPr>
        <w:r w:rsidRPr="00962D24">
          <w:t xml:space="preserve">la </w:t>
        </w:r>
        <w:r w:rsidR="0093394C" w:rsidRPr="00962D24">
          <w:fldChar w:fldCharType="begin"/>
        </w:r>
        <w:r w:rsidR="0093394C" w:rsidRPr="00962D24">
          <w:instrText xml:space="preserve"> REF _Ref336897458 \h </w:instrText>
        </w:r>
        <w:r w:rsidR="0093394C" w:rsidRPr="00962D24">
          <w:instrText xml:space="preserve"> \* MERGEFORMAT </w:instrText>
        </w:r>
        <w:r w:rsidR="0093394C" w:rsidRPr="00962D24">
          <w:fldChar w:fldCharType="separate"/>
        </w:r>
        <w:r w:rsidR="00264070" w:rsidRPr="00264070">
          <w:t>Tabla</w:t>
        </w:r>
      </w:smartTag>
      <w:r w:rsidR="00264070" w:rsidRPr="00264070">
        <w:t xml:space="preserve"> </w:t>
      </w:r>
      <w:r w:rsidR="00264070" w:rsidRPr="00264070">
        <w:rPr>
          <w:noProof/>
        </w:rPr>
        <w:t>5.63</w:t>
      </w:r>
      <w:r w:rsidR="0093394C" w:rsidRPr="00962D24">
        <w:fldChar w:fldCharType="end"/>
      </w:r>
      <w:r w:rsidRPr="00962D24">
        <w:t xml:space="preserve"> a </w:t>
      </w:r>
      <w:smartTag w:uri="urn:schemas-microsoft-com:office:smarttags" w:element="PersonName">
        <w:smartTagPr>
          <w:attr w:name="ProductID" w:val="la ￼￼￼￼￼￼￼￼￼￼￼￼￼￼￼￼￼￼￼￼￼￼￼￼￼￼￼￼￼￼￼￼￼￼￼￼￼￼￼￼￼Tabla"/>
        </w:smartTagPr>
        <w:r w:rsidRPr="00962D24">
          <w:t xml:space="preserve">la </w:t>
        </w:r>
        <w:r w:rsidRPr="00962D24">
          <w:fldChar w:fldCharType="begin"/>
        </w:r>
        <w:r w:rsidRPr="00962D24">
          <w:instrText xml:space="preserve"> REF _Ref336522385 \h </w:instrText>
        </w:r>
        <w:r w:rsidRPr="00962D24">
          <w:instrText xml:space="preserve"> \* MERGEFORMAT </w:instrText>
        </w:r>
        <w:r w:rsidRPr="00962D24">
          <w:fldChar w:fldCharType="separate"/>
        </w:r>
        <w:r w:rsidR="00264070" w:rsidRPr="00264070">
          <w:t>Tabla</w:t>
        </w:r>
      </w:smartTag>
      <w:r w:rsidR="00264070" w:rsidRPr="00264070">
        <w:t xml:space="preserve"> </w:t>
      </w:r>
      <w:r w:rsidR="00264070" w:rsidRPr="00264070">
        <w:rPr>
          <w:noProof/>
        </w:rPr>
        <w:t>5.65</w:t>
      </w:r>
      <w:r w:rsidRPr="00962D24">
        <w:fldChar w:fldCharType="end"/>
      </w:r>
      <w:r w:rsidRPr="00962D24">
        <w:t xml:space="preserve"> se presenta la demanda bruta para cada una de las áreas externas a </w:t>
      </w:r>
      <w:smartTag w:uri="urn:schemas-microsoft-com:office:smarttags" w:element="PersonName">
        <w:smartTagPr>
          <w:attr w:name="ProductID" w:val="la VI Región"/>
        </w:smartTagPr>
        <w:r w:rsidRPr="00962D24">
          <w:t>la VI Región</w:t>
        </w:r>
      </w:smartTag>
      <w:r w:rsidRPr="00962D24">
        <w:t xml:space="preserve"> y que son parte aportante del sistema hídrico de esta zona.</w:t>
      </w:r>
    </w:p>
    <w:p w:rsidR="000A1474" w:rsidRPr="00962D24" w:rsidRDefault="000A1474" w:rsidP="00B51B51">
      <w:pPr>
        <w:pStyle w:val="Sangradetextonormal"/>
        <w:widowControl w:val="0"/>
        <w:tabs>
          <w:tab w:val="left" w:pos="1418"/>
        </w:tabs>
        <w:rPr>
          <w:rFonts w:cs="Arial"/>
        </w:rPr>
      </w:pPr>
    </w:p>
    <w:p w:rsidR="000A1474" w:rsidRPr="00962D24" w:rsidRDefault="000A1474" w:rsidP="00B51B51">
      <w:pPr>
        <w:pStyle w:val="Sangradetextonormal"/>
        <w:widowControl w:val="0"/>
        <w:tabs>
          <w:tab w:val="left" w:pos="1418"/>
        </w:tabs>
        <w:rPr>
          <w:rFonts w:cs="Arial"/>
        </w:rPr>
        <w:sectPr w:rsidR="000A1474" w:rsidRPr="00962D24" w:rsidSect="000A1474">
          <w:pgSz w:w="12242" w:h="15842" w:code="1"/>
          <w:pgMar w:top="1418" w:right="1701" w:bottom="1418" w:left="1701" w:header="720" w:footer="964" w:gutter="0"/>
          <w:cols w:space="720"/>
        </w:sectPr>
      </w:pPr>
    </w:p>
    <w:p w:rsidR="000A1474" w:rsidRPr="00962D24" w:rsidRDefault="000A1474" w:rsidP="00B51B51">
      <w:pPr>
        <w:pStyle w:val="Sangradetextonormal"/>
        <w:widowControl w:val="0"/>
        <w:tabs>
          <w:tab w:val="left" w:pos="1418"/>
        </w:tabs>
        <w:jc w:val="center"/>
        <w:rPr>
          <w:rFonts w:cs="Arial"/>
          <w:b/>
          <w:bCs/>
        </w:rPr>
      </w:pPr>
      <w:bookmarkStart w:id="274" w:name="_Ref336522183"/>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50</w:t>
      </w:r>
      <w:r w:rsidR="007F3102">
        <w:rPr>
          <w:b/>
        </w:rPr>
        <w:fldChar w:fldCharType="end"/>
      </w:r>
      <w:bookmarkEnd w:id="274"/>
      <w:r w:rsidRPr="00962D24">
        <w:rPr>
          <w:b/>
        </w:rPr>
        <w:t xml:space="preserve"> </w:t>
      </w:r>
      <w:r w:rsidRPr="00962D24">
        <w:rPr>
          <w:rFonts w:cs="Arial"/>
          <w:b/>
          <w:bCs/>
        </w:rPr>
        <w:t>Demandas Brutas Subcuenca 0571 (m</w:t>
      </w:r>
      <w:r w:rsidRPr="00962D24">
        <w:rPr>
          <w:rFonts w:cs="Arial"/>
          <w:b/>
          <w:bCs/>
          <w:szCs w:val="22"/>
          <w:vertAlign w:val="superscript"/>
        </w:rPr>
        <w:t>3</w:t>
      </w:r>
      <w:r w:rsidRPr="00962D24">
        <w:rPr>
          <w:rFonts w:cs="Arial"/>
          <w:b/>
          <w:bCs/>
        </w:rPr>
        <w:t>)</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40395" cy="4965700"/>
            <wp:effectExtent l="0" t="0" r="8255" b="6350"/>
            <wp:docPr id="8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40395" cy="496570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bookmarkStart w:id="275" w:name="_Ref336522196"/>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51</w:t>
      </w:r>
      <w:r w:rsidR="007F3102">
        <w:rPr>
          <w:b/>
        </w:rPr>
        <w:fldChar w:fldCharType="end"/>
      </w:r>
      <w:bookmarkEnd w:id="275"/>
      <w:r w:rsidRPr="00962D24">
        <w:rPr>
          <w:b/>
        </w:rPr>
        <w:t xml:space="preserve"> </w:t>
      </w:r>
      <w:r w:rsidRPr="00962D24">
        <w:rPr>
          <w:rFonts w:cs="Arial"/>
          <w:b/>
          <w:bCs/>
        </w:rPr>
        <w:t>Demandas Brutas Subcuenca 0600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806190"/>
            <wp:effectExtent l="0" t="0" r="0" b="3810"/>
            <wp:docPr id="8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250555" cy="380619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52</w:t>
      </w:r>
      <w:r w:rsidR="007F3102">
        <w:rPr>
          <w:b/>
        </w:rPr>
        <w:fldChar w:fldCharType="end"/>
      </w:r>
      <w:r w:rsidRPr="00962D24">
        <w:rPr>
          <w:b/>
        </w:rPr>
        <w:t xml:space="preserve"> </w:t>
      </w:r>
      <w:r w:rsidRPr="00962D24">
        <w:rPr>
          <w:rFonts w:cs="Arial"/>
          <w:b/>
          <w:bCs/>
        </w:rPr>
        <w:t>Demandas Brutas Subcuenca 0601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197850" cy="5039995"/>
            <wp:effectExtent l="0" t="0" r="0" b="8255"/>
            <wp:docPr id="8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197850" cy="5039995"/>
                    </a:xfrm>
                    <a:prstGeom prst="rect">
                      <a:avLst/>
                    </a:prstGeom>
                    <a:noFill/>
                    <a:ln>
                      <a:noFill/>
                    </a:ln>
                  </pic:spPr>
                </pic:pic>
              </a:graphicData>
            </a:graphic>
          </wp:inline>
        </w:drawing>
      </w:r>
    </w:p>
    <w:p w:rsidR="00DA61EE" w:rsidRDefault="00DA61EE" w:rsidP="00B51B51">
      <w:pPr>
        <w:pStyle w:val="Sangradetextonormal"/>
        <w:widowControl w:val="0"/>
        <w:tabs>
          <w:tab w:val="left" w:pos="1418"/>
        </w:tabs>
        <w:jc w:val="center"/>
        <w:rPr>
          <w:b/>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53</w:t>
      </w:r>
      <w:r w:rsidR="007F3102">
        <w:rPr>
          <w:b/>
        </w:rPr>
        <w:fldChar w:fldCharType="end"/>
      </w:r>
      <w:r w:rsidRPr="00962D24">
        <w:rPr>
          <w:b/>
        </w:rPr>
        <w:t xml:space="preserve"> </w:t>
      </w:r>
      <w:r w:rsidRPr="00962D24">
        <w:rPr>
          <w:rFonts w:cs="Arial"/>
          <w:b/>
          <w:bCs/>
        </w:rPr>
        <w:t>Demandas Brutas Subcuenca 0604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08645" cy="5029200"/>
            <wp:effectExtent l="0" t="0" r="1905" b="0"/>
            <wp:docPr id="8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08645" cy="502920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54</w:t>
      </w:r>
      <w:r w:rsidR="007F3102">
        <w:rPr>
          <w:b/>
        </w:rPr>
        <w:fldChar w:fldCharType="end"/>
      </w:r>
      <w:r w:rsidRPr="00962D24">
        <w:rPr>
          <w:b/>
        </w:rPr>
        <w:t xml:space="preserve"> </w:t>
      </w:r>
      <w:r w:rsidRPr="00962D24">
        <w:rPr>
          <w:rFonts w:cs="Arial"/>
          <w:b/>
          <w:bCs/>
        </w:rPr>
        <w:t>Demandas Brutas Subcuenca 0605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5071745"/>
            <wp:effectExtent l="0" t="0" r="0" b="0"/>
            <wp:docPr id="8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50555" cy="507174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55</w:t>
      </w:r>
      <w:r w:rsidR="007F3102">
        <w:rPr>
          <w:b/>
        </w:rPr>
        <w:fldChar w:fldCharType="end"/>
      </w:r>
      <w:r w:rsidRPr="00962D24">
        <w:rPr>
          <w:b/>
        </w:rPr>
        <w:t xml:space="preserve"> </w:t>
      </w:r>
      <w:r w:rsidRPr="00962D24">
        <w:rPr>
          <w:rFonts w:cs="Arial"/>
          <w:b/>
          <w:bCs/>
        </w:rPr>
        <w:t>Demandas Brutas Subcuenca 0610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914400"/>
            <wp:effectExtent l="0" t="0" r="0" b="0"/>
            <wp:docPr id="8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50555" cy="91440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56</w:t>
      </w:r>
      <w:r w:rsidR="007F3102">
        <w:rPr>
          <w:b/>
        </w:rPr>
        <w:fldChar w:fldCharType="end"/>
      </w:r>
      <w:r w:rsidRPr="00962D24">
        <w:rPr>
          <w:b/>
        </w:rPr>
        <w:t xml:space="preserve"> </w:t>
      </w:r>
      <w:r w:rsidRPr="00962D24">
        <w:rPr>
          <w:rFonts w:cs="Arial"/>
          <w:b/>
          <w:bCs/>
        </w:rPr>
        <w:t>Demandas Brutas Subcuenca 0611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604260"/>
            <wp:effectExtent l="0" t="0" r="0" b="0"/>
            <wp:docPr id="8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250555" cy="360426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57</w:t>
      </w:r>
      <w:r w:rsidR="007F3102">
        <w:rPr>
          <w:b/>
        </w:rPr>
        <w:fldChar w:fldCharType="end"/>
      </w:r>
      <w:r w:rsidRPr="00962D24">
        <w:rPr>
          <w:b/>
        </w:rPr>
        <w:t xml:space="preserve"> </w:t>
      </w:r>
      <w:r w:rsidRPr="00962D24">
        <w:rPr>
          <w:rFonts w:cs="Arial"/>
          <w:b/>
          <w:bCs/>
        </w:rPr>
        <w:t>Demandas Brutas Subcuenca 0612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914400"/>
            <wp:effectExtent l="0" t="0" r="0" b="0"/>
            <wp:docPr id="9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50555" cy="91440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58</w:t>
      </w:r>
      <w:r w:rsidR="007F3102">
        <w:rPr>
          <w:b/>
        </w:rPr>
        <w:fldChar w:fldCharType="end"/>
      </w:r>
      <w:r w:rsidRPr="00962D24">
        <w:rPr>
          <w:b/>
        </w:rPr>
        <w:t xml:space="preserve"> </w:t>
      </w:r>
      <w:r w:rsidRPr="00962D24">
        <w:rPr>
          <w:rFonts w:cs="Arial"/>
          <w:b/>
          <w:bCs/>
        </w:rPr>
        <w:t>Demandas Brutas Subcuenca 0602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572510"/>
            <wp:effectExtent l="0" t="0" r="0" b="8890"/>
            <wp:docPr id="9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50555" cy="3572510"/>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59</w:t>
      </w:r>
      <w:r w:rsidR="007F3102">
        <w:rPr>
          <w:b/>
        </w:rPr>
        <w:fldChar w:fldCharType="end"/>
      </w:r>
      <w:r w:rsidRPr="00962D24">
        <w:rPr>
          <w:b/>
        </w:rPr>
        <w:t xml:space="preserve"> </w:t>
      </w:r>
      <w:r w:rsidRPr="00962D24">
        <w:rPr>
          <w:rFonts w:cs="Arial"/>
          <w:b/>
          <w:bCs/>
        </w:rPr>
        <w:t>Demandas Brutas Subcuenca 0603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61350" cy="4923155"/>
            <wp:effectExtent l="0" t="0" r="6350" b="0"/>
            <wp:docPr id="9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261350" cy="492315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962D24" w:rsidRDefault="000A1474" w:rsidP="00B51B51">
      <w:pPr>
        <w:pStyle w:val="Sangradetextonormal"/>
        <w:widowControl w:val="0"/>
        <w:tabs>
          <w:tab w:val="left" w:pos="1418"/>
        </w:tabs>
        <w:jc w:val="center"/>
        <w:rPr>
          <w:rFonts w:cs="Arial"/>
          <w:b/>
          <w:bCs/>
        </w:rPr>
      </w:pPr>
      <w:r w:rsidRPr="00962D24">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60</w:t>
      </w:r>
      <w:r w:rsidR="007F3102">
        <w:rPr>
          <w:b/>
        </w:rPr>
        <w:fldChar w:fldCharType="end"/>
      </w:r>
      <w:r w:rsidRPr="00962D24">
        <w:rPr>
          <w:b/>
        </w:rPr>
        <w:t xml:space="preserve"> </w:t>
      </w:r>
      <w:r w:rsidRPr="00962D24">
        <w:rPr>
          <w:rFonts w:cs="Arial"/>
          <w:b/>
          <w:bCs/>
        </w:rPr>
        <w:t>Demandas Brutas Subcuenca 0613 (m</w:t>
      </w:r>
      <w:r w:rsidR="00107DAA" w:rsidRPr="00962D24">
        <w:rPr>
          <w:rFonts w:cs="Arial"/>
          <w:b/>
          <w:bCs/>
          <w:szCs w:val="22"/>
          <w:vertAlign w:val="superscript"/>
        </w:rPr>
        <w:t>3</w:t>
      </w:r>
      <w:r w:rsidRPr="00962D24">
        <w:rPr>
          <w:rFonts w:cs="Arial"/>
          <w:b/>
          <w:bCs/>
        </w:rPr>
        <w:t xml:space="preserve">) </w:t>
      </w:r>
    </w:p>
    <w:p w:rsidR="000A1474" w:rsidRPr="00962D24"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4986655"/>
            <wp:effectExtent l="0" t="0" r="0" b="4445"/>
            <wp:docPr id="9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50555" cy="4986655"/>
                    </a:xfrm>
                    <a:prstGeom prst="rect">
                      <a:avLst/>
                    </a:prstGeom>
                    <a:noFill/>
                    <a:ln>
                      <a:noFill/>
                    </a:ln>
                  </pic:spPr>
                </pic:pic>
              </a:graphicData>
            </a:graphic>
          </wp:inline>
        </w:drawing>
      </w:r>
    </w:p>
    <w:p w:rsidR="000A1474" w:rsidRPr="00962D24"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276" w:name="_Ref336522241"/>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61</w:t>
      </w:r>
      <w:r w:rsidR="007F3102">
        <w:rPr>
          <w:b/>
        </w:rPr>
        <w:fldChar w:fldCharType="end"/>
      </w:r>
      <w:bookmarkEnd w:id="276"/>
      <w:r w:rsidRPr="003A4B56">
        <w:rPr>
          <w:b/>
        </w:rPr>
        <w:t xml:space="preserve"> </w:t>
      </w:r>
      <w:r w:rsidRPr="003A4B56">
        <w:rPr>
          <w:rFonts w:cs="Arial"/>
          <w:b/>
          <w:bCs/>
        </w:rPr>
        <w:t>Demandas Brutas Subcuenca 0614 (m</w:t>
      </w:r>
      <w:r w:rsidR="00107DAA"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914400"/>
            <wp:effectExtent l="0" t="0" r="0" b="0"/>
            <wp:docPr id="9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50555" cy="91440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277" w:name="_Ref336522258"/>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62</w:t>
      </w:r>
      <w:r w:rsidR="007F3102">
        <w:rPr>
          <w:b/>
        </w:rPr>
        <w:fldChar w:fldCharType="end"/>
      </w:r>
      <w:bookmarkEnd w:id="277"/>
      <w:r w:rsidRPr="003A4B56">
        <w:rPr>
          <w:b/>
        </w:rPr>
        <w:t xml:space="preserve"> </w:t>
      </w:r>
      <w:r w:rsidRPr="003A4B56">
        <w:rPr>
          <w:rFonts w:cs="Arial"/>
          <w:b/>
          <w:bCs/>
        </w:rPr>
        <w:t>Demandas Brutas Total VI Región (m</w:t>
      </w:r>
      <w:r w:rsidR="00107DAA"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197850" cy="5135245"/>
            <wp:effectExtent l="0" t="0" r="0" b="8255"/>
            <wp:docPr id="9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97850" cy="5135245"/>
                    </a:xfrm>
                    <a:prstGeom prst="rect">
                      <a:avLst/>
                    </a:prstGeom>
                    <a:noFill/>
                    <a:ln>
                      <a:noFill/>
                    </a:ln>
                  </pic:spPr>
                </pic:pic>
              </a:graphicData>
            </a:graphic>
          </wp:inline>
        </w:drawing>
      </w:r>
    </w:p>
    <w:p w:rsidR="00107DAA" w:rsidRPr="003A4B56" w:rsidRDefault="00107DAA" w:rsidP="00B51B51">
      <w:pPr>
        <w:pStyle w:val="Sangradetextonormal"/>
        <w:widowControl w:val="0"/>
        <w:tabs>
          <w:tab w:val="left" w:pos="1418"/>
        </w:tabs>
        <w:jc w:val="center"/>
        <w:rPr>
          <w:b/>
        </w:rPr>
      </w:pPr>
      <w:bookmarkStart w:id="278" w:name="_Ref336522350"/>
    </w:p>
    <w:p w:rsidR="000A1474" w:rsidRPr="003A4B56" w:rsidRDefault="000A1474" w:rsidP="00B51B51">
      <w:pPr>
        <w:pStyle w:val="Sangradetextonormal"/>
        <w:widowControl w:val="0"/>
        <w:tabs>
          <w:tab w:val="left" w:pos="1418"/>
        </w:tabs>
        <w:jc w:val="center"/>
        <w:rPr>
          <w:rFonts w:cs="Arial"/>
          <w:b/>
          <w:bCs/>
        </w:rPr>
      </w:pPr>
      <w:bookmarkStart w:id="279" w:name="_Ref336897458"/>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63</w:t>
      </w:r>
      <w:r w:rsidR="007F3102">
        <w:rPr>
          <w:b/>
        </w:rPr>
        <w:fldChar w:fldCharType="end"/>
      </w:r>
      <w:bookmarkEnd w:id="278"/>
      <w:bookmarkEnd w:id="279"/>
      <w:r w:rsidRPr="003A4B56">
        <w:rPr>
          <w:b/>
        </w:rPr>
        <w:t xml:space="preserve"> </w:t>
      </w:r>
      <w:r w:rsidRPr="003A4B56">
        <w:rPr>
          <w:rFonts w:cs="Arial"/>
          <w:b/>
          <w:bCs/>
        </w:rPr>
        <w:t>Demandas Brutas Área Externa de Alhué (m</w:t>
      </w:r>
      <w:r w:rsidR="00107DAA"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402330"/>
            <wp:effectExtent l="0" t="0" r="0" b="7620"/>
            <wp:docPr id="9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250555" cy="340233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64</w:t>
      </w:r>
      <w:r w:rsidR="007F3102">
        <w:rPr>
          <w:b/>
        </w:rPr>
        <w:fldChar w:fldCharType="end"/>
      </w:r>
      <w:r w:rsidRPr="003A4B56">
        <w:rPr>
          <w:b/>
        </w:rPr>
        <w:t xml:space="preserve"> </w:t>
      </w:r>
      <w:r w:rsidRPr="003A4B56">
        <w:rPr>
          <w:rFonts w:cs="Arial"/>
          <w:b/>
          <w:bCs/>
        </w:rPr>
        <w:t>Demandas Brutas Área Externa de Teno (m</w:t>
      </w:r>
      <w:r w:rsidR="00107DAA"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197850" cy="4997450"/>
            <wp:effectExtent l="0" t="0" r="0" b="0"/>
            <wp:docPr id="9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197850" cy="499745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280" w:name="_Ref336522385"/>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65</w:t>
      </w:r>
      <w:r w:rsidR="007F3102">
        <w:rPr>
          <w:b/>
        </w:rPr>
        <w:fldChar w:fldCharType="end"/>
      </w:r>
      <w:bookmarkEnd w:id="280"/>
      <w:r w:rsidRPr="003A4B56">
        <w:rPr>
          <w:b/>
        </w:rPr>
        <w:t xml:space="preserve"> </w:t>
      </w:r>
      <w:r w:rsidRPr="003A4B56">
        <w:rPr>
          <w:rFonts w:cs="Arial"/>
          <w:b/>
          <w:bCs/>
        </w:rPr>
        <w:t>Demandas Brutas Área Externa de Parrón/Cobre (m</w:t>
      </w:r>
      <w:r w:rsidR="00107DAA"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rPr>
      </w:pPr>
      <w:r>
        <w:rPr>
          <w:noProof/>
          <w:lang w:val="es-CL" w:eastAsia="es-CL"/>
        </w:rPr>
        <w:drawing>
          <wp:inline distT="0" distB="0" distL="0" distR="0">
            <wp:extent cx="8250555" cy="1254760"/>
            <wp:effectExtent l="0" t="0" r="0" b="2540"/>
            <wp:docPr id="9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250555" cy="125476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rPr>
          <w:rFonts w:cs="Arial"/>
        </w:rPr>
      </w:pPr>
    </w:p>
    <w:p w:rsidR="000A1474" w:rsidRPr="003A4B56" w:rsidRDefault="000A1474" w:rsidP="00B51B51">
      <w:pPr>
        <w:pStyle w:val="Sangradetextonormal"/>
        <w:widowControl w:val="0"/>
        <w:tabs>
          <w:tab w:val="left" w:pos="1418"/>
        </w:tabs>
        <w:rPr>
          <w:rFonts w:cs="Arial"/>
        </w:rPr>
      </w:pPr>
    </w:p>
    <w:p w:rsidR="000A1474" w:rsidRPr="003A4B56" w:rsidRDefault="000A1474" w:rsidP="00B51B51">
      <w:pPr>
        <w:pStyle w:val="Sangradetextonormal"/>
        <w:widowControl w:val="0"/>
        <w:tabs>
          <w:tab w:val="left" w:pos="1418"/>
        </w:tabs>
        <w:rPr>
          <w:rFonts w:cs="Arial"/>
        </w:rPr>
        <w:sectPr w:rsidR="000A1474" w:rsidRPr="003A4B56" w:rsidSect="000A1474">
          <w:pgSz w:w="15842" w:h="12242" w:orient="landscape" w:code="1"/>
          <w:pgMar w:top="1701" w:right="1418" w:bottom="1701" w:left="1418" w:header="720" w:footer="964" w:gutter="0"/>
          <w:cols w:space="720"/>
        </w:sectPr>
      </w:pPr>
    </w:p>
    <w:p w:rsidR="000A1474" w:rsidRPr="003A4B56" w:rsidRDefault="00107DAA" w:rsidP="00B51B51">
      <w:pPr>
        <w:pStyle w:val="Ttulo4Ttulo4"/>
        <w:keepNext w:val="0"/>
        <w:widowControl w:val="0"/>
        <w:spacing w:before="0" w:after="0"/>
        <w:ind w:left="862" w:hanging="862"/>
      </w:pPr>
      <w:bookmarkStart w:id="281" w:name="_Toc336614799"/>
      <w:bookmarkStart w:id="282" w:name="_Toc344391831"/>
      <w:r w:rsidRPr="003A4B56">
        <w:lastRenderedPageBreak/>
        <w:t>Demandas Proyectadas de Riego</w:t>
      </w:r>
      <w:bookmarkEnd w:id="281"/>
      <w:bookmarkEnd w:id="282"/>
    </w:p>
    <w:p w:rsidR="000A1474" w:rsidRPr="003A4B56" w:rsidRDefault="000A1474" w:rsidP="00B51B51">
      <w:pPr>
        <w:widowControl w:val="0"/>
      </w:pPr>
    </w:p>
    <w:p w:rsidR="000A1474" w:rsidRPr="003A4B56" w:rsidRDefault="000A1474" w:rsidP="00145762">
      <w:pPr>
        <w:pStyle w:val="Ttulo5"/>
        <w:widowControl w:val="0"/>
        <w:numPr>
          <w:ilvl w:val="0"/>
          <w:numId w:val="12"/>
        </w:numPr>
        <w:tabs>
          <w:tab w:val="clear" w:pos="720"/>
        </w:tabs>
        <w:spacing w:before="0" w:after="0"/>
        <w:ind w:hanging="720"/>
        <w:rPr>
          <w:i w:val="0"/>
          <w:sz w:val="22"/>
          <w:szCs w:val="22"/>
        </w:rPr>
      </w:pPr>
      <w:r w:rsidRPr="003A4B56">
        <w:rPr>
          <w:i w:val="0"/>
          <w:sz w:val="22"/>
          <w:szCs w:val="22"/>
        </w:rPr>
        <w:t>Criterios</w:t>
      </w:r>
    </w:p>
    <w:p w:rsidR="000A1474" w:rsidRPr="003A4B56" w:rsidRDefault="000A1474" w:rsidP="00B51B51">
      <w:pPr>
        <w:widowControl w:val="0"/>
      </w:pPr>
    </w:p>
    <w:p w:rsidR="000A1474" w:rsidRPr="003A4B56" w:rsidRDefault="000A1474" w:rsidP="00B51B51">
      <w:pPr>
        <w:widowControl w:val="0"/>
        <w:rPr>
          <w:rFonts w:cs="Arial"/>
        </w:rPr>
      </w:pPr>
      <w:r w:rsidRPr="003A4B56">
        <w:rPr>
          <w:rFonts w:cs="Arial"/>
        </w:rPr>
        <w:t>En esta parte del informe corresponde estimar la proyección de la demanda de recursos hídricos para cada una de las subcuenca</w:t>
      </w:r>
      <w:r w:rsidR="00446B48">
        <w:rPr>
          <w:rFonts w:cs="Arial"/>
        </w:rPr>
        <w:t>s</w:t>
      </w:r>
      <w:r w:rsidRPr="003A4B56">
        <w:rPr>
          <w:rFonts w:cs="Arial"/>
        </w:rPr>
        <w:t xml:space="preserve"> del área de interés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del Libertador Bernardo O’Higgins.</w:t>
      </w:r>
    </w:p>
    <w:p w:rsidR="000A1474" w:rsidRPr="00B20E87" w:rsidRDefault="000A1474" w:rsidP="00B51B51">
      <w:pPr>
        <w:widowControl w:val="0"/>
        <w:rPr>
          <w:rFonts w:cs="Arial"/>
        </w:rPr>
      </w:pPr>
    </w:p>
    <w:p w:rsidR="000A1474" w:rsidRPr="00B20E87" w:rsidRDefault="00B36772" w:rsidP="00B51B51">
      <w:pPr>
        <w:widowControl w:val="0"/>
        <w:rPr>
          <w:rFonts w:cs="Arial"/>
        </w:rPr>
      </w:pPr>
      <w:r w:rsidRPr="00B20E87">
        <w:t>La proyección de la demanda actual al año 2030</w:t>
      </w:r>
      <w:r w:rsidR="000A1474" w:rsidRPr="00B20E87">
        <w:rPr>
          <w:rFonts w:cs="Arial"/>
        </w:rPr>
        <w:t>, para cada uso ha sido estimada en función de antecedentes específicos que se detallan en cada caso.</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A continuación se presentan los criterios considerados para estimar el uso futuro de los recursos hídricos asociados a cada uno de los rubros analizados. </w:t>
      </w:r>
    </w:p>
    <w:p w:rsidR="000A1474" w:rsidRPr="003A4B56" w:rsidRDefault="000A1474" w:rsidP="00B51B51">
      <w:pPr>
        <w:widowControl w:val="0"/>
      </w:pPr>
    </w:p>
    <w:p w:rsidR="000A1474" w:rsidRPr="003A4B56" w:rsidRDefault="00E60A87" w:rsidP="00B51B51">
      <w:pPr>
        <w:widowControl w:val="0"/>
        <w:rPr>
          <w:rFonts w:cs="Arial"/>
          <w:b/>
        </w:rPr>
      </w:pPr>
      <w:r w:rsidRPr="003A4B56">
        <w:rPr>
          <w:rFonts w:cs="Arial"/>
          <w:b/>
        </w:rPr>
        <w:t>a.1)</w:t>
      </w:r>
      <w:r w:rsidRPr="003A4B56">
        <w:rPr>
          <w:rFonts w:cs="Arial"/>
          <w:b/>
        </w:rPr>
        <w:tab/>
      </w:r>
      <w:r w:rsidR="000A1474" w:rsidRPr="003A4B56">
        <w:rPr>
          <w:rFonts w:cs="Arial"/>
          <w:b/>
        </w:rPr>
        <w:t>Criterios Generales</w:t>
      </w:r>
    </w:p>
    <w:p w:rsidR="000A1474" w:rsidRPr="003A4B56" w:rsidRDefault="000A1474" w:rsidP="00B51B51">
      <w:pPr>
        <w:widowControl w:val="0"/>
      </w:pPr>
    </w:p>
    <w:p w:rsidR="000A1474" w:rsidRPr="003A4B56" w:rsidRDefault="000A1474" w:rsidP="00B51B51">
      <w:pPr>
        <w:widowControl w:val="0"/>
        <w:rPr>
          <w:rFonts w:cs="Arial"/>
        </w:rPr>
      </w:pPr>
      <w:r w:rsidRPr="003A4B56">
        <w:rPr>
          <w:rFonts w:cs="Arial"/>
        </w:rPr>
        <w:t>Con el propósito de estimar el uso futuro y potencial agropecuario en cada subcuenca, fue necesario considerar una serie de factores que influyen, tanto positiva como negativamente en las proyecciones de cada sector.</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De esta forma se han considerado las condiciones de mercado y perspectivas de los cultivos, concluyendo que las subcuencas de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tienen fuertes ventajas comparativas en relación al sur del país, en la producción de primores (hortalizas) y en las condiciones climáticas favorables que propician una actividad frutícola de exportación.</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Se ha proyectado la actividad agrícola principalmente en base a cultivos hortícolas y frutícolas, de acuerdo a la actual estructura productiva de cada una de las subcuencas.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Por otra parte, se debe señalar que según lo planteado en </w:t>
      </w:r>
      <w:smartTag w:uri="urn:schemas-microsoft-com:office:smarttags" w:element="PersonName">
        <w:smartTagPr>
          <w:attr w:name="ProductID" w:val="la Política"/>
        </w:smartTagPr>
        <w:r w:rsidRPr="003A4B56">
          <w:rPr>
            <w:rFonts w:cs="Arial"/>
          </w:rPr>
          <w:t>la Política</w:t>
        </w:r>
      </w:smartTag>
      <w:r w:rsidRPr="003A4B56">
        <w:rPr>
          <w:rFonts w:cs="Arial"/>
        </w:rPr>
        <w:t xml:space="preserve"> de Estado para </w:t>
      </w:r>
      <w:smartTag w:uri="urn:schemas-microsoft-com:office:smarttags" w:element="PersonName">
        <w:smartTagPr>
          <w:attr w:name="ProductID" w:val="la Agricultura Chilena"/>
        </w:smartTagPr>
        <w:r w:rsidRPr="003A4B56">
          <w:rPr>
            <w:rFonts w:cs="Arial"/>
          </w:rPr>
          <w:t>la Agricultura Chilena</w:t>
        </w:r>
      </w:smartTag>
      <w:r w:rsidRPr="003A4B56">
        <w:rPr>
          <w:rFonts w:cs="Arial"/>
        </w:rPr>
        <w:t>, en estas áreas se debe poner especial énfasis en la tecnificación del riego. De esta forma se ha propuesto el 100% de tecnificación en frutales con sistemas presurizados y en 50% de la superficie de hortalizas y papa, con cuyo ahorro de agua se ha estimado un aumento del área de riego en estas mismas especies, manteniéndose de esta manera las necesidades de riego determinadas situación actual.</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 aquellos casos específicos en que se cuenta con proyectos de riego definidos por el Estado con seguridad de ser construidos o ya se encuentran funcionando, se han proyectado las nuevas superficies factibles de ser incorporadas a riego. Para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se cuenta con los siguientes proyectos de obras de riego:</w:t>
      </w:r>
    </w:p>
    <w:p w:rsidR="000A1474" w:rsidRPr="003A4B56" w:rsidRDefault="000A1474" w:rsidP="00B51B51">
      <w:pPr>
        <w:widowControl w:val="0"/>
        <w:rPr>
          <w:rFonts w:cs="Arial"/>
        </w:rPr>
      </w:pPr>
    </w:p>
    <w:p w:rsidR="000A1474" w:rsidRPr="003A4B56" w:rsidRDefault="000A1474" w:rsidP="00145762">
      <w:pPr>
        <w:widowControl w:val="0"/>
        <w:numPr>
          <w:ilvl w:val="0"/>
          <w:numId w:val="9"/>
        </w:numPr>
        <w:rPr>
          <w:rFonts w:cs="Arial"/>
        </w:rPr>
      </w:pPr>
      <w:r w:rsidRPr="003A4B56">
        <w:rPr>
          <w:rFonts w:cs="Arial"/>
        </w:rPr>
        <w:t xml:space="preserve">Embalse Convento Viejo, Etapa 2, VI Región: En la subcuenca 0613 de Nilahue se debe incorporar al riego </w:t>
      </w:r>
      <w:smartTag w:uri="urn:schemas-microsoft-com:office:smarttags" w:element="metricconverter">
        <w:smartTagPr>
          <w:attr w:name="ProductID" w:val="18.600 ha"/>
        </w:smartTagPr>
        <w:r w:rsidRPr="003A4B56">
          <w:rPr>
            <w:rFonts w:cs="Arial"/>
          </w:rPr>
          <w:t>18.600 ha</w:t>
        </w:r>
      </w:smartTag>
      <w:r w:rsidRPr="003A4B56">
        <w:rPr>
          <w:rFonts w:cs="Arial"/>
        </w:rPr>
        <w:t xml:space="preserve"> actualmente de secano. En la subcuenca 0603 se deben incorporar </w:t>
      </w:r>
      <w:smartTag w:uri="urn:schemas-microsoft-com:office:smarttags" w:element="metricconverter">
        <w:smartTagPr>
          <w:attr w:name="ProductID" w:val="14.300 ha"/>
        </w:smartTagPr>
        <w:r w:rsidRPr="003A4B56">
          <w:rPr>
            <w:rFonts w:cs="Arial"/>
          </w:rPr>
          <w:t>14.300 ha</w:t>
        </w:r>
      </w:smartTag>
      <w:r w:rsidRPr="003A4B56">
        <w:rPr>
          <w:rFonts w:cs="Arial"/>
        </w:rPr>
        <w:t xml:space="preserve"> correspondientes a rinconadas ubicadas sobre cota de los canales existentes y actualmente en condiciones hídricas de secano.</w:t>
      </w:r>
    </w:p>
    <w:p w:rsidR="000A1474" w:rsidRPr="003A4B56" w:rsidRDefault="000A1474" w:rsidP="00B51B51">
      <w:pPr>
        <w:widowControl w:val="0"/>
        <w:rPr>
          <w:rFonts w:cs="Arial"/>
        </w:rPr>
      </w:pPr>
    </w:p>
    <w:p w:rsidR="000A1474" w:rsidRPr="003A4B56" w:rsidRDefault="000A1474" w:rsidP="00145762">
      <w:pPr>
        <w:widowControl w:val="0"/>
        <w:numPr>
          <w:ilvl w:val="0"/>
          <w:numId w:val="9"/>
        </w:numPr>
        <w:rPr>
          <w:rFonts w:cs="Arial"/>
        </w:rPr>
      </w:pPr>
      <w:r w:rsidRPr="003A4B56">
        <w:rPr>
          <w:rFonts w:cs="Arial"/>
        </w:rPr>
        <w:t xml:space="preserve">Proyecto Embalse en Río Claro de Rengo: Este estudio, actualmente en ejecución en </w:t>
      </w:r>
      <w:smartTag w:uri="urn:schemas-microsoft-com:office:smarttags" w:element="PersonName">
        <w:smartTagPr>
          <w:attr w:name="ProductID" w:val="la Comisión Nacional"/>
        </w:smartTagPr>
        <w:r w:rsidRPr="003A4B56">
          <w:rPr>
            <w:rFonts w:cs="Arial"/>
          </w:rPr>
          <w:t>la Comisión Nacional</w:t>
        </w:r>
      </w:smartTag>
      <w:r w:rsidRPr="003A4B56">
        <w:rPr>
          <w:rFonts w:cs="Arial"/>
        </w:rPr>
        <w:t xml:space="preserve"> de Riego estima la incorporación al riego de </w:t>
      </w:r>
      <w:smartTag w:uri="urn:schemas-microsoft-com:office:smarttags" w:element="metricconverter">
        <w:smartTagPr>
          <w:attr w:name="ProductID" w:val="1.040 ha"/>
        </w:smartTagPr>
        <w:r w:rsidRPr="003A4B56">
          <w:rPr>
            <w:rFonts w:cs="Arial"/>
          </w:rPr>
          <w:t>1.040 ha</w:t>
        </w:r>
      </w:smartTag>
      <w:r w:rsidRPr="003A4B56">
        <w:rPr>
          <w:rFonts w:cs="Arial"/>
        </w:rPr>
        <w:t xml:space="preserve"> actualmente de secano en la subcuenca 0601, además del mejoramiento del riego de las </w:t>
      </w:r>
      <w:smartTag w:uri="urn:schemas-microsoft-com:office:smarttags" w:element="metricconverter">
        <w:smartTagPr>
          <w:attr w:name="ProductID" w:val="5.700 ha"/>
        </w:smartTagPr>
        <w:r w:rsidRPr="003A4B56">
          <w:rPr>
            <w:rFonts w:cs="Arial"/>
          </w:rPr>
          <w:t>5.700 ha</w:t>
        </w:r>
      </w:smartTag>
      <w:r w:rsidRPr="003A4B56">
        <w:rPr>
          <w:rFonts w:cs="Arial"/>
        </w:rPr>
        <w:t xml:space="preserve"> que actualmente son regadas en la comuna de Rengo.</w:t>
      </w:r>
    </w:p>
    <w:p w:rsidR="000A1474" w:rsidRPr="003A4B56" w:rsidRDefault="000A1474" w:rsidP="00B51B51">
      <w:pPr>
        <w:widowControl w:val="0"/>
        <w:rPr>
          <w:rFonts w:cs="Arial"/>
        </w:rPr>
      </w:pPr>
    </w:p>
    <w:p w:rsidR="000A1474" w:rsidRPr="003A4B56" w:rsidRDefault="000A1474" w:rsidP="00145762">
      <w:pPr>
        <w:widowControl w:val="0"/>
        <w:numPr>
          <w:ilvl w:val="0"/>
          <w:numId w:val="9"/>
        </w:numPr>
        <w:rPr>
          <w:rFonts w:cs="Arial"/>
        </w:rPr>
      </w:pPr>
      <w:r w:rsidRPr="003A4B56">
        <w:rPr>
          <w:rFonts w:cs="Arial"/>
        </w:rPr>
        <w:lastRenderedPageBreak/>
        <w:t xml:space="preserve">Mejoramiento Canal Almahue: Estudio llevado en la actualidad por </w:t>
      </w:r>
      <w:smartTag w:uri="urn:schemas-microsoft-com:office:smarttags" w:element="PersonName">
        <w:smartTagPr>
          <w:attr w:name="ProductID" w:val="la Dirección"/>
        </w:smartTagPr>
        <w:r w:rsidRPr="003A4B56">
          <w:rPr>
            <w:rFonts w:cs="Arial"/>
          </w:rPr>
          <w:t>la Dirección</w:t>
        </w:r>
      </w:smartTag>
      <w:r w:rsidRPr="003A4B56">
        <w:rPr>
          <w:rFonts w:cs="Arial"/>
        </w:rPr>
        <w:t xml:space="preserve"> de Obras Hidráulicas, espera incorporar al riego alrededor de nuevas </w:t>
      </w:r>
      <w:smartTag w:uri="urn:schemas-microsoft-com:office:smarttags" w:element="metricconverter">
        <w:smartTagPr>
          <w:attr w:name="ProductID" w:val="2.750 ha"/>
        </w:smartTagPr>
        <w:r w:rsidRPr="003A4B56">
          <w:rPr>
            <w:rFonts w:cs="Arial"/>
          </w:rPr>
          <w:t>2.750 ha</w:t>
        </w:r>
      </w:smartTag>
      <w:r w:rsidRPr="003A4B56">
        <w:rPr>
          <w:rFonts w:cs="Arial"/>
        </w:rPr>
        <w:t xml:space="preserve"> en la comuna de Pichidehua, subcuenca 0601, actualmente de secano y mejorar el riego a </w:t>
      </w:r>
      <w:smartTag w:uri="urn:schemas-microsoft-com:office:smarttags" w:element="metricconverter">
        <w:smartTagPr>
          <w:attr w:name="ProductID" w:val="6.883 ha"/>
        </w:smartTagPr>
        <w:r w:rsidRPr="003A4B56">
          <w:rPr>
            <w:rFonts w:cs="Arial"/>
          </w:rPr>
          <w:t>6.883 ha</w:t>
        </w:r>
      </w:smartTag>
      <w:r w:rsidRPr="003A4B56">
        <w:rPr>
          <w:rFonts w:cs="Arial"/>
        </w:rPr>
        <w:t xml:space="preserve">. </w:t>
      </w:r>
    </w:p>
    <w:p w:rsidR="000A1474" w:rsidRPr="003A4B56" w:rsidRDefault="000A1474" w:rsidP="00B51B51">
      <w:pPr>
        <w:widowControl w:val="0"/>
        <w:rPr>
          <w:rFonts w:cs="Arial"/>
        </w:rPr>
      </w:pPr>
    </w:p>
    <w:p w:rsidR="000A1474" w:rsidRPr="003A4B56" w:rsidRDefault="000A1474" w:rsidP="00145762">
      <w:pPr>
        <w:widowControl w:val="0"/>
        <w:numPr>
          <w:ilvl w:val="0"/>
          <w:numId w:val="9"/>
        </w:numPr>
        <w:rPr>
          <w:rFonts w:cs="Arial"/>
        </w:rPr>
      </w:pPr>
      <w:r w:rsidRPr="003A4B56">
        <w:rPr>
          <w:rFonts w:cs="Arial"/>
        </w:rPr>
        <w:t xml:space="preserve">Embalse El Parrón: en el caso del área externa de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denominado Parrón/Cobre, actualmente </w:t>
      </w:r>
      <w:smartTag w:uri="urn:schemas-microsoft-com:office:smarttags" w:element="PersonName">
        <w:smartTagPr>
          <w:attr w:name="ProductID" w:val="la Dirección"/>
        </w:smartTagPr>
        <w:r w:rsidRPr="003A4B56">
          <w:rPr>
            <w:rFonts w:cs="Arial"/>
          </w:rPr>
          <w:t>la Dirección</w:t>
        </w:r>
      </w:smartTag>
      <w:r w:rsidRPr="003A4B56">
        <w:rPr>
          <w:rFonts w:cs="Arial"/>
        </w:rPr>
        <w:t xml:space="preserve"> de Obras Hidráulicas está estudiando la construcción del embalse El Parrón, para la incorporación de </w:t>
      </w:r>
      <w:smartTag w:uri="urn:schemas-microsoft-com:office:smarttags" w:element="metricconverter">
        <w:smartTagPr>
          <w:attr w:name="ProductID" w:val="1.700 ha"/>
        </w:smartTagPr>
        <w:r w:rsidRPr="003A4B56">
          <w:rPr>
            <w:rFonts w:cs="Arial"/>
          </w:rPr>
          <w:t>1.700 ha</w:t>
        </w:r>
      </w:smartTag>
      <w:r w:rsidRPr="003A4B56">
        <w:rPr>
          <w:rFonts w:cs="Arial"/>
        </w:rPr>
        <w:t xml:space="preserve"> al riego, en una zona que en la actualidad es prácticamente de secano.</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En estos casos se ha procedido a adicionar en las subcuencas correspondientes las nuevas superficies de riego requeridas para completar las superficies indicadas de cada proyecto. Cabe señalar que las superficies determinadas por aumento de la eficiencia de riego son adicionales a las indicadas.</w:t>
      </w:r>
    </w:p>
    <w:p w:rsidR="000A1474" w:rsidRPr="003A4B56" w:rsidRDefault="000A1474" w:rsidP="00B51B51">
      <w:pPr>
        <w:widowControl w:val="0"/>
        <w:rPr>
          <w:rFonts w:cs="Arial"/>
        </w:rPr>
      </w:pPr>
    </w:p>
    <w:p w:rsidR="000A1474" w:rsidRPr="003A4B56" w:rsidRDefault="00E60A87" w:rsidP="00B51B51">
      <w:pPr>
        <w:widowControl w:val="0"/>
        <w:rPr>
          <w:rFonts w:cs="Arial"/>
          <w:b/>
        </w:rPr>
      </w:pPr>
      <w:r w:rsidRPr="003A4B56">
        <w:rPr>
          <w:rFonts w:cs="Arial"/>
          <w:b/>
        </w:rPr>
        <w:t>a.2)</w:t>
      </w:r>
      <w:r w:rsidRPr="003A4B56">
        <w:rPr>
          <w:rFonts w:cs="Arial"/>
          <w:b/>
        </w:rPr>
        <w:tab/>
      </w:r>
      <w:r w:rsidR="000A1474" w:rsidRPr="003A4B56">
        <w:rPr>
          <w:rFonts w:cs="Arial"/>
          <w:b/>
        </w:rPr>
        <w:t>Evolución Uso del Suelo</w:t>
      </w:r>
    </w:p>
    <w:p w:rsidR="000A1474" w:rsidRPr="00EC64DA" w:rsidRDefault="000A1474" w:rsidP="00B51B51">
      <w:pPr>
        <w:widowControl w:val="0"/>
        <w:rPr>
          <w:lang w:val="es-CL"/>
        </w:rPr>
      </w:pPr>
    </w:p>
    <w:p w:rsidR="000A1474" w:rsidRPr="00EC64DA" w:rsidRDefault="000A1474" w:rsidP="00B51B51">
      <w:pPr>
        <w:widowControl w:val="0"/>
      </w:pPr>
      <w:r w:rsidRPr="00EC64DA">
        <w:rPr>
          <w:lang w:val="es-CL"/>
        </w:rPr>
        <w:t xml:space="preserve">En </w:t>
      </w:r>
      <w:smartTag w:uri="urn:schemas-microsoft-com:office:smarttags" w:element="PersonName">
        <w:smartTagPr>
          <w:attr w:name="ProductID" w:val="la ￼￼￼￼￼￼￼￼￼￼￼￼￼￼￼￼￼￼￼￼￼￼￼￼￼￼￼￼￼￼￼￼￼￼￼￼￼￼￼￼￼Tabla"/>
        </w:smartTagPr>
        <w:r w:rsidRPr="00EC64DA">
          <w:rPr>
            <w:lang w:val="es-CL"/>
          </w:rPr>
          <w:t xml:space="preserve">la </w:t>
        </w:r>
        <w:r w:rsidR="00EC64DA" w:rsidRPr="00EC64DA">
          <w:rPr>
            <w:lang w:val="es-CL"/>
          </w:rPr>
          <w:fldChar w:fldCharType="begin"/>
        </w:r>
        <w:r w:rsidR="00EC64DA" w:rsidRPr="00EC64DA">
          <w:rPr>
            <w:lang w:val="es-CL"/>
          </w:rPr>
          <w:instrText xml:space="preserve"> REF _Ref337132125 \h </w:instrText>
        </w:r>
        <w:r w:rsidR="00EC64DA" w:rsidRPr="00EC64DA">
          <w:rPr>
            <w:lang w:val="es-CL"/>
          </w:rPr>
        </w:r>
        <w:r w:rsidR="00EC64DA" w:rsidRPr="00EC64DA">
          <w:rPr>
            <w:lang w:val="es-CL"/>
          </w:rPr>
          <w:instrText xml:space="preserve"> \* MERGEFORMAT </w:instrText>
        </w:r>
        <w:r w:rsidR="00EC64DA" w:rsidRPr="00EC64DA">
          <w:rPr>
            <w:lang w:val="es-CL"/>
          </w:rPr>
          <w:fldChar w:fldCharType="separate"/>
        </w:r>
        <w:r w:rsidR="00264070" w:rsidRPr="00264070">
          <w:rPr>
            <w:rFonts w:cs="Arial"/>
          </w:rPr>
          <w:t>Tabla</w:t>
        </w:r>
      </w:smartTag>
      <w:r w:rsidR="00264070" w:rsidRPr="00264070">
        <w:rPr>
          <w:rFonts w:cs="Arial"/>
        </w:rPr>
        <w:t xml:space="preserve"> </w:t>
      </w:r>
      <w:r w:rsidR="00264070" w:rsidRPr="00264070">
        <w:rPr>
          <w:rFonts w:cs="Arial"/>
          <w:noProof/>
        </w:rPr>
        <w:t>5.66</w:t>
      </w:r>
      <w:r w:rsidR="00EC64DA" w:rsidRPr="00EC64DA">
        <w:rPr>
          <w:lang w:val="es-CL"/>
        </w:rPr>
        <w:fldChar w:fldCharType="end"/>
      </w:r>
      <w:r w:rsidR="00EC64DA">
        <w:rPr>
          <w:lang w:val="es-CL"/>
        </w:rPr>
        <w:t xml:space="preserve"> </w:t>
      </w:r>
      <w:r w:rsidRPr="003A4B56">
        <w:rPr>
          <w:lang w:val="es-CL"/>
        </w:rPr>
        <w:t xml:space="preserve">se presenta la superficie de las principales especies cultivadas en </w:t>
      </w:r>
      <w:smartTag w:uri="urn:schemas-microsoft-com:office:smarttags" w:element="PersonName">
        <w:smartTagPr>
          <w:attr w:name="ProductID" w:val="la VI Región"/>
        </w:smartTagPr>
        <w:r w:rsidRPr="003A4B56">
          <w:rPr>
            <w:lang w:val="es-CL"/>
          </w:rPr>
          <w:t>la VI Región</w:t>
        </w:r>
      </w:smartTag>
      <w:r w:rsidRPr="003A4B56">
        <w:rPr>
          <w:lang w:val="es-CL"/>
        </w:rPr>
        <w:t xml:space="preserve"> por rubro productivo, cuyo objetivo es analizar la evolución del área cultivada entre las temporadas 1996/97 y 2006/07, utilizando como fuentes de información el VI y VII Nacional Agropecuario de INE. Para los mismos cultivos se analizó la evolución de la superficie a nivel nacional.</w:t>
      </w:r>
    </w:p>
    <w:p w:rsidR="000A1474" w:rsidRPr="003A4B56" w:rsidRDefault="000A1474" w:rsidP="00B51B51">
      <w:pPr>
        <w:widowControl w:val="0"/>
        <w:rPr>
          <w:lang w:val="es-CL"/>
        </w:rPr>
      </w:pPr>
    </w:p>
    <w:p w:rsidR="000A1474" w:rsidRPr="003A4B56" w:rsidRDefault="000A1474" w:rsidP="00B51B51">
      <w:pPr>
        <w:widowControl w:val="0"/>
        <w:rPr>
          <w:lang w:val="es-CL"/>
        </w:rPr>
      </w:pPr>
      <w:r w:rsidRPr="003A4B56">
        <w:rPr>
          <w:lang w:val="es-CL"/>
        </w:rPr>
        <w:t xml:space="preserve">En relación al grupo compuesto por cultivos, tanto a nivel regional como nacional, se evidenció un descenso de la superficie cultivada en todas las especies, a excepción del maíz grano en que en </w:t>
      </w:r>
      <w:smartTag w:uri="urn:schemas-microsoft-com:office:smarttags" w:element="PersonName">
        <w:smartTagPr>
          <w:attr w:name="ProductID" w:val="la VI Región"/>
        </w:smartTagPr>
        <w:r w:rsidRPr="003A4B56">
          <w:rPr>
            <w:lang w:val="es-CL"/>
          </w:rPr>
          <w:t>la VI Región</w:t>
        </w:r>
      </w:smartTag>
      <w:r w:rsidRPr="003A4B56">
        <w:rPr>
          <w:lang w:val="es-CL"/>
        </w:rPr>
        <w:t xml:space="preserve"> disminuyó en 14,3%, pero a nivel nacional se incrementó en 20%, lo que sería atribuible a un desplazamiento de la superficie hacia regiones ubicadas más al sur, como por ejemplo la región del Maule.</w:t>
      </w:r>
    </w:p>
    <w:p w:rsidR="000A1474" w:rsidRPr="003A4B56" w:rsidRDefault="000A1474" w:rsidP="00B51B51">
      <w:pPr>
        <w:widowControl w:val="0"/>
        <w:rPr>
          <w:lang w:val="es-CL"/>
        </w:rPr>
      </w:pPr>
    </w:p>
    <w:p w:rsidR="000A1474" w:rsidRPr="003A4B56" w:rsidRDefault="000A1474" w:rsidP="00B51B51">
      <w:pPr>
        <w:widowControl w:val="0"/>
        <w:rPr>
          <w:lang w:val="es-CL"/>
        </w:rPr>
      </w:pPr>
      <w:r w:rsidRPr="003A4B56">
        <w:rPr>
          <w:lang w:val="es-CL"/>
        </w:rPr>
        <w:t>En hortalizas, también se constató una caída de la superf</w:t>
      </w:r>
      <w:r w:rsidR="00EC64DA">
        <w:rPr>
          <w:lang w:val="es-CL"/>
        </w:rPr>
        <w:t>icie de cultivo, comportamiento</w:t>
      </w:r>
      <w:r w:rsidRPr="003A4B56">
        <w:rPr>
          <w:lang w:val="es-CL"/>
        </w:rPr>
        <w:t xml:space="preserve"> que fue menos significativo en </w:t>
      </w:r>
      <w:smartTag w:uri="urn:schemas-microsoft-com:office:smarttags" w:element="PersonName">
        <w:smartTagPr>
          <w:attr w:name="ProductID" w:val="la VI Región"/>
        </w:smartTagPr>
        <w:r w:rsidRPr="003A4B56">
          <w:rPr>
            <w:lang w:val="es-CL"/>
          </w:rPr>
          <w:t>la VI Región</w:t>
        </w:r>
      </w:smartTag>
      <w:r w:rsidRPr="003A4B56">
        <w:rPr>
          <w:lang w:val="es-CL"/>
        </w:rPr>
        <w:t xml:space="preserve"> en relación al total nacional. En efecto, si bien las hortalizas descendieron en 0,8% a nivel regional, al interior del grupo se apreciaron tendencias contrapuestas, ya que el área con ají, ajo, cebolla, lechuga, pimiento y zapallo de guarda mostró un aumento. En general, las perspectivas para hortalizas son promisorias, como se explica en el acápite de Mercados. </w:t>
      </w:r>
    </w:p>
    <w:p w:rsidR="000A1474" w:rsidRPr="003A4B56" w:rsidRDefault="000A1474" w:rsidP="00B51B51">
      <w:pPr>
        <w:widowControl w:val="0"/>
        <w:rPr>
          <w:lang w:val="es-CL"/>
        </w:rPr>
      </w:pPr>
    </w:p>
    <w:p w:rsidR="000A1474" w:rsidRPr="003A4B56" w:rsidRDefault="000A1474" w:rsidP="00B51B51">
      <w:pPr>
        <w:widowControl w:val="0"/>
        <w:rPr>
          <w:lang w:val="es-CL"/>
        </w:rPr>
      </w:pPr>
      <w:r w:rsidRPr="003A4B56">
        <w:rPr>
          <w:lang w:val="es-CL"/>
        </w:rPr>
        <w:t>Los frutales y viñas, entretanto, mostraron una significativa expansión, por cuanto la superficie destinada a este rubro se incrementó en más de 66%, superando las 110 mil hectáreas. En términos porcentuales, los principales aumentos se manifestaron en arándano, cerezo, ciruelo europeo, nogal, olivo, uva de mesa y vid vinífera. Las especies que evidenciaron un descenso de las plantaciones fueron limonero, manzano, naranjo y peral.</w:t>
      </w:r>
    </w:p>
    <w:p w:rsidR="000A1474" w:rsidRPr="003A4B56" w:rsidRDefault="000A1474" w:rsidP="00B51B51">
      <w:pPr>
        <w:widowControl w:val="0"/>
        <w:rPr>
          <w:lang w:val="es-CL"/>
        </w:rPr>
      </w:pPr>
    </w:p>
    <w:p w:rsidR="000A1474" w:rsidRPr="003A4B56" w:rsidRDefault="000A1474" w:rsidP="00B51B51">
      <w:pPr>
        <w:widowControl w:val="0"/>
        <w:rPr>
          <w:lang w:val="es-CL"/>
        </w:rPr>
      </w:pPr>
      <w:r w:rsidRPr="003A4B56">
        <w:rPr>
          <w:lang w:val="es-CL"/>
        </w:rPr>
        <w:t xml:space="preserve">Cabe señalar que si se suma la superficie regional de los cultivos, hortalizas y frutales de mayor relevancia, ésta totaliza </w:t>
      </w:r>
      <w:smartTag w:uri="urn:schemas-microsoft-com:office:smarttags" w:element="metricconverter">
        <w:smartTagPr>
          <w:attr w:name="ProductID" w:val="179.503,2 hectáreas"/>
        </w:smartTagPr>
        <w:r w:rsidRPr="003A4B56">
          <w:rPr>
            <w:lang w:val="es-CL"/>
          </w:rPr>
          <w:t>179.503,2 hectáreas</w:t>
        </w:r>
      </w:smartTag>
      <w:r w:rsidRPr="003A4B56">
        <w:rPr>
          <w:lang w:val="es-CL"/>
        </w:rPr>
        <w:t xml:space="preserve">, área </w:t>
      </w:r>
      <w:smartTag w:uri="urn:schemas-microsoft-com:office:smarttags" w:element="metricconverter">
        <w:smartTagPr>
          <w:attr w:name="ProductID" w:val="31.187,8 hectáreas"/>
        </w:smartTagPr>
        <w:r w:rsidRPr="003A4B56">
          <w:rPr>
            <w:lang w:val="es-CL"/>
          </w:rPr>
          <w:t>31.187,8 hectáreas</w:t>
        </w:r>
      </w:smartTag>
      <w:r w:rsidRPr="003A4B56">
        <w:rPr>
          <w:lang w:val="es-CL"/>
        </w:rPr>
        <w:t xml:space="preserve"> menor a las </w:t>
      </w:r>
      <w:smartTag w:uri="urn:schemas-microsoft-com:office:smarttags" w:element="metricconverter">
        <w:smartTagPr>
          <w:attr w:name="ProductID" w:val="210.691 hectáreas"/>
        </w:smartTagPr>
        <w:r w:rsidRPr="003A4B56">
          <w:rPr>
            <w:lang w:val="es-CL"/>
          </w:rPr>
          <w:t>210.691 hectáreas</w:t>
        </w:r>
      </w:smartTag>
      <w:r w:rsidRPr="003A4B56">
        <w:rPr>
          <w:lang w:val="es-CL"/>
        </w:rPr>
        <w:t xml:space="preserve"> informadas como regadas en el total de la región, en </w:t>
      </w:r>
      <w:smartTag w:uri="urn:schemas-microsoft-com:office:smarttags" w:element="PersonName">
        <w:smartTagPr>
          <w:attr w:name="ProductID" w:val="la ￼￼￼￼￼￼￼￼￼￼￼￼￼￼￼￼￼￼￼￼￼￼￼￼￼￼￼￼￼￼￼￼￼￼￼￼￼￼￼￼￼Tabla"/>
        </w:smartTagPr>
        <w:r w:rsidRPr="003A4B56">
          <w:rPr>
            <w:lang w:val="es-CL"/>
          </w:rPr>
          <w:t xml:space="preserve">la </w:t>
        </w:r>
        <w:r w:rsidRPr="003A4B56">
          <w:rPr>
            <w:lang w:val="es-CL"/>
          </w:rPr>
          <w:fldChar w:fldCharType="begin"/>
        </w:r>
        <w:r w:rsidRPr="003A4B56">
          <w:rPr>
            <w:lang w:val="es-CL"/>
          </w:rPr>
          <w:instrText xml:space="preserve"> REF _Ref336523342 \h </w:instrText>
        </w:r>
        <w:r w:rsidRPr="003A4B56">
          <w:rPr>
            <w:lang w:val="es-CL"/>
          </w:rPr>
        </w:r>
        <w:r w:rsidRPr="003A4B56">
          <w:rPr>
            <w:lang w:val="es-CL"/>
          </w:rPr>
          <w:instrText xml:space="preserve"> \* MERGEFORMAT </w:instrText>
        </w:r>
        <w:r w:rsidRPr="003A4B56">
          <w:rPr>
            <w:lang w:val="es-CL"/>
          </w:rPr>
          <w:fldChar w:fldCharType="separate"/>
        </w:r>
        <w:r w:rsidR="00264070" w:rsidRPr="00264070">
          <w:rPr>
            <w:rFonts w:cs="Arial"/>
          </w:rPr>
          <w:t>Tabla</w:t>
        </w:r>
      </w:smartTag>
      <w:r w:rsidR="00264070" w:rsidRPr="00264070">
        <w:rPr>
          <w:rFonts w:cs="Arial"/>
        </w:rPr>
        <w:t xml:space="preserve"> </w:t>
      </w:r>
      <w:r w:rsidR="00264070" w:rsidRPr="00264070">
        <w:rPr>
          <w:rFonts w:cs="Arial"/>
          <w:noProof/>
        </w:rPr>
        <w:t>5.67</w:t>
      </w:r>
      <w:r w:rsidRPr="003A4B56">
        <w:rPr>
          <w:lang w:val="es-CL"/>
        </w:rPr>
        <w:fldChar w:fldCharType="end"/>
      </w:r>
      <w:r w:rsidRPr="003A4B56">
        <w:rPr>
          <w:lang w:val="es-CL"/>
        </w:rPr>
        <w:t xml:space="preserve">. Esta diferencia se atribuye a otros cultivos, hortalizas y frutales de menor relevancia explotados en la región, pero se explica en gran parte a las praderas y cultivos forrajeros de riego, área que también descendió respecto a la del periodo 1996/97. </w:t>
      </w:r>
    </w:p>
    <w:p w:rsidR="000A1474" w:rsidRDefault="000A1474" w:rsidP="00B51B51">
      <w:pPr>
        <w:widowControl w:val="0"/>
        <w:rPr>
          <w:lang w:val="es-CL"/>
        </w:rPr>
      </w:pPr>
    </w:p>
    <w:p w:rsidR="000D6AA1" w:rsidRDefault="000D6AA1" w:rsidP="00B51B51">
      <w:pPr>
        <w:widowControl w:val="0"/>
        <w:rPr>
          <w:lang w:val="es-CL"/>
        </w:rPr>
      </w:pPr>
    </w:p>
    <w:p w:rsidR="000D6AA1" w:rsidRDefault="000D6AA1" w:rsidP="00B51B51">
      <w:pPr>
        <w:widowControl w:val="0"/>
        <w:rPr>
          <w:lang w:val="es-CL"/>
        </w:rPr>
      </w:pPr>
    </w:p>
    <w:p w:rsidR="000A1474" w:rsidRPr="003A4B56" w:rsidRDefault="000A1474" w:rsidP="00B51B51">
      <w:pPr>
        <w:pStyle w:val="Textoindependiente"/>
        <w:widowControl w:val="0"/>
        <w:tabs>
          <w:tab w:val="left" w:pos="0"/>
          <w:tab w:val="left" w:pos="432"/>
          <w:tab w:val="left" w:pos="54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after="0"/>
        <w:jc w:val="center"/>
        <w:rPr>
          <w:rFonts w:ascii="Arial" w:hAnsi="Arial" w:cs="Arial"/>
          <w:b/>
          <w:bCs/>
          <w:sz w:val="22"/>
          <w:lang w:val="es-CL"/>
        </w:rPr>
      </w:pPr>
      <w:bookmarkStart w:id="283" w:name="_Ref336523130"/>
      <w:bookmarkStart w:id="284" w:name="_Ref337132125"/>
      <w:r w:rsidRPr="003A4B56">
        <w:rPr>
          <w:rFonts w:ascii="Arial" w:hAnsi="Arial" w:cs="Arial"/>
          <w:b/>
          <w:sz w:val="22"/>
        </w:rPr>
        <w:lastRenderedPageBreak/>
        <w:t xml:space="preserve">Tabla </w:t>
      </w:r>
      <w:r w:rsidR="007F3102">
        <w:rPr>
          <w:rFonts w:ascii="Arial" w:hAnsi="Arial" w:cs="Arial"/>
          <w:b/>
          <w:sz w:val="22"/>
        </w:rPr>
        <w:fldChar w:fldCharType="begin"/>
      </w:r>
      <w:r w:rsidR="007F3102">
        <w:rPr>
          <w:rFonts w:ascii="Arial" w:hAnsi="Arial" w:cs="Arial"/>
          <w:b/>
          <w:sz w:val="22"/>
        </w:rPr>
        <w:instrText xml:space="preserve"> STYLEREF 1 \s </w:instrText>
      </w:r>
      <w:r w:rsidR="007F3102">
        <w:rPr>
          <w:rFonts w:ascii="Arial" w:hAnsi="Arial" w:cs="Arial"/>
          <w:b/>
          <w:sz w:val="22"/>
        </w:rPr>
        <w:fldChar w:fldCharType="separate"/>
      </w:r>
      <w:r w:rsidR="00264070">
        <w:rPr>
          <w:rFonts w:ascii="Arial" w:hAnsi="Arial" w:cs="Arial"/>
          <w:b/>
          <w:noProof/>
          <w:sz w:val="22"/>
        </w:rPr>
        <w:t>5</w:t>
      </w:r>
      <w:r w:rsidR="007F3102">
        <w:rPr>
          <w:rFonts w:ascii="Arial" w:hAnsi="Arial" w:cs="Arial"/>
          <w:b/>
          <w:sz w:val="22"/>
        </w:rPr>
        <w:fldChar w:fldCharType="end"/>
      </w:r>
      <w:r w:rsidR="007F3102">
        <w:rPr>
          <w:rFonts w:ascii="Arial" w:hAnsi="Arial" w:cs="Arial"/>
          <w:b/>
          <w:sz w:val="22"/>
        </w:rPr>
        <w:t>.</w:t>
      </w:r>
      <w:r w:rsidR="007F3102">
        <w:rPr>
          <w:rFonts w:ascii="Arial" w:hAnsi="Arial" w:cs="Arial"/>
          <w:b/>
          <w:sz w:val="22"/>
        </w:rPr>
        <w:fldChar w:fldCharType="begin"/>
      </w:r>
      <w:r w:rsidR="007F3102">
        <w:rPr>
          <w:rFonts w:ascii="Arial" w:hAnsi="Arial" w:cs="Arial"/>
          <w:b/>
          <w:sz w:val="22"/>
        </w:rPr>
        <w:instrText xml:space="preserve"> SEQ Tabla \* ARABIC \s 1 </w:instrText>
      </w:r>
      <w:r w:rsidR="007F3102">
        <w:rPr>
          <w:rFonts w:ascii="Arial" w:hAnsi="Arial" w:cs="Arial"/>
          <w:b/>
          <w:sz w:val="22"/>
        </w:rPr>
        <w:fldChar w:fldCharType="separate"/>
      </w:r>
      <w:r w:rsidR="00264070">
        <w:rPr>
          <w:rFonts w:ascii="Arial" w:hAnsi="Arial" w:cs="Arial"/>
          <w:b/>
          <w:noProof/>
          <w:sz w:val="22"/>
        </w:rPr>
        <w:t>66</w:t>
      </w:r>
      <w:r w:rsidR="007F3102">
        <w:rPr>
          <w:rFonts w:ascii="Arial" w:hAnsi="Arial" w:cs="Arial"/>
          <w:b/>
          <w:sz w:val="22"/>
        </w:rPr>
        <w:fldChar w:fldCharType="end"/>
      </w:r>
      <w:bookmarkEnd w:id="283"/>
      <w:bookmarkEnd w:id="284"/>
      <w:r w:rsidRPr="003A4B56">
        <w:rPr>
          <w:b/>
          <w:sz w:val="22"/>
        </w:rPr>
        <w:t xml:space="preserve"> </w:t>
      </w:r>
      <w:r w:rsidRPr="003A4B56">
        <w:rPr>
          <w:rFonts w:ascii="Arial" w:hAnsi="Arial" w:cs="Arial"/>
          <w:b/>
          <w:bCs/>
          <w:sz w:val="22"/>
          <w:lang w:val="es-CL"/>
        </w:rPr>
        <w:t>Evolución Superficie Cultivada</w:t>
      </w:r>
    </w:p>
    <w:p w:rsidR="000A1474" w:rsidRPr="003A4B56" w:rsidRDefault="00254CE2" w:rsidP="00B51B51">
      <w:pPr>
        <w:pStyle w:val="Textoindependiente"/>
        <w:widowControl w:val="0"/>
        <w:tabs>
          <w:tab w:val="left" w:pos="0"/>
          <w:tab w:val="left" w:pos="432"/>
          <w:tab w:val="left" w:pos="54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after="0"/>
        <w:jc w:val="center"/>
        <w:rPr>
          <w:rFonts w:ascii="Arial" w:hAnsi="Arial" w:cs="Arial"/>
          <w:lang w:val="es-CL"/>
        </w:rPr>
      </w:pPr>
      <w:r>
        <w:rPr>
          <w:rFonts w:ascii="Arial" w:hAnsi="Arial" w:cs="Arial"/>
          <w:noProof/>
          <w:lang w:val="es-CL" w:eastAsia="es-CL"/>
        </w:rPr>
        <w:drawing>
          <wp:inline distT="0" distB="0" distL="0" distR="0">
            <wp:extent cx="5571490" cy="4699635"/>
            <wp:effectExtent l="0" t="0" r="0" b="571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71490" cy="4699635"/>
                    </a:xfrm>
                    <a:prstGeom prst="rect">
                      <a:avLst/>
                    </a:prstGeom>
                    <a:noFill/>
                    <a:ln>
                      <a:noFill/>
                    </a:ln>
                  </pic:spPr>
                </pic:pic>
              </a:graphicData>
            </a:graphic>
          </wp:inline>
        </w:drawing>
      </w:r>
    </w:p>
    <w:p w:rsidR="000A1474" w:rsidRPr="003A4B56" w:rsidRDefault="000A1474" w:rsidP="00B51B51">
      <w:pPr>
        <w:pStyle w:val="Textoindependiente"/>
        <w:widowControl w:val="0"/>
        <w:tabs>
          <w:tab w:val="left" w:pos="0"/>
          <w:tab w:val="left" w:pos="432"/>
          <w:tab w:val="left" w:pos="54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after="0"/>
        <w:jc w:val="center"/>
        <w:rPr>
          <w:rFonts w:ascii="Arial" w:hAnsi="Arial" w:cs="Arial"/>
          <w:sz w:val="20"/>
          <w:szCs w:val="20"/>
          <w:lang w:val="es-CL"/>
        </w:rPr>
      </w:pPr>
      <w:r w:rsidRPr="003A4B56">
        <w:rPr>
          <w:rFonts w:ascii="Arial" w:hAnsi="Arial" w:cs="Arial"/>
          <w:sz w:val="20"/>
          <w:szCs w:val="20"/>
          <w:lang w:val="es-CL"/>
        </w:rPr>
        <w:t>Fuente: Elaborado con antecedentes del VI y VII Nacional Agropecuario, INE</w:t>
      </w:r>
    </w:p>
    <w:p w:rsidR="000A1474" w:rsidRPr="003A4B56" w:rsidRDefault="000A1474" w:rsidP="00B51B51">
      <w:pPr>
        <w:widowControl w:val="0"/>
        <w:rPr>
          <w:sz w:val="18"/>
        </w:rPr>
      </w:pPr>
    </w:p>
    <w:p w:rsidR="000A1474" w:rsidRPr="003A4B56" w:rsidRDefault="00E60A87" w:rsidP="00B51B51">
      <w:pPr>
        <w:widowControl w:val="0"/>
        <w:rPr>
          <w:rFonts w:cs="Arial"/>
          <w:b/>
        </w:rPr>
      </w:pPr>
      <w:r w:rsidRPr="003A4B56">
        <w:rPr>
          <w:rFonts w:cs="Arial"/>
          <w:b/>
        </w:rPr>
        <w:t>a.3)</w:t>
      </w:r>
      <w:r w:rsidRPr="003A4B56">
        <w:rPr>
          <w:rFonts w:cs="Arial"/>
          <w:b/>
        </w:rPr>
        <w:tab/>
      </w:r>
      <w:r w:rsidR="000A1474" w:rsidRPr="003A4B56">
        <w:rPr>
          <w:rFonts w:cs="Arial"/>
          <w:b/>
        </w:rPr>
        <w:t>Evolución Superficie de Riego</w:t>
      </w:r>
    </w:p>
    <w:p w:rsidR="000A1474" w:rsidRPr="003A4B56" w:rsidRDefault="000A1474" w:rsidP="00B51B51">
      <w:pPr>
        <w:widowControl w:val="0"/>
        <w:rPr>
          <w:sz w:val="18"/>
        </w:rPr>
      </w:pPr>
    </w:p>
    <w:p w:rsidR="000A1474" w:rsidRPr="003A4B56" w:rsidRDefault="000A1474" w:rsidP="00B51B51">
      <w:pPr>
        <w:widowControl w:val="0"/>
        <w:rPr>
          <w:lang w:val="es-CL"/>
        </w:rPr>
      </w:pPr>
      <w:r w:rsidRPr="003A4B56">
        <w:t>De acuerdo a la información recopilada en el VI y VII Nacional Agropecuario,</w:t>
      </w:r>
      <w:r w:rsidRPr="003A4B56">
        <w:rPr>
          <w:lang w:val="es-CL"/>
        </w:rPr>
        <w:t xml:space="preserve"> realizado por INE en las temporadas agrícolas 1996/97 y 2006/07, respectivamente, se constata que la superficie regada a nivel nacional aumentó en un 3,8%, al pasar desde </w:t>
      </w:r>
      <w:smartTag w:uri="urn:schemas-microsoft-com:office:smarttags" w:element="metricconverter">
        <w:smartTagPr>
          <w:attr w:name="ProductID" w:val="1.053.899,7 ha"/>
        </w:smartTagPr>
        <w:r w:rsidRPr="003A4B56">
          <w:rPr>
            <w:lang w:val="es-CL"/>
          </w:rPr>
          <w:t>1.053.899,7 ha</w:t>
        </w:r>
      </w:smartTag>
      <w:r w:rsidRPr="003A4B56">
        <w:rPr>
          <w:lang w:val="es-CL"/>
        </w:rPr>
        <w:t xml:space="preserve"> a </w:t>
      </w:r>
      <w:smartTag w:uri="urn:schemas-microsoft-com:office:smarttags" w:element="metricconverter">
        <w:smartTagPr>
          <w:attr w:name="ProductID" w:val="1.093.812,9 ha"/>
        </w:smartTagPr>
        <w:r w:rsidRPr="003A4B56">
          <w:rPr>
            <w:lang w:val="es-CL"/>
          </w:rPr>
          <w:t>1.093.812,9 ha</w:t>
        </w:r>
      </w:smartTag>
      <w:r w:rsidRPr="003A4B56">
        <w:rPr>
          <w:lang w:val="es-CL"/>
        </w:rPr>
        <w:t xml:space="preserve">. Esta expansión fue consecuencia del significativo incremento del riego con métodos presurizados, los que lograron revertir el descenso sufrido por el sistema gravitacional, como se aprecia claramente en </w:t>
      </w:r>
      <w:smartTag w:uri="urn:schemas-microsoft-com:office:smarttags" w:element="PersonName">
        <w:smartTagPr>
          <w:attr w:name="ProductID" w:val="la ￼￼￼￼￼￼￼￼￼￼￼￼￼￼￼￼￼￼￼￼￼￼￼￼￼￼￼￼￼￼￼￼￼￼￼￼￼￼￼￼￼Tabla"/>
        </w:smartTagPr>
        <w:r w:rsidRPr="003A4B56">
          <w:rPr>
            <w:lang w:val="es-CL"/>
          </w:rPr>
          <w:t xml:space="preserve">la </w:t>
        </w:r>
        <w:r w:rsidRPr="003A4B56">
          <w:rPr>
            <w:lang w:val="es-CL"/>
          </w:rPr>
          <w:fldChar w:fldCharType="begin"/>
        </w:r>
        <w:r w:rsidRPr="003A4B56">
          <w:rPr>
            <w:lang w:val="es-CL"/>
          </w:rPr>
          <w:instrText xml:space="preserve"> REF _Ref336523342 \h </w:instrText>
        </w:r>
        <w:r w:rsidRPr="003A4B56">
          <w:rPr>
            <w:lang w:val="es-CL"/>
          </w:rPr>
        </w:r>
        <w:r w:rsidRPr="003A4B56">
          <w:rPr>
            <w:lang w:val="es-CL"/>
          </w:rPr>
          <w:instrText xml:space="preserve"> \* MERGEFORMAT </w:instrText>
        </w:r>
        <w:r w:rsidRPr="003A4B56">
          <w:rPr>
            <w:lang w:val="es-CL"/>
          </w:rPr>
          <w:fldChar w:fldCharType="separate"/>
        </w:r>
        <w:r w:rsidR="00264070" w:rsidRPr="00264070">
          <w:rPr>
            <w:rFonts w:cs="Arial"/>
          </w:rPr>
          <w:t>Tabla</w:t>
        </w:r>
      </w:smartTag>
      <w:r w:rsidR="00264070" w:rsidRPr="00264070">
        <w:rPr>
          <w:rFonts w:cs="Arial"/>
        </w:rPr>
        <w:t xml:space="preserve"> </w:t>
      </w:r>
      <w:r w:rsidR="00264070" w:rsidRPr="00264070">
        <w:rPr>
          <w:rFonts w:cs="Arial"/>
          <w:noProof/>
        </w:rPr>
        <w:t>5.67</w:t>
      </w:r>
      <w:r w:rsidRPr="003A4B56">
        <w:rPr>
          <w:lang w:val="es-CL"/>
        </w:rPr>
        <w:fldChar w:fldCharType="end"/>
      </w:r>
      <w:r w:rsidRPr="003A4B56">
        <w:rPr>
          <w:lang w:val="es-CL"/>
        </w:rPr>
        <w:t>.</w:t>
      </w:r>
    </w:p>
    <w:p w:rsidR="000A1474" w:rsidRPr="003A4B56" w:rsidRDefault="000A1474" w:rsidP="00B51B51">
      <w:pPr>
        <w:widowControl w:val="0"/>
        <w:rPr>
          <w:sz w:val="18"/>
          <w:lang w:val="es-CL"/>
        </w:rPr>
      </w:pPr>
    </w:p>
    <w:p w:rsidR="000A1474" w:rsidRPr="003A4B56" w:rsidRDefault="000A1474" w:rsidP="00B51B51">
      <w:pPr>
        <w:widowControl w:val="0"/>
        <w:rPr>
          <w:lang w:val="es-CL"/>
        </w:rPr>
      </w:pPr>
      <w:r w:rsidRPr="003A4B56">
        <w:rPr>
          <w:lang w:val="es-CL"/>
        </w:rPr>
        <w:t xml:space="preserve">Esta misma tendencia tuvo lugar en </w:t>
      </w:r>
      <w:smartTag w:uri="urn:schemas-microsoft-com:office:smarttags" w:element="PersonName">
        <w:smartTagPr>
          <w:attr w:name="ProductID" w:val="la Región"/>
        </w:smartTagPr>
        <w:r w:rsidRPr="003A4B56">
          <w:rPr>
            <w:lang w:val="es-CL"/>
          </w:rPr>
          <w:t>la Región</w:t>
        </w:r>
      </w:smartTag>
      <w:r w:rsidRPr="003A4B56">
        <w:rPr>
          <w:lang w:val="es-CL"/>
        </w:rPr>
        <w:t xml:space="preserve"> del General Bernardo O´Higgins, donde en la temporada 1996/97 se cultivó en condiciones de riego del orden de </w:t>
      </w:r>
      <w:smartTag w:uri="urn:schemas-microsoft-com:office:smarttags" w:element="metricconverter">
        <w:smartTagPr>
          <w:attr w:name="ProductID" w:val="205.724,7 ha"/>
        </w:smartTagPr>
        <w:r w:rsidRPr="003A4B56">
          <w:rPr>
            <w:lang w:val="es-CL"/>
          </w:rPr>
          <w:t>205.724,7 ha</w:t>
        </w:r>
      </w:smartTag>
      <w:r w:rsidRPr="003A4B56">
        <w:rPr>
          <w:lang w:val="es-CL"/>
        </w:rPr>
        <w:t xml:space="preserve"> y en el período 2006/07 la superficie cultivada alcanzó a </w:t>
      </w:r>
      <w:smartTag w:uri="urn:schemas-microsoft-com:office:smarttags" w:element="metricconverter">
        <w:smartTagPr>
          <w:attr w:name="ProductID" w:val="210.691 ha"/>
        </w:smartTagPr>
        <w:r w:rsidRPr="003A4B56">
          <w:rPr>
            <w:lang w:val="es-CL"/>
          </w:rPr>
          <w:t>210.691 ha</w:t>
        </w:r>
      </w:smartTag>
      <w:r w:rsidRPr="003A4B56">
        <w:rPr>
          <w:lang w:val="es-CL"/>
        </w:rPr>
        <w:t xml:space="preserve">, lo que revela un crecimiento de 2,4% entre ambas temporadas. El sistema de riego gravitacional disminuyó en 22,7%, mientras que los presurizados se incrementaron en 523%, totalizando del orden de las </w:t>
      </w:r>
      <w:smartTag w:uri="urn:schemas-microsoft-com:office:smarttags" w:element="metricconverter">
        <w:smartTagPr>
          <w:attr w:name="ProductID" w:val="58.900 hectáreas"/>
        </w:smartTagPr>
        <w:r w:rsidRPr="003A4B56">
          <w:rPr>
            <w:lang w:val="es-CL"/>
          </w:rPr>
          <w:t>58.900 hectáreas</w:t>
        </w:r>
      </w:smartTag>
      <w:r w:rsidRPr="003A4B56">
        <w:rPr>
          <w:lang w:val="es-CL"/>
        </w:rPr>
        <w:t xml:space="preserve"> en 2006/07. </w:t>
      </w:r>
    </w:p>
    <w:p w:rsidR="000A1474" w:rsidRDefault="000A1474" w:rsidP="00B51B51">
      <w:pPr>
        <w:widowControl w:val="0"/>
        <w:rPr>
          <w:sz w:val="16"/>
          <w:lang w:val="es-CL"/>
        </w:rPr>
      </w:pPr>
    </w:p>
    <w:p w:rsidR="001C71B3" w:rsidRPr="003A4B56" w:rsidRDefault="001C71B3" w:rsidP="00B51B51">
      <w:pPr>
        <w:widowControl w:val="0"/>
        <w:rPr>
          <w:sz w:val="16"/>
          <w:lang w:val="es-CL"/>
        </w:rPr>
      </w:pPr>
    </w:p>
    <w:p w:rsidR="000A1474" w:rsidRDefault="000A1474" w:rsidP="00B51B51">
      <w:pPr>
        <w:widowControl w:val="0"/>
        <w:rPr>
          <w:lang w:val="es-CL"/>
        </w:rPr>
      </w:pPr>
      <w:r w:rsidRPr="003A4B56">
        <w:rPr>
          <w:lang w:val="es-CL"/>
        </w:rPr>
        <w:t xml:space="preserve">Se estima que esta tendencia debiera continuar en los próximos años, toda vez que la rentabilidad de las especies regadas con estos sistemas permita solventar los costos de </w:t>
      </w:r>
      <w:r w:rsidRPr="003A4B56">
        <w:rPr>
          <w:lang w:val="es-CL"/>
        </w:rPr>
        <w:lastRenderedPageBreak/>
        <w:t>inversión. Se debe tener presente los beneficios asociados a este tipo de tecnología, entre los que se destacan la alta eficiencia de riego y el ahorro en fertilizantes.</w:t>
      </w:r>
    </w:p>
    <w:p w:rsidR="000D6AA1" w:rsidRPr="003A4B56" w:rsidRDefault="000D6AA1" w:rsidP="00B51B51">
      <w:pPr>
        <w:widowControl w:val="0"/>
        <w:rPr>
          <w:lang w:val="es-CL"/>
        </w:rPr>
      </w:pPr>
    </w:p>
    <w:p w:rsidR="000A1474" w:rsidRPr="003A4B56" w:rsidRDefault="000A1474" w:rsidP="00B51B51">
      <w:pPr>
        <w:pStyle w:val="Textoindependiente"/>
        <w:widowControl w:val="0"/>
        <w:spacing w:after="0"/>
        <w:jc w:val="center"/>
        <w:rPr>
          <w:rFonts w:ascii="Arial" w:hAnsi="Arial" w:cs="Arial"/>
          <w:b/>
          <w:bCs/>
          <w:sz w:val="22"/>
          <w:lang w:val="es-CL"/>
        </w:rPr>
      </w:pPr>
      <w:bookmarkStart w:id="285" w:name="_Ref336523342"/>
      <w:r w:rsidRPr="003A4B56">
        <w:rPr>
          <w:rFonts w:ascii="Arial" w:hAnsi="Arial" w:cs="Arial"/>
          <w:b/>
          <w:sz w:val="22"/>
        </w:rPr>
        <w:t xml:space="preserve">Tabla </w:t>
      </w:r>
      <w:r w:rsidR="007F3102">
        <w:rPr>
          <w:rFonts w:ascii="Arial" w:hAnsi="Arial" w:cs="Arial"/>
          <w:b/>
          <w:sz w:val="22"/>
        </w:rPr>
        <w:fldChar w:fldCharType="begin"/>
      </w:r>
      <w:r w:rsidR="007F3102">
        <w:rPr>
          <w:rFonts w:ascii="Arial" w:hAnsi="Arial" w:cs="Arial"/>
          <w:b/>
          <w:sz w:val="22"/>
        </w:rPr>
        <w:instrText xml:space="preserve"> STYLEREF 1 \s </w:instrText>
      </w:r>
      <w:r w:rsidR="007F3102">
        <w:rPr>
          <w:rFonts w:ascii="Arial" w:hAnsi="Arial" w:cs="Arial"/>
          <w:b/>
          <w:sz w:val="22"/>
        </w:rPr>
        <w:fldChar w:fldCharType="separate"/>
      </w:r>
      <w:r w:rsidR="00264070">
        <w:rPr>
          <w:rFonts w:ascii="Arial" w:hAnsi="Arial" w:cs="Arial"/>
          <w:b/>
          <w:noProof/>
          <w:sz w:val="22"/>
        </w:rPr>
        <w:t>5</w:t>
      </w:r>
      <w:r w:rsidR="007F3102">
        <w:rPr>
          <w:rFonts w:ascii="Arial" w:hAnsi="Arial" w:cs="Arial"/>
          <w:b/>
          <w:sz w:val="22"/>
        </w:rPr>
        <w:fldChar w:fldCharType="end"/>
      </w:r>
      <w:r w:rsidR="007F3102">
        <w:rPr>
          <w:rFonts w:ascii="Arial" w:hAnsi="Arial" w:cs="Arial"/>
          <w:b/>
          <w:sz w:val="22"/>
        </w:rPr>
        <w:t>.</w:t>
      </w:r>
      <w:r w:rsidR="007F3102">
        <w:rPr>
          <w:rFonts w:ascii="Arial" w:hAnsi="Arial" w:cs="Arial"/>
          <w:b/>
          <w:sz w:val="22"/>
        </w:rPr>
        <w:fldChar w:fldCharType="begin"/>
      </w:r>
      <w:r w:rsidR="007F3102">
        <w:rPr>
          <w:rFonts w:ascii="Arial" w:hAnsi="Arial" w:cs="Arial"/>
          <w:b/>
          <w:sz w:val="22"/>
        </w:rPr>
        <w:instrText xml:space="preserve"> SEQ Tabla \* ARABIC \s 1 </w:instrText>
      </w:r>
      <w:r w:rsidR="007F3102">
        <w:rPr>
          <w:rFonts w:ascii="Arial" w:hAnsi="Arial" w:cs="Arial"/>
          <w:b/>
          <w:sz w:val="22"/>
        </w:rPr>
        <w:fldChar w:fldCharType="separate"/>
      </w:r>
      <w:r w:rsidR="00264070">
        <w:rPr>
          <w:rFonts w:ascii="Arial" w:hAnsi="Arial" w:cs="Arial"/>
          <w:b/>
          <w:noProof/>
          <w:sz w:val="22"/>
        </w:rPr>
        <w:t>67</w:t>
      </w:r>
      <w:r w:rsidR="007F3102">
        <w:rPr>
          <w:rFonts w:ascii="Arial" w:hAnsi="Arial" w:cs="Arial"/>
          <w:b/>
          <w:sz w:val="22"/>
        </w:rPr>
        <w:fldChar w:fldCharType="end"/>
      </w:r>
      <w:bookmarkEnd w:id="285"/>
      <w:r w:rsidRPr="003A4B56">
        <w:rPr>
          <w:rFonts w:ascii="Arial" w:hAnsi="Arial" w:cs="Arial"/>
          <w:b/>
          <w:sz w:val="22"/>
        </w:rPr>
        <w:t xml:space="preserve"> </w:t>
      </w:r>
      <w:r w:rsidRPr="003A4B56">
        <w:rPr>
          <w:rFonts w:ascii="Arial" w:hAnsi="Arial" w:cs="Arial"/>
          <w:b/>
          <w:bCs/>
          <w:sz w:val="22"/>
          <w:lang w:val="es-CL"/>
        </w:rPr>
        <w:t>Evolución Superficie de Riego</w:t>
      </w:r>
    </w:p>
    <w:p w:rsidR="000A1474" w:rsidRPr="003A4B56" w:rsidRDefault="00254CE2" w:rsidP="00B51B51">
      <w:pPr>
        <w:pStyle w:val="Textoindependiente"/>
        <w:widowControl w:val="0"/>
        <w:tabs>
          <w:tab w:val="left" w:pos="0"/>
          <w:tab w:val="left" w:pos="432"/>
          <w:tab w:val="left" w:pos="54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after="0"/>
        <w:jc w:val="center"/>
        <w:rPr>
          <w:rFonts w:ascii="Arial" w:hAnsi="Arial" w:cs="Arial"/>
          <w:lang w:val="es-CL"/>
        </w:rPr>
      </w:pPr>
      <w:r>
        <w:rPr>
          <w:rFonts w:ascii="Arial" w:hAnsi="Arial" w:cs="Arial"/>
          <w:noProof/>
          <w:lang w:val="es-CL" w:eastAsia="es-CL"/>
        </w:rPr>
        <w:drawing>
          <wp:inline distT="0" distB="0" distL="0" distR="0">
            <wp:extent cx="5560695" cy="4912360"/>
            <wp:effectExtent l="0" t="0" r="1905"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60695" cy="4912360"/>
                    </a:xfrm>
                    <a:prstGeom prst="rect">
                      <a:avLst/>
                    </a:prstGeom>
                    <a:noFill/>
                    <a:ln>
                      <a:noFill/>
                    </a:ln>
                  </pic:spPr>
                </pic:pic>
              </a:graphicData>
            </a:graphic>
          </wp:inline>
        </w:drawing>
      </w:r>
    </w:p>
    <w:p w:rsidR="000A1474" w:rsidRPr="003A4B56" w:rsidRDefault="000A1474" w:rsidP="00B51B51">
      <w:pPr>
        <w:pStyle w:val="Textoindependiente"/>
        <w:widowControl w:val="0"/>
        <w:tabs>
          <w:tab w:val="left" w:pos="0"/>
          <w:tab w:val="left" w:pos="432"/>
          <w:tab w:val="left" w:pos="54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after="0"/>
        <w:jc w:val="center"/>
        <w:rPr>
          <w:rFonts w:ascii="Arial" w:hAnsi="Arial" w:cs="Arial"/>
          <w:sz w:val="20"/>
          <w:szCs w:val="20"/>
          <w:lang w:val="es-CL"/>
        </w:rPr>
      </w:pPr>
      <w:r w:rsidRPr="003A4B56">
        <w:rPr>
          <w:rFonts w:ascii="Arial" w:hAnsi="Arial" w:cs="Arial"/>
          <w:sz w:val="20"/>
          <w:szCs w:val="20"/>
          <w:lang w:val="es-CL"/>
        </w:rPr>
        <w:t>Fuente: Elaborado con antecedentes del VI y VII Nacional Agropecuario, INE</w:t>
      </w:r>
    </w:p>
    <w:p w:rsidR="000A1474" w:rsidRPr="003A4B56" w:rsidRDefault="000A1474" w:rsidP="00B51B51">
      <w:pPr>
        <w:widowControl w:val="0"/>
        <w:rPr>
          <w:rFonts w:cs="Arial"/>
          <w:lang w:val="es-CL"/>
        </w:rPr>
      </w:pPr>
    </w:p>
    <w:p w:rsidR="000A1474" w:rsidRPr="003A4B56" w:rsidRDefault="00E60A87" w:rsidP="00B51B51">
      <w:pPr>
        <w:widowControl w:val="0"/>
        <w:rPr>
          <w:rFonts w:cs="Arial"/>
          <w:b/>
        </w:rPr>
      </w:pPr>
      <w:r w:rsidRPr="003A4B56">
        <w:rPr>
          <w:rFonts w:cs="Arial"/>
          <w:b/>
        </w:rPr>
        <w:t>a.4)</w:t>
      </w:r>
      <w:r w:rsidRPr="003A4B56">
        <w:rPr>
          <w:rFonts w:cs="Arial"/>
          <w:b/>
        </w:rPr>
        <w:tab/>
      </w:r>
      <w:r w:rsidR="000A1474" w:rsidRPr="003A4B56">
        <w:rPr>
          <w:rFonts w:cs="Arial"/>
          <w:b/>
        </w:rPr>
        <w:t>Estudio de Mercado</w:t>
      </w:r>
    </w:p>
    <w:p w:rsidR="000A1474" w:rsidRPr="003A4B56" w:rsidRDefault="000A1474" w:rsidP="00B51B51">
      <w:pPr>
        <w:widowControl w:val="0"/>
      </w:pPr>
    </w:p>
    <w:p w:rsidR="000A1474" w:rsidRPr="003A4B56" w:rsidRDefault="00E60A87" w:rsidP="00B51B51">
      <w:pPr>
        <w:widowControl w:val="0"/>
        <w:rPr>
          <w:rFonts w:cs="Arial"/>
          <w:b/>
        </w:rPr>
      </w:pPr>
      <w:r w:rsidRPr="003A4B56">
        <w:rPr>
          <w:rFonts w:cs="Arial"/>
          <w:b/>
        </w:rPr>
        <w:t>i)</w:t>
      </w:r>
      <w:r w:rsidRPr="003A4B56">
        <w:rPr>
          <w:rFonts w:cs="Arial"/>
          <w:b/>
        </w:rPr>
        <w:tab/>
      </w:r>
      <w:r w:rsidR="000A1474" w:rsidRPr="003A4B56">
        <w:rPr>
          <w:rFonts w:cs="Arial"/>
          <w:b/>
        </w:rPr>
        <w:t>Introducción</w:t>
      </w:r>
    </w:p>
    <w:p w:rsidR="000A1474" w:rsidRPr="003A4B56" w:rsidRDefault="000A1474" w:rsidP="00B51B51">
      <w:pPr>
        <w:widowControl w:val="0"/>
      </w:pPr>
    </w:p>
    <w:p w:rsidR="000A1474" w:rsidRPr="003A4B56" w:rsidRDefault="000A1474" w:rsidP="00B51B51">
      <w:pPr>
        <w:widowControl w:val="0"/>
      </w:pPr>
      <w:r w:rsidRPr="003A4B56">
        <w:t xml:space="preserve">En este Informe se realizó una recopilación y análisis de antecedentes bibliográficos para los principales productos agropecuarios desarrollados VI Región del Libertador Bernardo O’Higgins y de aquellos que presentan viabilidad técnica y económica de expandir su superficie. Dicha información corresponde a la superficie de cultivo nacional, regional y provincial, evolución de la producción, canales de comercialización, exportaciones, importaciones, acuerdos comerciales, perspectivas, etc. </w:t>
      </w:r>
    </w:p>
    <w:p w:rsidR="000A1474" w:rsidRPr="003A4B56" w:rsidRDefault="000A1474" w:rsidP="00B51B51">
      <w:pPr>
        <w:widowControl w:val="0"/>
      </w:pPr>
    </w:p>
    <w:p w:rsidR="000A1474" w:rsidRPr="003A4B56" w:rsidRDefault="000A1474" w:rsidP="00B51B51">
      <w:pPr>
        <w:widowControl w:val="0"/>
      </w:pPr>
      <w:r w:rsidRPr="003A4B56">
        <w:t xml:space="preserve">El análisis de mercados y comercialización, tanto nacional como de exportación, se basó en información obtenida  mediante la revisión de distintas publicaciones y estudios efectuados por </w:t>
      </w:r>
      <w:r w:rsidRPr="003A4B56">
        <w:lastRenderedPageBreak/>
        <w:t>los siguientes organismos:</w:t>
      </w:r>
    </w:p>
    <w:p w:rsidR="000A1474" w:rsidRPr="003A4B56" w:rsidRDefault="000A1474" w:rsidP="00B51B51">
      <w:pPr>
        <w:widowControl w:val="0"/>
        <w:rPr>
          <w:sz w:val="18"/>
        </w:rPr>
      </w:pPr>
    </w:p>
    <w:p w:rsidR="000A1474" w:rsidRPr="003A4B56" w:rsidRDefault="000A1474" w:rsidP="00B51B51">
      <w:pPr>
        <w:widowControl w:val="0"/>
      </w:pPr>
      <w:r w:rsidRPr="003A4B56">
        <w:tab/>
        <w:t>-</w:t>
      </w:r>
      <w:r w:rsidRPr="003A4B56">
        <w:tab/>
        <w:t>Instituto Nacional de Estadísticas, INE.</w:t>
      </w:r>
    </w:p>
    <w:p w:rsidR="000A1474" w:rsidRPr="003A4B56" w:rsidRDefault="000A1474" w:rsidP="00B51B51">
      <w:pPr>
        <w:widowControl w:val="0"/>
      </w:pPr>
      <w:r w:rsidRPr="003A4B56">
        <w:tab/>
        <w:t>-</w:t>
      </w:r>
      <w:r w:rsidRPr="003A4B56">
        <w:tab/>
        <w:t>Oficina de Estudios y Políticas Agrarias, ODEPA.</w:t>
      </w:r>
    </w:p>
    <w:p w:rsidR="000A1474" w:rsidRDefault="000A1474" w:rsidP="00B51B51">
      <w:pPr>
        <w:widowControl w:val="0"/>
      </w:pPr>
      <w:r w:rsidRPr="003A4B56">
        <w:tab/>
        <w:t>-</w:t>
      </w:r>
      <w:r w:rsidRPr="003A4B56">
        <w:tab/>
        <w:t>CIREN-CORFO.</w:t>
      </w:r>
    </w:p>
    <w:p w:rsidR="000D6AA1" w:rsidRPr="003A4B56" w:rsidRDefault="000D6AA1" w:rsidP="00B51B51">
      <w:pPr>
        <w:widowControl w:val="0"/>
      </w:pPr>
    </w:p>
    <w:p w:rsidR="000A1474" w:rsidRPr="003A4B56" w:rsidRDefault="000A1474" w:rsidP="00B51B51">
      <w:pPr>
        <w:widowControl w:val="0"/>
      </w:pPr>
      <w:r w:rsidRPr="003A4B56">
        <w:t xml:space="preserve">Actualmente, Chile mantiene relaciones comerciales con un gran número de países con los cuales intercambia productos pagando el arancel vigente en cada uno de ello, y éstos a su vez, deben cancelar el impuesto vigente en Chile. No obstante, en la última década se han firmado diversos Tratados de Libre Comercio, entre los que se destacan el suscrito con China, </w:t>
      </w:r>
      <w:smartTag w:uri="urn:schemas-microsoft-com:office:smarttags" w:element="PersonName">
        <w:smartTagPr>
          <w:attr w:name="ProductID" w:val="la Unión Europea"/>
        </w:smartTagPr>
        <w:r w:rsidRPr="003A4B56">
          <w:t>la Unión Europea</w:t>
        </w:r>
      </w:smartTag>
      <w:r w:rsidRPr="003A4B56">
        <w:t>, Estados Unidos y Corea; asimismo, existen otros Acuerdos de Complementación Económica con MERCOSUR, Canadá, Colombia, México y Perú, entre otros. Además, se mantienen conversaciones con otros bloques para consolidar eventuales tratados. Para los acuerdos suscritos se dará a conocer la desgravación arancelaria por producto a estudiar y las perspectivas en cada uno de los mercados.</w:t>
      </w:r>
    </w:p>
    <w:p w:rsidR="000A1474" w:rsidRPr="003A4B56" w:rsidRDefault="000A1474" w:rsidP="00B51B51">
      <w:pPr>
        <w:widowControl w:val="0"/>
      </w:pPr>
    </w:p>
    <w:p w:rsidR="000A1474" w:rsidRPr="003A4B56" w:rsidRDefault="000A1474" w:rsidP="00B51B51">
      <w:pPr>
        <w:widowControl w:val="0"/>
      </w:pPr>
      <w:r w:rsidRPr="003A4B56">
        <w:t>El listado de los rubros a analizar es el siguiente:</w:t>
      </w:r>
    </w:p>
    <w:p w:rsidR="000A1474" w:rsidRPr="003A4B56" w:rsidRDefault="000A1474" w:rsidP="00B51B51">
      <w:pPr>
        <w:widowControl w:val="0"/>
      </w:pPr>
    </w:p>
    <w:p w:rsidR="000A1474" w:rsidRPr="003A4B56" w:rsidRDefault="000A1474" w:rsidP="00145762">
      <w:pPr>
        <w:widowControl w:val="0"/>
        <w:numPr>
          <w:ilvl w:val="0"/>
          <w:numId w:val="11"/>
        </w:numPr>
        <w:tabs>
          <w:tab w:val="left" w:pos="2880"/>
          <w:tab w:val="left" w:pos="3240"/>
        </w:tabs>
      </w:pPr>
      <w:r w:rsidRPr="003A4B56">
        <w:t>Cultivos</w:t>
      </w:r>
      <w:r w:rsidRPr="003A4B56">
        <w:tab/>
        <w:t>-    Arroz</w:t>
      </w:r>
    </w:p>
    <w:p w:rsidR="000A1474" w:rsidRPr="003A4B56" w:rsidRDefault="000A1474" w:rsidP="00145762">
      <w:pPr>
        <w:widowControl w:val="0"/>
        <w:numPr>
          <w:ilvl w:val="1"/>
          <w:numId w:val="9"/>
        </w:numPr>
        <w:tabs>
          <w:tab w:val="clear" w:pos="1440"/>
        </w:tabs>
        <w:ind w:left="3240"/>
      </w:pPr>
      <w:r w:rsidRPr="003A4B56">
        <w:t>Maíz Grano</w:t>
      </w:r>
    </w:p>
    <w:p w:rsidR="000A1474" w:rsidRPr="003A4B56" w:rsidRDefault="000A1474" w:rsidP="00145762">
      <w:pPr>
        <w:widowControl w:val="0"/>
        <w:numPr>
          <w:ilvl w:val="1"/>
          <w:numId w:val="9"/>
        </w:numPr>
        <w:tabs>
          <w:tab w:val="clear" w:pos="1440"/>
        </w:tabs>
        <w:ind w:left="3240"/>
      </w:pPr>
      <w:r w:rsidRPr="003A4B56">
        <w:t>Papa</w:t>
      </w:r>
    </w:p>
    <w:p w:rsidR="000A1474" w:rsidRPr="003A4B56" w:rsidRDefault="000A1474" w:rsidP="00145762">
      <w:pPr>
        <w:widowControl w:val="0"/>
        <w:numPr>
          <w:ilvl w:val="1"/>
          <w:numId w:val="9"/>
        </w:numPr>
        <w:tabs>
          <w:tab w:val="clear" w:pos="1440"/>
        </w:tabs>
        <w:ind w:left="3240"/>
      </w:pPr>
      <w:r w:rsidRPr="003A4B56">
        <w:t>Poroto</w:t>
      </w:r>
    </w:p>
    <w:p w:rsidR="000A1474" w:rsidRPr="003A4B56" w:rsidRDefault="000A1474" w:rsidP="00145762">
      <w:pPr>
        <w:widowControl w:val="0"/>
        <w:numPr>
          <w:ilvl w:val="1"/>
          <w:numId w:val="9"/>
        </w:numPr>
        <w:tabs>
          <w:tab w:val="clear" w:pos="1440"/>
        </w:tabs>
        <w:ind w:left="3240"/>
      </w:pPr>
      <w:r w:rsidRPr="003A4B56">
        <w:t>Remolacha</w:t>
      </w:r>
    </w:p>
    <w:p w:rsidR="000A1474" w:rsidRPr="003A4B56" w:rsidRDefault="000A1474" w:rsidP="00145762">
      <w:pPr>
        <w:widowControl w:val="0"/>
        <w:numPr>
          <w:ilvl w:val="1"/>
          <w:numId w:val="9"/>
        </w:numPr>
        <w:tabs>
          <w:tab w:val="clear" w:pos="1440"/>
        </w:tabs>
        <w:ind w:left="3240"/>
      </w:pPr>
      <w:r w:rsidRPr="003A4B56">
        <w:t>Tabaco</w:t>
      </w:r>
    </w:p>
    <w:p w:rsidR="000A1474" w:rsidRPr="003A4B56" w:rsidRDefault="000A1474" w:rsidP="00145762">
      <w:pPr>
        <w:widowControl w:val="0"/>
        <w:numPr>
          <w:ilvl w:val="1"/>
          <w:numId w:val="9"/>
        </w:numPr>
        <w:tabs>
          <w:tab w:val="clear" w:pos="1440"/>
        </w:tabs>
        <w:ind w:left="3240"/>
      </w:pPr>
      <w:r w:rsidRPr="003A4B56">
        <w:t xml:space="preserve">Trigo </w:t>
      </w:r>
    </w:p>
    <w:p w:rsidR="000A1474" w:rsidRPr="003A4B56" w:rsidRDefault="000A1474" w:rsidP="00145762">
      <w:pPr>
        <w:widowControl w:val="0"/>
        <w:numPr>
          <w:ilvl w:val="0"/>
          <w:numId w:val="10"/>
        </w:numPr>
      </w:pPr>
      <w:r w:rsidRPr="003A4B56">
        <w:t>Ganadería Bovina</w:t>
      </w:r>
    </w:p>
    <w:p w:rsidR="000A1474" w:rsidRPr="003A4B56" w:rsidRDefault="000A1474" w:rsidP="00145762">
      <w:pPr>
        <w:widowControl w:val="0"/>
        <w:numPr>
          <w:ilvl w:val="0"/>
          <w:numId w:val="11"/>
        </w:numPr>
        <w:tabs>
          <w:tab w:val="left" w:pos="2880"/>
          <w:tab w:val="left" w:pos="3240"/>
        </w:tabs>
      </w:pPr>
      <w:r w:rsidRPr="003A4B56">
        <w:t>Hortalizas</w:t>
      </w:r>
      <w:r w:rsidRPr="003A4B56">
        <w:tab/>
        <w:t xml:space="preserve">- </w:t>
      </w:r>
      <w:r w:rsidRPr="003A4B56">
        <w:tab/>
        <w:t>Ají</w:t>
      </w:r>
    </w:p>
    <w:p w:rsidR="000A1474" w:rsidRPr="003A4B56" w:rsidRDefault="000A1474" w:rsidP="00145762">
      <w:pPr>
        <w:widowControl w:val="0"/>
        <w:numPr>
          <w:ilvl w:val="1"/>
          <w:numId w:val="9"/>
        </w:numPr>
        <w:tabs>
          <w:tab w:val="clear" w:pos="1440"/>
        </w:tabs>
        <w:ind w:left="3240"/>
      </w:pPr>
      <w:r w:rsidRPr="003A4B56">
        <w:t>Ajo</w:t>
      </w:r>
    </w:p>
    <w:p w:rsidR="000A1474" w:rsidRPr="003A4B56" w:rsidRDefault="000A1474" w:rsidP="00145762">
      <w:pPr>
        <w:widowControl w:val="0"/>
        <w:numPr>
          <w:ilvl w:val="1"/>
          <w:numId w:val="9"/>
        </w:numPr>
        <w:tabs>
          <w:tab w:val="clear" w:pos="1440"/>
        </w:tabs>
        <w:ind w:left="3240"/>
      </w:pPr>
      <w:r w:rsidRPr="003A4B56">
        <w:t>Arveja Verde</w:t>
      </w:r>
    </w:p>
    <w:p w:rsidR="000A1474" w:rsidRPr="003A4B56" w:rsidRDefault="000A1474" w:rsidP="00145762">
      <w:pPr>
        <w:widowControl w:val="0"/>
        <w:numPr>
          <w:ilvl w:val="1"/>
          <w:numId w:val="9"/>
        </w:numPr>
        <w:tabs>
          <w:tab w:val="clear" w:pos="1440"/>
        </w:tabs>
        <w:ind w:left="3240"/>
      </w:pPr>
      <w:r w:rsidRPr="003A4B56">
        <w:t>Cebolla</w:t>
      </w:r>
    </w:p>
    <w:p w:rsidR="000A1474" w:rsidRPr="003A4B56" w:rsidRDefault="000A1474" w:rsidP="00145762">
      <w:pPr>
        <w:widowControl w:val="0"/>
        <w:numPr>
          <w:ilvl w:val="1"/>
          <w:numId w:val="9"/>
        </w:numPr>
        <w:tabs>
          <w:tab w:val="clear" w:pos="1440"/>
        </w:tabs>
        <w:ind w:left="3240"/>
      </w:pPr>
      <w:r w:rsidRPr="003A4B56">
        <w:t>Choclo</w:t>
      </w:r>
    </w:p>
    <w:p w:rsidR="000A1474" w:rsidRPr="003A4B56" w:rsidRDefault="000A1474" w:rsidP="00145762">
      <w:pPr>
        <w:widowControl w:val="0"/>
        <w:numPr>
          <w:ilvl w:val="1"/>
          <w:numId w:val="9"/>
        </w:numPr>
        <w:tabs>
          <w:tab w:val="clear" w:pos="1440"/>
        </w:tabs>
        <w:ind w:left="3240"/>
      </w:pPr>
      <w:r w:rsidRPr="003A4B56">
        <w:t>Pimentón</w:t>
      </w:r>
    </w:p>
    <w:p w:rsidR="000A1474" w:rsidRPr="003A4B56" w:rsidRDefault="000A1474" w:rsidP="00145762">
      <w:pPr>
        <w:widowControl w:val="0"/>
        <w:numPr>
          <w:ilvl w:val="1"/>
          <w:numId w:val="9"/>
        </w:numPr>
        <w:tabs>
          <w:tab w:val="clear" w:pos="1440"/>
        </w:tabs>
        <w:ind w:left="3240"/>
      </w:pPr>
      <w:r w:rsidRPr="003A4B56">
        <w:t>Lechuga</w:t>
      </w:r>
    </w:p>
    <w:p w:rsidR="000A1474" w:rsidRPr="003A4B56" w:rsidRDefault="000A1474" w:rsidP="00145762">
      <w:pPr>
        <w:widowControl w:val="0"/>
        <w:numPr>
          <w:ilvl w:val="1"/>
          <w:numId w:val="9"/>
        </w:numPr>
        <w:tabs>
          <w:tab w:val="clear" w:pos="1440"/>
        </w:tabs>
        <w:ind w:left="3240"/>
      </w:pPr>
      <w:r w:rsidRPr="003A4B56">
        <w:t>Poroto Granado</w:t>
      </w:r>
    </w:p>
    <w:p w:rsidR="000A1474" w:rsidRPr="003A4B56" w:rsidRDefault="000A1474" w:rsidP="00145762">
      <w:pPr>
        <w:widowControl w:val="0"/>
        <w:numPr>
          <w:ilvl w:val="1"/>
          <w:numId w:val="9"/>
        </w:numPr>
        <w:tabs>
          <w:tab w:val="clear" w:pos="1440"/>
        </w:tabs>
        <w:ind w:left="3240"/>
      </w:pPr>
      <w:r w:rsidRPr="003A4B56">
        <w:t>Sandía</w:t>
      </w:r>
    </w:p>
    <w:p w:rsidR="000A1474" w:rsidRPr="003A4B56" w:rsidRDefault="000A1474" w:rsidP="00145762">
      <w:pPr>
        <w:widowControl w:val="0"/>
        <w:numPr>
          <w:ilvl w:val="1"/>
          <w:numId w:val="9"/>
        </w:numPr>
        <w:tabs>
          <w:tab w:val="clear" w:pos="1440"/>
        </w:tabs>
        <w:ind w:left="3240"/>
      </w:pPr>
      <w:r w:rsidRPr="003A4B56">
        <w:t>Tomate Consumo Fresco</w:t>
      </w:r>
    </w:p>
    <w:p w:rsidR="000A1474" w:rsidRPr="003A4B56" w:rsidRDefault="000A1474" w:rsidP="00145762">
      <w:pPr>
        <w:widowControl w:val="0"/>
        <w:numPr>
          <w:ilvl w:val="1"/>
          <w:numId w:val="9"/>
        </w:numPr>
        <w:tabs>
          <w:tab w:val="clear" w:pos="1440"/>
        </w:tabs>
        <w:ind w:left="3240"/>
      </w:pPr>
      <w:r w:rsidRPr="003A4B56">
        <w:t>Tomate Industrial</w:t>
      </w:r>
    </w:p>
    <w:p w:rsidR="000A1474" w:rsidRPr="003A4B56" w:rsidRDefault="000A1474" w:rsidP="00145762">
      <w:pPr>
        <w:widowControl w:val="0"/>
        <w:numPr>
          <w:ilvl w:val="1"/>
          <w:numId w:val="9"/>
        </w:numPr>
        <w:tabs>
          <w:tab w:val="clear" w:pos="1440"/>
        </w:tabs>
        <w:ind w:left="3240"/>
      </w:pPr>
      <w:r w:rsidRPr="003A4B56">
        <w:t>Zapallo Guarda</w:t>
      </w:r>
    </w:p>
    <w:p w:rsidR="000A1474" w:rsidRPr="003A4B56" w:rsidRDefault="000A1474" w:rsidP="00145762">
      <w:pPr>
        <w:widowControl w:val="0"/>
        <w:numPr>
          <w:ilvl w:val="0"/>
          <w:numId w:val="11"/>
        </w:numPr>
        <w:tabs>
          <w:tab w:val="left" w:pos="2880"/>
          <w:tab w:val="left" w:pos="3240"/>
        </w:tabs>
      </w:pPr>
      <w:r w:rsidRPr="003A4B56">
        <w:t>Frutales</w:t>
      </w:r>
      <w:r w:rsidRPr="003A4B56">
        <w:tab/>
        <w:t>-</w:t>
      </w:r>
      <w:r w:rsidRPr="003A4B56">
        <w:tab/>
        <w:t>Almendro</w:t>
      </w:r>
    </w:p>
    <w:p w:rsidR="000A1474" w:rsidRPr="003A4B56" w:rsidRDefault="000A1474" w:rsidP="00145762">
      <w:pPr>
        <w:widowControl w:val="0"/>
        <w:numPr>
          <w:ilvl w:val="1"/>
          <w:numId w:val="9"/>
        </w:numPr>
        <w:tabs>
          <w:tab w:val="clear" w:pos="1440"/>
        </w:tabs>
        <w:ind w:left="3240"/>
      </w:pPr>
      <w:r w:rsidRPr="003A4B56">
        <w:t>Arándano</w:t>
      </w:r>
    </w:p>
    <w:p w:rsidR="000A1474" w:rsidRPr="003A4B56" w:rsidRDefault="000A1474" w:rsidP="00145762">
      <w:pPr>
        <w:widowControl w:val="0"/>
        <w:numPr>
          <w:ilvl w:val="1"/>
          <w:numId w:val="9"/>
        </w:numPr>
        <w:tabs>
          <w:tab w:val="clear" w:pos="1440"/>
        </w:tabs>
        <w:ind w:left="3240"/>
      </w:pPr>
      <w:r w:rsidRPr="003A4B56">
        <w:t>Cerezo</w:t>
      </w:r>
    </w:p>
    <w:p w:rsidR="000A1474" w:rsidRPr="003A4B56" w:rsidRDefault="000A1474" w:rsidP="00145762">
      <w:pPr>
        <w:widowControl w:val="0"/>
        <w:numPr>
          <w:ilvl w:val="1"/>
          <w:numId w:val="9"/>
        </w:numPr>
        <w:tabs>
          <w:tab w:val="clear" w:pos="1440"/>
        </w:tabs>
        <w:ind w:left="3240"/>
      </w:pPr>
      <w:r w:rsidRPr="003A4B56">
        <w:t>Ciruelo Europeo</w:t>
      </w:r>
    </w:p>
    <w:p w:rsidR="000A1474" w:rsidRPr="003A4B56" w:rsidRDefault="000A1474" w:rsidP="00145762">
      <w:pPr>
        <w:widowControl w:val="0"/>
        <w:numPr>
          <w:ilvl w:val="1"/>
          <w:numId w:val="9"/>
        </w:numPr>
        <w:tabs>
          <w:tab w:val="clear" w:pos="1440"/>
        </w:tabs>
        <w:ind w:left="3240"/>
      </w:pPr>
      <w:r w:rsidRPr="003A4B56">
        <w:t>Ciruelo Japonés</w:t>
      </w:r>
    </w:p>
    <w:p w:rsidR="000A1474" w:rsidRPr="003A4B56" w:rsidRDefault="000A1474" w:rsidP="00145762">
      <w:pPr>
        <w:widowControl w:val="0"/>
        <w:numPr>
          <w:ilvl w:val="1"/>
          <w:numId w:val="9"/>
        </w:numPr>
        <w:tabs>
          <w:tab w:val="clear" w:pos="1440"/>
        </w:tabs>
        <w:ind w:left="3240"/>
      </w:pPr>
      <w:r w:rsidRPr="003A4B56">
        <w:t>Duraznero</w:t>
      </w:r>
    </w:p>
    <w:p w:rsidR="000A1474" w:rsidRPr="003A4B56" w:rsidRDefault="000A1474" w:rsidP="00145762">
      <w:pPr>
        <w:widowControl w:val="0"/>
        <w:numPr>
          <w:ilvl w:val="1"/>
          <w:numId w:val="9"/>
        </w:numPr>
        <w:tabs>
          <w:tab w:val="clear" w:pos="1440"/>
        </w:tabs>
        <w:ind w:left="3240"/>
      </w:pPr>
      <w:r w:rsidRPr="003A4B56">
        <w:t>Kiwi</w:t>
      </w:r>
    </w:p>
    <w:p w:rsidR="000A1474" w:rsidRPr="003A4B56" w:rsidRDefault="000A1474" w:rsidP="00145762">
      <w:pPr>
        <w:widowControl w:val="0"/>
        <w:numPr>
          <w:ilvl w:val="1"/>
          <w:numId w:val="9"/>
        </w:numPr>
        <w:tabs>
          <w:tab w:val="clear" w:pos="1440"/>
        </w:tabs>
        <w:ind w:left="3240"/>
      </w:pPr>
      <w:r w:rsidRPr="003A4B56">
        <w:t>Limonero</w:t>
      </w:r>
    </w:p>
    <w:p w:rsidR="000A1474" w:rsidRPr="003A4B56" w:rsidRDefault="000A1474" w:rsidP="00145762">
      <w:pPr>
        <w:widowControl w:val="0"/>
        <w:numPr>
          <w:ilvl w:val="1"/>
          <w:numId w:val="9"/>
        </w:numPr>
        <w:tabs>
          <w:tab w:val="clear" w:pos="1440"/>
        </w:tabs>
        <w:ind w:left="3240"/>
      </w:pPr>
      <w:r w:rsidRPr="003A4B56">
        <w:t>Manzano</w:t>
      </w:r>
    </w:p>
    <w:p w:rsidR="000A1474" w:rsidRPr="003A4B56" w:rsidRDefault="000A1474" w:rsidP="00145762">
      <w:pPr>
        <w:widowControl w:val="0"/>
        <w:numPr>
          <w:ilvl w:val="1"/>
          <w:numId w:val="9"/>
        </w:numPr>
        <w:tabs>
          <w:tab w:val="clear" w:pos="1440"/>
        </w:tabs>
        <w:ind w:left="3240"/>
      </w:pPr>
      <w:r w:rsidRPr="003A4B56">
        <w:t>Naranjo</w:t>
      </w:r>
    </w:p>
    <w:p w:rsidR="000A1474" w:rsidRPr="003A4B56" w:rsidRDefault="000A1474" w:rsidP="00145762">
      <w:pPr>
        <w:widowControl w:val="0"/>
        <w:numPr>
          <w:ilvl w:val="1"/>
          <w:numId w:val="9"/>
        </w:numPr>
        <w:tabs>
          <w:tab w:val="clear" w:pos="1440"/>
        </w:tabs>
        <w:ind w:left="3240"/>
      </w:pPr>
      <w:r w:rsidRPr="003A4B56">
        <w:t>Nectarino</w:t>
      </w:r>
    </w:p>
    <w:p w:rsidR="000A1474" w:rsidRPr="003A4B56" w:rsidRDefault="000A1474" w:rsidP="00145762">
      <w:pPr>
        <w:widowControl w:val="0"/>
        <w:numPr>
          <w:ilvl w:val="1"/>
          <w:numId w:val="9"/>
        </w:numPr>
        <w:tabs>
          <w:tab w:val="clear" w:pos="1440"/>
        </w:tabs>
        <w:ind w:left="3240"/>
      </w:pPr>
      <w:r w:rsidRPr="003A4B56">
        <w:t>Nogal</w:t>
      </w:r>
    </w:p>
    <w:p w:rsidR="000A1474" w:rsidRPr="003A4B56" w:rsidRDefault="000A1474" w:rsidP="00145762">
      <w:pPr>
        <w:widowControl w:val="0"/>
        <w:numPr>
          <w:ilvl w:val="1"/>
          <w:numId w:val="9"/>
        </w:numPr>
        <w:tabs>
          <w:tab w:val="clear" w:pos="1440"/>
        </w:tabs>
        <w:ind w:left="3240"/>
      </w:pPr>
      <w:r w:rsidRPr="003A4B56">
        <w:lastRenderedPageBreak/>
        <w:t>Olivo</w:t>
      </w:r>
    </w:p>
    <w:p w:rsidR="000A1474" w:rsidRPr="003A4B56" w:rsidRDefault="000A1474" w:rsidP="00145762">
      <w:pPr>
        <w:widowControl w:val="0"/>
        <w:numPr>
          <w:ilvl w:val="1"/>
          <w:numId w:val="9"/>
        </w:numPr>
        <w:tabs>
          <w:tab w:val="clear" w:pos="1440"/>
        </w:tabs>
        <w:ind w:left="3240"/>
      </w:pPr>
      <w:r w:rsidRPr="003A4B56">
        <w:t>Palto</w:t>
      </w:r>
    </w:p>
    <w:p w:rsidR="000A1474" w:rsidRPr="003A4B56" w:rsidRDefault="000A1474" w:rsidP="00145762">
      <w:pPr>
        <w:widowControl w:val="0"/>
        <w:numPr>
          <w:ilvl w:val="1"/>
          <w:numId w:val="9"/>
        </w:numPr>
        <w:tabs>
          <w:tab w:val="clear" w:pos="1440"/>
        </w:tabs>
        <w:ind w:left="3240"/>
      </w:pPr>
      <w:r w:rsidRPr="003A4B56">
        <w:t>Peral</w:t>
      </w:r>
    </w:p>
    <w:p w:rsidR="000A1474" w:rsidRPr="003A4B56" w:rsidRDefault="000A1474" w:rsidP="00145762">
      <w:pPr>
        <w:widowControl w:val="0"/>
        <w:numPr>
          <w:ilvl w:val="1"/>
          <w:numId w:val="9"/>
        </w:numPr>
        <w:tabs>
          <w:tab w:val="clear" w:pos="1440"/>
        </w:tabs>
        <w:ind w:left="3240"/>
      </w:pPr>
      <w:r w:rsidRPr="003A4B56">
        <w:t>Uva de Mesa</w:t>
      </w:r>
    </w:p>
    <w:p w:rsidR="000A1474" w:rsidRPr="003A4B56" w:rsidRDefault="000A1474" w:rsidP="00145762">
      <w:pPr>
        <w:widowControl w:val="0"/>
        <w:numPr>
          <w:ilvl w:val="0"/>
          <w:numId w:val="11"/>
        </w:numPr>
      </w:pPr>
      <w:r w:rsidRPr="003A4B56">
        <w:t>Vid Vinífera</w:t>
      </w:r>
    </w:p>
    <w:p w:rsidR="000A1474" w:rsidRPr="003A4B56" w:rsidRDefault="000A1474" w:rsidP="00B51B51">
      <w:pPr>
        <w:widowControl w:val="0"/>
      </w:pPr>
    </w:p>
    <w:p w:rsidR="000A1474" w:rsidRPr="003A4B56" w:rsidRDefault="00355026" w:rsidP="00B51B51">
      <w:pPr>
        <w:widowControl w:val="0"/>
        <w:rPr>
          <w:rFonts w:cs="Arial"/>
          <w:b/>
        </w:rPr>
      </w:pPr>
      <w:r w:rsidRPr="003A4B56">
        <w:rPr>
          <w:rFonts w:cs="Arial"/>
          <w:b/>
        </w:rPr>
        <w:t>ii)</w:t>
      </w:r>
      <w:r w:rsidRPr="003A4B56">
        <w:rPr>
          <w:rFonts w:cs="Arial"/>
          <w:b/>
        </w:rPr>
        <w:tab/>
      </w:r>
      <w:r w:rsidR="000A1474" w:rsidRPr="003A4B56">
        <w:rPr>
          <w:rFonts w:cs="Arial"/>
          <w:b/>
        </w:rPr>
        <w:t>Análisis por Producto</w:t>
      </w:r>
    </w:p>
    <w:p w:rsidR="000A1474" w:rsidRPr="000D6AA1" w:rsidRDefault="000A1474" w:rsidP="00B51B51">
      <w:pPr>
        <w:widowControl w:val="0"/>
        <w:rPr>
          <w:sz w:val="12"/>
        </w:rPr>
      </w:pPr>
    </w:p>
    <w:p w:rsidR="000A1474" w:rsidRPr="003A4B56" w:rsidRDefault="000A1474" w:rsidP="00B51B51">
      <w:pPr>
        <w:widowControl w:val="0"/>
      </w:pPr>
      <w:r w:rsidRPr="003A4B56">
        <w:t xml:space="preserve">A continuación se presenta el análisis realizado para cada producto, cuyo objetivo es dar a conocer el comportamiento que ha tenido cada uno de ellos en las últimas temporadas, en donde se detallan antecedentes de superficie, producción, comercio exterior, situación en los acuerdos comerciales  y perspectivas futuras. </w:t>
      </w:r>
    </w:p>
    <w:p w:rsidR="000A1474" w:rsidRPr="000D6AA1" w:rsidRDefault="000A1474" w:rsidP="00B51B51">
      <w:pPr>
        <w:widowControl w:val="0"/>
        <w:rPr>
          <w:sz w:val="16"/>
        </w:rPr>
      </w:pPr>
    </w:p>
    <w:p w:rsidR="000A1474" w:rsidRPr="003A4B56" w:rsidRDefault="000A1474" w:rsidP="00145762">
      <w:pPr>
        <w:widowControl w:val="0"/>
        <w:numPr>
          <w:ilvl w:val="0"/>
          <w:numId w:val="7"/>
        </w:numPr>
        <w:tabs>
          <w:tab w:val="clear" w:pos="720"/>
        </w:tabs>
        <w:ind w:hanging="720"/>
      </w:pPr>
      <w:r w:rsidRPr="003A4B56">
        <w:t>Cultivos Anuales</w:t>
      </w:r>
    </w:p>
    <w:p w:rsidR="000A1474" w:rsidRPr="003A4B56" w:rsidRDefault="000A1474" w:rsidP="00B51B51">
      <w:pPr>
        <w:widowControl w:val="0"/>
      </w:pPr>
    </w:p>
    <w:p w:rsidR="000A1474" w:rsidRPr="003A4B56" w:rsidRDefault="00A24E25" w:rsidP="00B51B51">
      <w:pPr>
        <w:widowControl w:val="0"/>
      </w:pPr>
      <w:r w:rsidRPr="003A4B56">
        <w:t>-</w:t>
      </w:r>
      <w:r w:rsidRPr="003A4B56">
        <w:tab/>
      </w:r>
      <w:r w:rsidR="000A1474" w:rsidRPr="003A4B56">
        <w:t>Arroz</w:t>
      </w:r>
    </w:p>
    <w:p w:rsidR="000A1474" w:rsidRPr="000D6AA1" w:rsidRDefault="000A1474" w:rsidP="00B51B51">
      <w:pPr>
        <w:widowControl w:val="0"/>
        <w:rPr>
          <w:noProof/>
          <w:spacing w:val="-3"/>
          <w:sz w:val="16"/>
        </w:rPr>
      </w:pPr>
    </w:p>
    <w:p w:rsidR="000A1474" w:rsidRPr="003A4B56" w:rsidRDefault="000A1474" w:rsidP="00B51B51">
      <w:pPr>
        <w:widowControl w:val="0"/>
        <w:rPr>
          <w:noProof/>
        </w:rPr>
      </w:pPr>
      <w:r w:rsidRPr="003A4B56">
        <w:rPr>
          <w:noProof/>
        </w:rPr>
        <w:t xml:space="preserve">En Chile durante la década de 1990 la superficie destinada al cultivo del arroz ha fluctuado entre </w:t>
      </w:r>
      <w:smartTag w:uri="urn:schemas-microsoft-com:office:smarttags" w:element="metricconverter">
        <w:smartTagPr>
          <w:attr w:name="ProductID" w:val="33.930 hectáreas"/>
        </w:smartTagPr>
        <w:r w:rsidRPr="003A4B56">
          <w:rPr>
            <w:noProof/>
          </w:rPr>
          <w:t>33.930 hectáreas</w:t>
        </w:r>
      </w:smartTag>
      <w:r w:rsidRPr="003A4B56">
        <w:rPr>
          <w:noProof/>
        </w:rPr>
        <w:t xml:space="preserve"> en la temporada 1994/95 y </w:t>
      </w:r>
      <w:smartTag w:uri="urn:schemas-microsoft-com:office:smarttags" w:element="metricconverter">
        <w:smartTagPr>
          <w:attr w:name="ProductID" w:val="14.696 hectáreas"/>
        </w:smartTagPr>
        <w:r w:rsidRPr="003A4B56">
          <w:rPr>
            <w:noProof/>
          </w:rPr>
          <w:t>14.696 hectáreas</w:t>
        </w:r>
      </w:smartTag>
      <w:r w:rsidRPr="003A4B56">
        <w:rPr>
          <w:noProof/>
        </w:rPr>
        <w:t xml:space="preserve"> en 1998/99 (</w:t>
      </w:r>
      <w:r w:rsidRPr="003A4B56">
        <w:rPr>
          <w:noProof/>
        </w:rPr>
        <w:fldChar w:fldCharType="begin"/>
      </w:r>
      <w:r w:rsidRPr="003A4B56">
        <w:rPr>
          <w:noProof/>
        </w:rPr>
        <w:instrText xml:space="preserve"> REF _Ref336524943 \h </w:instrText>
      </w:r>
      <w:r w:rsidRPr="003A4B56">
        <w:rPr>
          <w:noProof/>
        </w:rPr>
      </w:r>
      <w:r w:rsidR="0006493D" w:rsidRPr="003A4B56">
        <w:rPr>
          <w:noProof/>
        </w:rPr>
        <w:instrText xml:space="preserve"> \* MERGEFORMAT </w:instrText>
      </w:r>
      <w:r w:rsidRPr="003A4B56">
        <w:rPr>
          <w:noProof/>
        </w:rPr>
        <w:fldChar w:fldCharType="separate"/>
      </w:r>
      <w:r w:rsidR="00264070" w:rsidRPr="003A4B56">
        <w:t xml:space="preserve">Tabla </w:t>
      </w:r>
      <w:r w:rsidR="00264070">
        <w:rPr>
          <w:noProof/>
        </w:rPr>
        <w:t>5.68</w:t>
      </w:r>
      <w:r w:rsidRPr="003A4B56">
        <w:rPr>
          <w:noProof/>
        </w:rPr>
        <w:fldChar w:fldCharType="end"/>
      </w:r>
      <w:r w:rsidRPr="003A4B56">
        <w:rPr>
          <w:noProof/>
        </w:rPr>
        <w:t xml:space="preserve">). Cabe destacar que la fuerte caída del área cultivada que tuvo lugar en 1998/99, se debió fundamentalmente a la sequía que afectó a las zonas productoras, ya que la superficie, en términos generales, ha fluctuado entre 21 mil y 30 mil hectáreas. </w:t>
      </w:r>
    </w:p>
    <w:p w:rsidR="000A1474" w:rsidRPr="003A4B56" w:rsidRDefault="000A1474" w:rsidP="00B51B51">
      <w:pPr>
        <w:widowControl w:val="0"/>
        <w:rPr>
          <w:noProof/>
          <w:spacing w:val="-3"/>
        </w:rPr>
      </w:pPr>
    </w:p>
    <w:p w:rsidR="000A1474" w:rsidRPr="003A4B56" w:rsidRDefault="000A1474" w:rsidP="00B51B51">
      <w:pPr>
        <w:pStyle w:val="Epgrafe"/>
        <w:widowControl w:val="0"/>
        <w:tabs>
          <w:tab w:val="left" w:pos="851"/>
          <w:tab w:val="left" w:pos="8789"/>
        </w:tabs>
      </w:pPr>
      <w:bookmarkStart w:id="286" w:name="_Ref336524943"/>
      <w:r w:rsidRPr="003A4B56">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68</w:t>
      </w:r>
      <w:r w:rsidR="007F3102">
        <w:fldChar w:fldCharType="end"/>
      </w:r>
      <w:bookmarkEnd w:id="286"/>
      <w:r w:rsidRPr="003A4B56">
        <w:t xml:space="preserve"> </w:t>
      </w:r>
    </w:p>
    <w:p w:rsidR="000A1474" w:rsidRPr="003A4B56" w:rsidRDefault="00254CE2" w:rsidP="00B51B51">
      <w:pPr>
        <w:pStyle w:val="Epgrafe"/>
        <w:widowControl w:val="0"/>
        <w:tabs>
          <w:tab w:val="left" w:pos="851"/>
          <w:tab w:val="left" w:pos="8789"/>
        </w:tabs>
        <w:rPr>
          <w:noProof/>
        </w:rPr>
      </w:pPr>
      <w:r>
        <w:rPr>
          <w:noProof/>
          <w:lang w:val="es-CL" w:eastAsia="es-CL"/>
        </w:rPr>
        <w:drawing>
          <wp:inline distT="0" distB="0" distL="0" distR="0">
            <wp:extent cx="2891790" cy="3572510"/>
            <wp:effectExtent l="0" t="0" r="3810" b="889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91790" cy="3572510"/>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1C71B3" w:rsidRDefault="001C71B3" w:rsidP="00B51B51">
      <w:pPr>
        <w:widowControl w:val="0"/>
        <w:rPr>
          <w:noProof/>
        </w:rPr>
      </w:pPr>
    </w:p>
    <w:p w:rsidR="001C71B3" w:rsidRPr="003A4B56" w:rsidRDefault="001C71B3" w:rsidP="00B51B51">
      <w:pPr>
        <w:widowControl w:val="0"/>
        <w:rPr>
          <w:noProof/>
        </w:rPr>
      </w:pPr>
      <w:r w:rsidRPr="003A4B56">
        <w:rPr>
          <w:noProof/>
        </w:rPr>
        <w:t xml:space="preserve">Este cereal se desarrolla principalmente entre </w:t>
      </w:r>
      <w:smartTag w:uri="urn:schemas-microsoft-com:office:smarttags" w:element="PersonName">
        <w:smartTagPr>
          <w:attr w:name="ProductID" w:val="la VI"/>
        </w:smartTagPr>
        <w:r w:rsidRPr="003A4B56">
          <w:rPr>
            <w:noProof/>
          </w:rPr>
          <w:t>la VI</w:t>
        </w:r>
      </w:smartTag>
      <w:r w:rsidRPr="003A4B56">
        <w:rPr>
          <w:noProof/>
        </w:rPr>
        <w:t xml:space="preserve"> y VIII Región del país y su distribución regional durante la década ha sido de un 60% a 75% en </w:t>
      </w:r>
      <w:smartTag w:uri="urn:schemas-microsoft-com:office:smarttags" w:element="PersonName">
        <w:smartTagPr>
          <w:attr w:name="ProductID" w:val="la VII Región"/>
        </w:smartTagPr>
        <w:r w:rsidRPr="003A4B56">
          <w:rPr>
            <w:noProof/>
          </w:rPr>
          <w:t>la VII Región</w:t>
        </w:r>
      </w:smartTag>
      <w:r w:rsidRPr="003A4B56">
        <w:rPr>
          <w:noProof/>
        </w:rPr>
        <w:t xml:space="preserve">, y las extremas concentran el 25% a 40% restante. Así, de acuerdo a los antecedentes recopilados del VII </w:t>
      </w:r>
      <w:r w:rsidRPr="003A4B56">
        <w:rPr>
          <w:noProof/>
        </w:rPr>
        <w:lastRenderedPageBreak/>
        <w:t xml:space="preserve">Censo Nacional Agropecuario realizado por INE, en 2006/07 en </w:t>
      </w:r>
      <w:smartTag w:uri="urn:schemas-microsoft-com:office:smarttags" w:element="PersonName">
        <w:smartTagPr>
          <w:attr w:name="ProductID" w:val="la VI Región"/>
        </w:smartTagPr>
        <w:r w:rsidRPr="003A4B56">
          <w:rPr>
            <w:noProof/>
          </w:rPr>
          <w:t>la VI Región</w:t>
        </w:r>
      </w:smartTag>
      <w:r w:rsidRPr="003A4B56">
        <w:rPr>
          <w:noProof/>
        </w:rPr>
        <w:t xml:space="preserve"> se cultivaron </w:t>
      </w:r>
      <w:smartTag w:uri="urn:schemas-microsoft-com:office:smarttags" w:element="metricconverter">
        <w:smartTagPr>
          <w:attr w:name="ProductID" w:val="1.262,5 hectáreas"/>
        </w:smartTagPr>
        <w:r w:rsidRPr="003A4B56">
          <w:rPr>
            <w:noProof/>
          </w:rPr>
          <w:t>1.262,5 hectáreas</w:t>
        </w:r>
      </w:smartTag>
      <w:r w:rsidRPr="003A4B56">
        <w:rPr>
          <w:noProof/>
        </w:rPr>
        <w:t>, concentradas en su totalidad en la provincia de Colchagua.</w:t>
      </w:r>
    </w:p>
    <w:p w:rsidR="001C71B3" w:rsidRPr="003A4B56" w:rsidRDefault="001C71B3" w:rsidP="00B51B51">
      <w:pPr>
        <w:widowControl w:val="0"/>
        <w:rPr>
          <w:noProof/>
          <w:spacing w:val="-3"/>
        </w:rPr>
      </w:pPr>
    </w:p>
    <w:p w:rsidR="000A1474" w:rsidRPr="003A4B56" w:rsidRDefault="000A1474" w:rsidP="00B51B51">
      <w:pPr>
        <w:widowControl w:val="0"/>
        <w:rPr>
          <w:noProof/>
        </w:rPr>
      </w:pPr>
      <w:r w:rsidRPr="003A4B56">
        <w:rPr>
          <w:noProof/>
        </w:rPr>
        <w:t xml:space="preserve">La oferta nacional de arroz ha variado en función de la superficie sembrada y de los rendimientos obtenidos. Estos últimos, expresados en arroz paddy, han fluctuado entre 57,9 quintales por ha en 2007/08 y 39,1 qqm/ha obtenidos en el período 1996/97. De esta manera, la producción se ha movido entre 160 mil toneladas cosechadas en 2005/06 y 61 mil toneladas de arroz paddy en 1998/99, equivalentes a cerca de 40 mil toneladas de arroz elaborado.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En este contexto, es interesante señalar que actualmente el consumo de arroz elaborado en Chile no alcanza a ser cubierto con la producción interna y, por lo tanto, se debe recurrir a las importaciones. El principal producto internado corresponde al arroz blanqueado o semiblanqueado, cuyas adquisiciones en el exterior se presentan en </w:t>
      </w:r>
      <w:smartTag w:uri="urn:schemas-microsoft-com:office:smarttags" w:element="PersonName">
        <w:smartTagPr>
          <w:attr w:name="ProductID" w:val="la ￼￼￼￼￼￼￼￼￼￼￼￼￼￼￼￼￼￼￼￼￼￼￼￼￼Figura"/>
        </w:smartTagPr>
        <w:r w:rsidRPr="003A4B56">
          <w:rPr>
            <w:noProof/>
          </w:rPr>
          <w:t xml:space="preserve">la </w:t>
        </w:r>
        <w:r w:rsidRPr="003A4B56">
          <w:rPr>
            <w:noProof/>
          </w:rPr>
          <w:fldChar w:fldCharType="begin"/>
        </w:r>
        <w:r w:rsidRPr="003A4B56">
          <w:rPr>
            <w:noProof/>
          </w:rPr>
          <w:instrText xml:space="preserve"> REF _Ref336525936 \h </w:instrText>
        </w:r>
        <w:r w:rsidRPr="003A4B56">
          <w:rPr>
            <w:noProof/>
          </w:rPr>
        </w:r>
        <w:r w:rsidR="0006493D" w:rsidRPr="003A4B56">
          <w:rPr>
            <w:noProof/>
          </w:rPr>
          <w:instrText xml:space="preserve"> \* MERGEFORMAT </w:instrText>
        </w:r>
        <w:r w:rsidRPr="003A4B56">
          <w:rPr>
            <w:noProof/>
          </w:rPr>
          <w:fldChar w:fldCharType="separate"/>
        </w:r>
        <w:r w:rsidR="00264070" w:rsidRPr="003A4B56">
          <w:t>Figura</w:t>
        </w:r>
      </w:smartTag>
      <w:r w:rsidR="00264070" w:rsidRPr="003A4B56">
        <w:t xml:space="preserve"> </w:t>
      </w:r>
      <w:r w:rsidR="00264070">
        <w:rPr>
          <w:noProof/>
        </w:rPr>
        <w:t>5.3</w:t>
      </w:r>
      <w:r w:rsidRPr="003A4B56">
        <w:rPr>
          <w:noProof/>
        </w:rPr>
        <w:fldChar w:fldCharType="end"/>
      </w:r>
      <w:r w:rsidRPr="003A4B56">
        <w:rPr>
          <w:noProof/>
        </w:rPr>
        <w:t>.</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De </w:t>
      </w:r>
      <w:smartTag w:uri="urn:schemas-microsoft-com:office:smarttags" w:element="PersonName">
        <w:smartTagPr>
          <w:attr w:name="ProductID" w:val="la ￼￼￼￼￼￼￼￼￼￼￼￼￼￼￼￼￼￼￼￼￼￼￼￼￼Figura"/>
        </w:smartTagPr>
        <w:r w:rsidRPr="003A4B56">
          <w:rPr>
            <w:noProof/>
          </w:rPr>
          <w:t xml:space="preserve">la </w:t>
        </w:r>
        <w:r w:rsidRPr="003A4B56">
          <w:rPr>
            <w:noProof/>
          </w:rPr>
          <w:fldChar w:fldCharType="begin"/>
        </w:r>
        <w:r w:rsidRPr="003A4B56">
          <w:rPr>
            <w:noProof/>
          </w:rPr>
          <w:instrText xml:space="preserve"> REF _Ref336525936 \h </w:instrText>
        </w:r>
        <w:r w:rsidRPr="003A4B56">
          <w:rPr>
            <w:noProof/>
          </w:rPr>
        </w:r>
        <w:r w:rsidR="0006493D" w:rsidRPr="003A4B56">
          <w:rPr>
            <w:noProof/>
          </w:rPr>
          <w:instrText xml:space="preserve"> \* MERGEFORMAT </w:instrText>
        </w:r>
        <w:r w:rsidRPr="003A4B56">
          <w:rPr>
            <w:noProof/>
          </w:rPr>
          <w:fldChar w:fldCharType="separate"/>
        </w:r>
        <w:r w:rsidR="00264070" w:rsidRPr="003A4B56">
          <w:t>Figura</w:t>
        </w:r>
      </w:smartTag>
      <w:r w:rsidR="00264070" w:rsidRPr="003A4B56">
        <w:t xml:space="preserve"> </w:t>
      </w:r>
      <w:r w:rsidR="00264070">
        <w:rPr>
          <w:noProof/>
        </w:rPr>
        <w:t>5.3</w:t>
      </w:r>
      <w:r w:rsidRPr="003A4B56">
        <w:rPr>
          <w:noProof/>
        </w:rPr>
        <w:fldChar w:fldCharType="end"/>
      </w:r>
      <w:r w:rsidRPr="003A4B56">
        <w:rPr>
          <w:noProof/>
        </w:rPr>
        <w:t xml:space="preserve"> de desprende que entre 1990 y 2011 las importaciones de arroz blanqueado o semiblanqueado han fluctuado significativamente, constatándose el volumen más bajo en 1992 (algo más de 19 mil toneladas) y él más elevado en 2003 con casi 103 mil toneladas, equivalentes a US$24,9 millones CIF. </w:t>
      </w:r>
    </w:p>
    <w:p w:rsidR="000A1474" w:rsidRPr="003A4B56" w:rsidRDefault="000A1474" w:rsidP="00B51B51">
      <w:pPr>
        <w:widowControl w:val="0"/>
        <w:rPr>
          <w:noProof/>
        </w:rPr>
      </w:pPr>
    </w:p>
    <w:p w:rsidR="000A1474" w:rsidRPr="003A4B56" w:rsidRDefault="000A1474" w:rsidP="00B51B51">
      <w:pPr>
        <w:pStyle w:val="Epgrafe"/>
        <w:widowControl w:val="0"/>
        <w:tabs>
          <w:tab w:val="left" w:pos="851"/>
          <w:tab w:val="left" w:pos="1276"/>
          <w:tab w:val="left" w:pos="8789"/>
        </w:tabs>
      </w:pPr>
      <w:bookmarkStart w:id="287" w:name="_Ref336525936"/>
      <w:r w:rsidRPr="003A4B56">
        <w:t xml:space="preserve">Figura </w:t>
      </w:r>
      <w:r w:rsidR="00951FEC">
        <w:fldChar w:fldCharType="begin"/>
      </w:r>
      <w:r w:rsidR="00951FEC">
        <w:instrText xml:space="preserve"> STYLEREF 1 \s </w:instrText>
      </w:r>
      <w:r w:rsidR="00951FEC">
        <w:fldChar w:fldCharType="separate"/>
      </w:r>
      <w:r w:rsidR="00264070">
        <w:rPr>
          <w:noProof/>
        </w:rPr>
        <w:t>5</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w:t>
      </w:r>
      <w:r w:rsidR="00951FEC">
        <w:fldChar w:fldCharType="end"/>
      </w:r>
      <w:bookmarkEnd w:id="287"/>
      <w:r w:rsidRPr="003A4B56">
        <w:t xml:space="preserve"> </w:t>
      </w:r>
    </w:p>
    <w:p w:rsidR="000A1474" w:rsidRPr="003A4B56" w:rsidRDefault="00254CE2" w:rsidP="00B51B51">
      <w:pPr>
        <w:pStyle w:val="Epgrafe"/>
        <w:widowControl w:val="0"/>
        <w:tabs>
          <w:tab w:val="left" w:pos="851"/>
          <w:tab w:val="left" w:pos="1276"/>
          <w:tab w:val="left" w:pos="8789"/>
        </w:tabs>
        <w:rPr>
          <w:noProof/>
          <w:sz w:val="20"/>
          <w:szCs w:val="20"/>
        </w:rPr>
      </w:pPr>
      <w:r>
        <w:rPr>
          <w:noProof/>
          <w:lang w:val="es-CL" w:eastAsia="es-CL"/>
        </w:rPr>
        <w:drawing>
          <wp:inline distT="0" distB="0" distL="0" distR="0">
            <wp:extent cx="4688840" cy="208407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8840" cy="2084070"/>
                    </a:xfrm>
                    <a:prstGeom prst="rect">
                      <a:avLst/>
                    </a:prstGeom>
                    <a:noFill/>
                    <a:ln>
                      <a:noFill/>
                    </a:ln>
                  </pic:spPr>
                </pic:pic>
              </a:graphicData>
            </a:graphic>
          </wp:inline>
        </w:drawing>
      </w:r>
    </w:p>
    <w:p w:rsidR="000A1474" w:rsidRPr="003A4B56" w:rsidRDefault="000A1474" w:rsidP="00B51B51">
      <w:pPr>
        <w:pStyle w:val="Epgrafe"/>
        <w:widowControl w:val="0"/>
        <w:tabs>
          <w:tab w:val="left" w:pos="851"/>
          <w:tab w:val="left" w:pos="1276"/>
          <w:tab w:val="left" w:pos="8789"/>
        </w:tabs>
        <w:rPr>
          <w:noProof/>
          <w:sz w:val="20"/>
          <w:szCs w:val="20"/>
        </w:rPr>
      </w:pPr>
      <w:r w:rsidRPr="003A4B56">
        <w:rPr>
          <w:noProof/>
          <w:sz w:val="20"/>
          <w:szCs w:val="20"/>
        </w:rPr>
        <w:t>Fuente: Elaboración propia, en base a antecedentes de ODEPA</w:t>
      </w:r>
    </w:p>
    <w:p w:rsidR="000A1474" w:rsidRPr="003A4B56" w:rsidRDefault="000A1474" w:rsidP="00B51B51">
      <w:pPr>
        <w:widowControl w:val="0"/>
        <w:tabs>
          <w:tab w:val="left" w:pos="-720"/>
          <w:tab w:val="left" w:pos="851"/>
          <w:tab w:val="left" w:pos="8789"/>
        </w:tabs>
        <w:ind w:right="49"/>
        <w:rPr>
          <w:rFonts w:cs="Arial"/>
          <w:noProof/>
          <w:spacing w:val="-3"/>
        </w:rPr>
      </w:pPr>
    </w:p>
    <w:p w:rsidR="000A1474" w:rsidRPr="003A4B56" w:rsidRDefault="000A1474" w:rsidP="00B51B51">
      <w:pPr>
        <w:widowControl w:val="0"/>
        <w:rPr>
          <w:noProof/>
        </w:rPr>
      </w:pPr>
      <w:r w:rsidRPr="003A4B56">
        <w:rPr>
          <w:noProof/>
        </w:rPr>
        <w:t>Durante el año 2011 las adquisiciones fueron del orden de 84 mil toneladas por un valor de casi US$46,7 millones CIF. El principal proveedor fue Argentina con el 63% de los envíos, seguido por Paraguay, Brasil, Uruguay, Tailandia y Estados Unidos,   entre otros.</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En igual período (1990-2011), las importaciones de arroz partido han mostrado importantes fluctuaciones, pero con una tendencia alcista, como se aprecia en </w:t>
      </w:r>
      <w:smartTag w:uri="urn:schemas-microsoft-com:office:smarttags" w:element="PersonName">
        <w:smartTagPr>
          <w:attr w:name="ProductID" w:val="la ￼￼￼￼￼￼￼￼￼￼￼￼￼￼￼￼￼￼￼￼￼￼￼￼￼Figura"/>
        </w:smartTagPr>
        <w:r w:rsidRPr="003A4B56">
          <w:rPr>
            <w:noProof/>
          </w:rPr>
          <w:t xml:space="preserve">la </w:t>
        </w:r>
        <w:r w:rsidRPr="003A4B56">
          <w:rPr>
            <w:noProof/>
          </w:rPr>
          <w:fldChar w:fldCharType="begin"/>
        </w:r>
        <w:r w:rsidRPr="003A4B56">
          <w:rPr>
            <w:noProof/>
          </w:rPr>
          <w:instrText xml:space="preserve"> REF _Ref336525973 \h </w:instrText>
        </w:r>
        <w:r w:rsidRPr="003A4B56">
          <w:rPr>
            <w:noProof/>
          </w:rPr>
        </w:r>
        <w:r w:rsidRPr="003A4B56">
          <w:rPr>
            <w:noProof/>
          </w:rPr>
          <w:instrText xml:space="preserve"> \* MERGEFORMAT </w:instrText>
        </w:r>
        <w:r w:rsidRPr="003A4B56">
          <w:rPr>
            <w:noProof/>
          </w:rPr>
          <w:fldChar w:fldCharType="separate"/>
        </w:r>
        <w:r w:rsidR="00264070" w:rsidRPr="003A4B56">
          <w:t>Figura</w:t>
        </w:r>
      </w:smartTag>
      <w:r w:rsidR="00264070" w:rsidRPr="003A4B56">
        <w:t xml:space="preserve"> </w:t>
      </w:r>
      <w:r w:rsidR="00264070">
        <w:rPr>
          <w:noProof/>
        </w:rPr>
        <w:t>5.4</w:t>
      </w:r>
      <w:r w:rsidRPr="003A4B56">
        <w:rPr>
          <w:noProof/>
        </w:rPr>
        <w:fldChar w:fldCharType="end"/>
      </w:r>
      <w:r w:rsidRPr="003A4B56">
        <w:rPr>
          <w:noProof/>
        </w:rPr>
        <w:t>.</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En 2011 las internaciones de arroz partido totalizaron un volumen de casi 24 mil toneladas, monto equivalente a US$10,5 millones CIF.  Los países proveedores en orden de importacia fueron Argentina, Paraguay, Brasil y Uruguay. Otros tipos de arroz que se importan, pero en cantidades mínimas,  son el descacarillado y con cáscara.</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En este contexto, cabe señalar que en años anteriores Vietnam había liderado las importaciones chilenas, pero en los últimos años Argentina se ha posicionado como el principal oferente. </w:t>
      </w:r>
    </w:p>
    <w:p w:rsidR="000A1474" w:rsidRPr="003A4B56" w:rsidRDefault="000A1474" w:rsidP="00B51B51">
      <w:pPr>
        <w:widowControl w:val="0"/>
        <w:rPr>
          <w:noProof/>
        </w:rPr>
      </w:pPr>
      <w:r w:rsidRPr="003A4B56">
        <w:rPr>
          <w:noProof/>
        </w:rPr>
        <w:lastRenderedPageBreak/>
        <w:t xml:space="preserve">En el marco de las negociaciones del MERCOSUR el arroz quedó en la lista de excepción, lo que significa que las importaciones ingresan con arancel 0 sólo a partir del año 2011, aunque se debe tener presente que con anterioridad se habían establecido cupos libres de arancel.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Las internaciones procedentes de Tailandia, si bien pagan el arancel vigente en Chile, se trata del producto de menor precio respecto de las otras procedencias, lo que representa una gran ventaja para los molinos. En el tratado suscrito con Estados Unidos, las internaciones de arroz provenientes de ese nicho comercial dejarán de pagar el arancel vigente en Chile sólo a partir del año 12 de vigencia del acuerdo, esto es en 2016, la desgravación a</w:t>
      </w:r>
      <w:r w:rsidR="00EC64DA">
        <w:rPr>
          <w:noProof/>
        </w:rPr>
        <w:t>nual será igual todos los años.</w:t>
      </w:r>
      <w:r w:rsidRPr="003A4B56">
        <w:rPr>
          <w:noProof/>
        </w:rPr>
        <w:t xml:space="preserve"> En el acuerdo con China, este cereal continuará pagando el arancel vigente en Chile.</w:t>
      </w:r>
    </w:p>
    <w:p w:rsidR="000A1474" w:rsidRPr="003B0BE3" w:rsidRDefault="000A1474" w:rsidP="00B51B51">
      <w:pPr>
        <w:widowControl w:val="0"/>
        <w:rPr>
          <w:b/>
          <w:bCs/>
          <w:noProof/>
          <w:sz w:val="30"/>
        </w:rPr>
      </w:pPr>
    </w:p>
    <w:p w:rsidR="000A1474" w:rsidRPr="003A4B56" w:rsidRDefault="000A1474" w:rsidP="00B51B51">
      <w:pPr>
        <w:pStyle w:val="Epgrafe"/>
        <w:widowControl w:val="0"/>
        <w:tabs>
          <w:tab w:val="left" w:pos="851"/>
          <w:tab w:val="left" w:pos="8789"/>
        </w:tabs>
      </w:pPr>
      <w:bookmarkStart w:id="288" w:name="_Ref336525973"/>
      <w:r w:rsidRPr="003A4B56">
        <w:t xml:space="preserve">Figura </w:t>
      </w:r>
      <w:r w:rsidR="00951FEC">
        <w:fldChar w:fldCharType="begin"/>
      </w:r>
      <w:r w:rsidR="00951FEC">
        <w:instrText xml:space="preserve"> STYLEREF 1 \s </w:instrText>
      </w:r>
      <w:r w:rsidR="00951FEC">
        <w:fldChar w:fldCharType="separate"/>
      </w:r>
      <w:r w:rsidR="00264070">
        <w:rPr>
          <w:noProof/>
        </w:rPr>
        <w:t>5</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4</w:t>
      </w:r>
      <w:r w:rsidR="00951FEC">
        <w:fldChar w:fldCharType="end"/>
      </w:r>
      <w:bookmarkEnd w:id="288"/>
      <w:r w:rsidRPr="003A4B56">
        <w:t xml:space="preserve"> </w:t>
      </w:r>
    </w:p>
    <w:p w:rsidR="000A1474" w:rsidRPr="003A4B56" w:rsidRDefault="00254CE2" w:rsidP="00B51B51">
      <w:pPr>
        <w:pStyle w:val="Epgrafe"/>
        <w:widowControl w:val="0"/>
        <w:tabs>
          <w:tab w:val="left" w:pos="851"/>
          <w:tab w:val="left" w:pos="8789"/>
        </w:tabs>
        <w:rPr>
          <w:noProof/>
          <w:sz w:val="20"/>
          <w:szCs w:val="20"/>
        </w:rPr>
      </w:pPr>
      <w:r>
        <w:rPr>
          <w:noProof/>
          <w:lang w:val="es-CL" w:eastAsia="es-CL"/>
        </w:rPr>
        <w:drawing>
          <wp:inline distT="0" distB="0" distL="0" distR="0">
            <wp:extent cx="4731385" cy="2052320"/>
            <wp:effectExtent l="0" t="0" r="0" b="508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31385" cy="2052320"/>
                    </a:xfrm>
                    <a:prstGeom prst="rect">
                      <a:avLst/>
                    </a:prstGeom>
                    <a:noFill/>
                    <a:ln>
                      <a:noFill/>
                    </a:ln>
                  </pic:spPr>
                </pic:pic>
              </a:graphicData>
            </a:graphic>
          </wp:inline>
        </w:drawing>
      </w:r>
    </w:p>
    <w:p w:rsidR="000A1474" w:rsidRPr="003A4B56" w:rsidRDefault="000A1474" w:rsidP="00B51B51">
      <w:pPr>
        <w:pStyle w:val="Epgrafe"/>
        <w:widowControl w:val="0"/>
        <w:tabs>
          <w:tab w:val="left" w:pos="540"/>
          <w:tab w:val="left" w:pos="1276"/>
          <w:tab w:val="left" w:pos="8789"/>
        </w:tabs>
        <w:rPr>
          <w:noProof/>
          <w:sz w:val="20"/>
          <w:szCs w:val="20"/>
        </w:rPr>
      </w:pPr>
      <w:r w:rsidRPr="003A4B56">
        <w:rPr>
          <w:noProof/>
          <w:sz w:val="20"/>
          <w:szCs w:val="20"/>
        </w:rPr>
        <w:t>Fuente: Elaboración propia, en base a antecedentes de ODEPA</w:t>
      </w:r>
    </w:p>
    <w:p w:rsidR="000A1474" w:rsidRPr="003B0BE3" w:rsidRDefault="000A1474" w:rsidP="00B51B51">
      <w:pPr>
        <w:widowControl w:val="0"/>
        <w:rPr>
          <w:noProof/>
          <w:sz w:val="30"/>
        </w:rPr>
      </w:pPr>
    </w:p>
    <w:p w:rsidR="000A1474" w:rsidRPr="003A4B56" w:rsidRDefault="000A1474" w:rsidP="00B51B51">
      <w:pPr>
        <w:widowControl w:val="0"/>
        <w:rPr>
          <w:noProof/>
        </w:rPr>
      </w:pPr>
      <w:r w:rsidRPr="003A4B56">
        <w:rPr>
          <w:noProof/>
        </w:rPr>
        <w:t>Lo anterior, induce a pensar que en los próximos años las perspectivas para el cultivo del arroz serán, en materia de precios, más ajustadas que las actuales, por cuanto Tailandia, Argentina y Uruguay presentan ventajas comparativas en la producción respecto de la realidad chilena. Además, es preciso indicar que como consecuencia de la devaluación de la moneda chilena, las exportaciones del país trasandino deberían tornarse más competitivas respecto del producto chileno.</w:t>
      </w:r>
    </w:p>
    <w:p w:rsidR="000A1474" w:rsidRPr="003A4B56" w:rsidRDefault="000A1474" w:rsidP="00B51B51">
      <w:pPr>
        <w:widowControl w:val="0"/>
        <w:rPr>
          <w:noProof/>
        </w:rPr>
      </w:pPr>
      <w:r w:rsidRPr="003A4B56">
        <w:rPr>
          <w:noProof/>
        </w:rPr>
        <w:t xml:space="preserve"> </w:t>
      </w:r>
    </w:p>
    <w:p w:rsidR="000A1474" w:rsidRPr="003A4B56" w:rsidRDefault="000A1474" w:rsidP="00B51B51">
      <w:pPr>
        <w:widowControl w:val="0"/>
        <w:rPr>
          <w:noProof/>
        </w:rPr>
      </w:pPr>
      <w:r w:rsidRPr="003A4B56">
        <w:rPr>
          <w:noProof/>
        </w:rPr>
        <w:t xml:space="preserve">En el mercado nacional, la comercialización del arroz paddy se realiza entre abril y julio de cada año. Los principales canales de comercialización son: molinos industriales, que recepcionan del orden de 65% del volumen total cosechado; los molinos locales pequeños, que absorben alrededor del 15% y, el 20% restante, es adquirido directamente en el predio por comerciantes y corredores, que luego lo venden a las industrias.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Este último canal, es el más utilizado por los pequeños productores ubicados lejos de los centros compradores, lo que determina reducciones en el precio que reciben. Otro aspecto que afecta su capacidad negociadora es que el arroz se cosecha con un alto grado de humedad y dado que la infraestructura de secado a nivel predial es escasa, los productores deben entregar rápidamente el grano a los molinos. </w:t>
      </w:r>
    </w:p>
    <w:p w:rsidR="000A1474" w:rsidRPr="003A4B56" w:rsidRDefault="000A1474" w:rsidP="00B51B51">
      <w:pPr>
        <w:widowControl w:val="0"/>
        <w:rPr>
          <w:noProof/>
          <w:szCs w:val="22"/>
        </w:rPr>
      </w:pPr>
    </w:p>
    <w:p w:rsidR="000A1474" w:rsidRDefault="000A1474" w:rsidP="00B51B51">
      <w:pPr>
        <w:widowControl w:val="0"/>
        <w:rPr>
          <w:noProof/>
        </w:rPr>
      </w:pPr>
      <w:r w:rsidRPr="003A4B56">
        <w:rPr>
          <w:noProof/>
        </w:rPr>
        <w:t xml:space="preserve">En este ámbito cabe consignar que la industria molinera fija el precio para el período de cosecha según el costo de importación del arroz elaborado grano largo fino procedente de Argentina, cifra que ODEPA está publicando períodicamente en su página Web con los valores </w:t>
      </w:r>
      <w:r w:rsidRPr="003A4B56">
        <w:rPr>
          <w:noProof/>
        </w:rPr>
        <w:lastRenderedPageBreak/>
        <w:t>informados por las mayores industrias importadoras del país. Esta metodología contribuye a dar mayor transparencia al mercado del arroz.</w:t>
      </w:r>
    </w:p>
    <w:p w:rsidR="001C71B3" w:rsidRPr="003A4B56" w:rsidRDefault="001C71B3" w:rsidP="00B51B51">
      <w:pPr>
        <w:widowControl w:val="0"/>
        <w:rPr>
          <w:noProof/>
        </w:rPr>
      </w:pPr>
    </w:p>
    <w:p w:rsidR="000A1474" w:rsidRPr="003A4B56" w:rsidRDefault="000A1474" w:rsidP="00B51B51">
      <w:pPr>
        <w:widowControl w:val="0"/>
        <w:rPr>
          <w:noProof/>
        </w:rPr>
      </w:pPr>
      <w:r w:rsidRPr="003A4B56">
        <w:rPr>
          <w:noProof/>
        </w:rPr>
        <w:t xml:space="preserve">Cabe señalar que la rotulación en los envases ha permitido diferenciar el producto nacional del importado. En efecto, esta normativa apunta a diferenciar el arroz ya no sólo por grado o porcentaje de grano partido, sino que además por tipo. En efecto, se debe tener presente que arroz importado de grano largo fino es de menor calidad que el tipo largo ancho cultivado en Chile. En los mercados externos, el precio de uno y otro son muy diferentes, con diferencias de hasta 40%.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De esta manera, la rotulación de los envases, especificando calidad y procedencia del producto, da mayor transparencia al mercado, al entregar al consumidor la decisión de pagar más o menos por un producto de mayor o menor calidad. </w:t>
      </w:r>
    </w:p>
    <w:p w:rsidR="000A1474" w:rsidRPr="003A4B56" w:rsidRDefault="000A1474" w:rsidP="00B51B51">
      <w:pPr>
        <w:widowControl w:val="0"/>
      </w:pPr>
    </w:p>
    <w:p w:rsidR="000A1474" w:rsidRPr="003A4B56" w:rsidRDefault="00A24E25" w:rsidP="00B51B51">
      <w:pPr>
        <w:widowControl w:val="0"/>
      </w:pPr>
      <w:r w:rsidRPr="003A4B56">
        <w:t>-</w:t>
      </w:r>
      <w:r w:rsidRPr="003A4B56">
        <w:tab/>
      </w:r>
      <w:r w:rsidR="000A1474" w:rsidRPr="003A4B56">
        <w:t>Maíz Grano</w:t>
      </w:r>
    </w:p>
    <w:p w:rsidR="000A1474" w:rsidRPr="003A4B56" w:rsidRDefault="000A1474" w:rsidP="00B51B51">
      <w:pPr>
        <w:widowControl w:val="0"/>
      </w:pPr>
    </w:p>
    <w:p w:rsidR="000A1474" w:rsidRPr="003A4B56" w:rsidRDefault="000A1474" w:rsidP="00B51B51">
      <w:pPr>
        <w:widowControl w:val="0"/>
      </w:pPr>
      <w:r w:rsidRPr="003A4B56">
        <w:t xml:space="preserve">El cultivo del maíz en Chile se distribuye desde </w:t>
      </w:r>
      <w:smartTag w:uri="urn:schemas-microsoft-com:office:smarttags" w:element="PersonName">
        <w:smartTagPr>
          <w:attr w:name="ProductID" w:val="la III"/>
        </w:smartTagPr>
        <w:r w:rsidRPr="003A4B56">
          <w:t>la III</w:t>
        </w:r>
      </w:smartTag>
      <w:r w:rsidRPr="003A4B56">
        <w:t xml:space="preserve"> a </w:t>
      </w:r>
      <w:smartTag w:uri="urn:schemas-microsoft-com:office:smarttags" w:element="PersonName">
        <w:smartTagPr>
          <w:attr w:name="ProductID" w:val="la IX Región"/>
        </w:smartTagPr>
        <w:r w:rsidRPr="003A4B56">
          <w:t>la IX Región</w:t>
        </w:r>
      </w:smartTag>
      <w:r w:rsidRPr="003A4B56">
        <w:t xml:space="preserve">, pero se concentra fundamentalmente entre </w:t>
      </w:r>
      <w:smartTag w:uri="urn:schemas-microsoft-com:office:smarttags" w:element="PersonName">
        <w:smartTagPr>
          <w:attr w:name="ProductID" w:val="la Región Metropolitana"/>
        </w:smartTagPr>
        <w:r w:rsidRPr="003A4B56">
          <w:t>la Región Metropolitana</w:t>
        </w:r>
      </w:smartTag>
      <w:r w:rsidRPr="003A4B56">
        <w:t xml:space="preserve"> y </w:t>
      </w:r>
      <w:smartTag w:uri="urn:schemas-microsoft-com:office:smarttags" w:element="PersonName">
        <w:smartTagPr>
          <w:attr w:name="ProductID" w:val="la VII"/>
        </w:smartTagPr>
        <w:r w:rsidRPr="003A4B56">
          <w:t>la VII</w:t>
        </w:r>
      </w:smartTag>
      <w:r w:rsidRPr="003A4B56">
        <w:t xml:space="preserve">, alcanzando la mayor superficie en </w:t>
      </w:r>
      <w:smartTag w:uri="urn:schemas-microsoft-com:office:smarttags" w:element="PersonName">
        <w:smartTagPr>
          <w:attr w:name="ProductID" w:val="la VI Región."/>
        </w:smartTagPr>
        <w:r w:rsidRPr="003A4B56">
          <w:t>la VI Región.</w:t>
        </w:r>
      </w:smartTag>
      <w:r w:rsidRPr="003A4B56">
        <w:t xml:space="preserve">  En la temporada 2006/07 </w:t>
      </w:r>
      <w:smartTag w:uri="urn:schemas-microsoft-com:office:smarttags" w:element="PersonName">
        <w:smartTagPr>
          <w:attr w:name="ProductID" w:val="la VI Región"/>
        </w:smartTagPr>
        <w:r w:rsidRPr="003A4B56">
          <w:t>la VI Región</w:t>
        </w:r>
      </w:smartTag>
      <w:r w:rsidRPr="003A4B56">
        <w:t xml:space="preserve"> participó con el 45,7% del total nacional, con </w:t>
      </w:r>
      <w:smartTag w:uri="urn:schemas-microsoft-com:office:smarttags" w:element="metricconverter">
        <w:smartTagPr>
          <w:attr w:name="ProductID" w:val="47.244,8 ha"/>
        </w:smartTagPr>
        <w:r w:rsidRPr="003A4B56">
          <w:t>47.244,8 ha</w:t>
        </w:r>
      </w:smartTag>
      <w:r w:rsidRPr="003A4B56">
        <w:t xml:space="preserve">, distribuidas en 55,7% en la provincia de Cachapoal; 43,7% en Colchagua y el 0,6% restante en la correspondiente a Cardenal Caro. </w:t>
      </w:r>
    </w:p>
    <w:p w:rsidR="000A1474" w:rsidRPr="003A4B56" w:rsidRDefault="000A1474" w:rsidP="00B51B51">
      <w:pPr>
        <w:widowControl w:val="0"/>
        <w:rPr>
          <w:noProof/>
        </w:rPr>
      </w:pPr>
    </w:p>
    <w:p w:rsidR="000A1474" w:rsidRPr="003A4B56" w:rsidRDefault="000A1474" w:rsidP="00B51B51">
      <w:pPr>
        <w:widowControl w:val="0"/>
        <w:rPr>
          <w:noProof/>
        </w:rPr>
      </w:pPr>
      <w:r w:rsidRPr="003A4B56">
        <w:t xml:space="preserve">En el ámbito nacional, el área dedicada a este cereal ha fluctuado significativamente en el transcurso de las últimas veintidós temporadas agrícolas, anotando la mayor superficie en 2007/08 con </w:t>
      </w:r>
      <w:smartTag w:uri="urn:schemas-microsoft-com:office:smarttags" w:element="metricconverter">
        <w:smartTagPr>
          <w:attr w:name="ProductID" w:val="134.706 ha"/>
        </w:smartTagPr>
        <w:r w:rsidRPr="003A4B56">
          <w:t>134.706 ha</w:t>
        </w:r>
      </w:smartTag>
      <w:r w:rsidRPr="003A4B56">
        <w:t xml:space="preserve"> y la menor en 1999/2000 con </w:t>
      </w:r>
      <w:smartTag w:uri="urn:schemas-microsoft-com:office:smarttags" w:element="metricconverter">
        <w:smartTagPr>
          <w:attr w:name="ProductID" w:val="69.275 ha"/>
        </w:smartTagPr>
        <w:r w:rsidRPr="003A4B56">
          <w:t>69.275 ha</w:t>
        </w:r>
      </w:smartTag>
      <w:r w:rsidRPr="003A4B56">
        <w:t xml:space="preserve"> (</w:t>
      </w:r>
      <w:r w:rsidRPr="003A4B56">
        <w:fldChar w:fldCharType="begin"/>
      </w:r>
      <w:r w:rsidRPr="003A4B56">
        <w:instrText xml:space="preserve"> REF _Ref336528700 \h </w:instrText>
      </w:r>
      <w:r w:rsidRPr="003A4B56">
        <w:instrText xml:space="preserve"> \* MERGEFORMAT </w:instrText>
      </w:r>
      <w:r w:rsidRPr="003A4B56">
        <w:fldChar w:fldCharType="separate"/>
      </w:r>
      <w:r w:rsidR="00264070" w:rsidRPr="00264070">
        <w:t xml:space="preserve">Tabla </w:t>
      </w:r>
      <w:r w:rsidR="00264070" w:rsidRPr="00264070">
        <w:rPr>
          <w:noProof/>
        </w:rPr>
        <w:t>5.69</w:t>
      </w:r>
      <w:r w:rsidRPr="003A4B56">
        <w:fldChar w:fldCharType="end"/>
      </w:r>
      <w:r w:rsidRPr="003A4B56">
        <w:t xml:space="preserve">). </w:t>
      </w:r>
    </w:p>
    <w:p w:rsidR="000A1474" w:rsidRPr="003A4B56" w:rsidRDefault="000A1474" w:rsidP="00B51B51">
      <w:pPr>
        <w:widowControl w:val="0"/>
        <w:rPr>
          <w:noProof/>
        </w:rPr>
      </w:pPr>
    </w:p>
    <w:p w:rsidR="000A1474" w:rsidRPr="003A4B56" w:rsidRDefault="000A1474" w:rsidP="00B51B51">
      <w:pPr>
        <w:widowControl w:val="0"/>
        <w:rPr>
          <w:noProof/>
        </w:rPr>
      </w:pPr>
      <w:r w:rsidRPr="003A4B56">
        <w:t>No obstante, la producción ha experimentado una evolución diferente a la de la superficie, puesto que los rendimientos se han incrementado sustancialmente, pasando de 81,4 qqm/ha en 1989/90 a 124 qqm/ha en 2006/07. Este crecimiento ha sido consecuencia de la adopción de nuevas tecnologías de cultivo que elevaron considerablemente la productividad; posteriormente, éstos si bien descendieron, se han mantenido por sobre los 100 qqm/ha.</w:t>
      </w:r>
    </w:p>
    <w:p w:rsidR="000A1474" w:rsidRPr="003A4B56" w:rsidRDefault="000A1474" w:rsidP="00B51B51">
      <w:pPr>
        <w:widowControl w:val="0"/>
        <w:rPr>
          <w:noProof/>
          <w:szCs w:val="22"/>
        </w:rPr>
      </w:pPr>
    </w:p>
    <w:p w:rsidR="000A1474" w:rsidRPr="003A4B56" w:rsidRDefault="000A1474" w:rsidP="00B51B51">
      <w:pPr>
        <w:widowControl w:val="0"/>
        <w:rPr>
          <w:noProof/>
        </w:rPr>
      </w:pPr>
      <w:r w:rsidRPr="003A4B56">
        <w:rPr>
          <w:noProof/>
        </w:rPr>
        <w:t xml:space="preserve">La comercialización de este cereal en el país se realiza básicamente a través de la venta directa a las empresas avícolas y porcinas y, en menor grado, por intermediarios acopiadores y corredores de productos agrícolas. </w:t>
      </w:r>
    </w:p>
    <w:p w:rsidR="000A1474" w:rsidRPr="003A4B56" w:rsidRDefault="000A1474" w:rsidP="00B51B51">
      <w:pPr>
        <w:widowControl w:val="0"/>
        <w:rPr>
          <w:noProof/>
        </w:rPr>
      </w:pPr>
    </w:p>
    <w:p w:rsidR="000A1474" w:rsidRPr="003A4B56" w:rsidRDefault="000A1474" w:rsidP="00B51B51">
      <w:pPr>
        <w:widowControl w:val="0"/>
      </w:pPr>
      <w:r w:rsidRPr="003A4B56">
        <w:t>En los últimos años, la oferta nacional ha fluctuado entre 6,2 y 15,1 millones de quintales, y para satisfacer la demanda ha sido necesario importar este cereal fundamentalmente de Argentina y Estados Unidos.</w:t>
      </w:r>
    </w:p>
    <w:p w:rsidR="000A1474" w:rsidRPr="003A4B56" w:rsidRDefault="000A1474" w:rsidP="00B51B51">
      <w:pPr>
        <w:widowControl w:val="0"/>
        <w:rPr>
          <w:noProof/>
          <w:szCs w:val="22"/>
        </w:rPr>
      </w:pPr>
    </w:p>
    <w:p w:rsidR="000A1474" w:rsidRPr="003A4B56" w:rsidRDefault="000A1474" w:rsidP="00B51B51">
      <w:pPr>
        <w:widowControl w:val="0"/>
      </w:pPr>
      <w:r w:rsidRPr="003A4B56">
        <w:t>En este sentido, cabe señalar que las internaciones hasta el año 2007 aumentaron considerablemente, comportamiento que sería atribuible, a la expansión experimentada por la producción de carne de ave  y de cerdo. El autoabastecimiento en 1994 fue de 62,5%, mientras que en el año 2001 alcanzó a sólo 41%.</w:t>
      </w:r>
    </w:p>
    <w:p w:rsidR="000A1474" w:rsidRPr="003A4B56" w:rsidRDefault="000A1474" w:rsidP="00B51B51">
      <w:pPr>
        <w:widowControl w:val="0"/>
        <w:rPr>
          <w:b/>
          <w:bCs/>
          <w:noProof/>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3B0BE3" w:rsidRDefault="003B0BE3" w:rsidP="00B51B51">
      <w:pPr>
        <w:widowControl w:val="0"/>
        <w:tabs>
          <w:tab w:val="left" w:pos="0"/>
          <w:tab w:val="left" w:pos="426"/>
          <w:tab w:val="left" w:pos="851"/>
          <w:tab w:val="left" w:pos="1418"/>
          <w:tab w:val="left" w:pos="8789"/>
        </w:tabs>
        <w:ind w:right="49"/>
        <w:jc w:val="center"/>
        <w:rPr>
          <w:rFonts w:cs="Arial"/>
          <w:b/>
          <w:bCs/>
          <w:noProof/>
          <w:spacing w:val="-3"/>
        </w:rPr>
      </w:pPr>
    </w:p>
    <w:p w:rsidR="003B0BE3" w:rsidRDefault="003B0BE3" w:rsidP="00B51B51">
      <w:pPr>
        <w:widowControl w:val="0"/>
        <w:tabs>
          <w:tab w:val="left" w:pos="0"/>
          <w:tab w:val="left" w:pos="426"/>
          <w:tab w:val="left" w:pos="851"/>
          <w:tab w:val="left" w:pos="1418"/>
          <w:tab w:val="left" w:pos="8789"/>
        </w:tabs>
        <w:ind w:right="49"/>
        <w:jc w:val="center"/>
        <w:rPr>
          <w:rFonts w:cs="Arial"/>
          <w:b/>
          <w:bCs/>
          <w:noProof/>
          <w:spacing w:val="-3"/>
        </w:rPr>
      </w:pPr>
    </w:p>
    <w:p w:rsidR="003B0BE3" w:rsidRPr="003A4B56" w:rsidRDefault="003B0BE3"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89" w:name="_Ref336528700"/>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69</w:t>
      </w:r>
      <w:r w:rsidR="007F3102">
        <w:rPr>
          <w:b/>
        </w:rPr>
        <w:fldChar w:fldCharType="end"/>
      </w:r>
      <w:bookmarkEnd w:id="289"/>
    </w:p>
    <w:p w:rsidR="000A1474" w:rsidRPr="003A4B56" w:rsidRDefault="00254CE2" w:rsidP="00B51B51">
      <w:pPr>
        <w:widowControl w:val="0"/>
        <w:tabs>
          <w:tab w:val="left" w:pos="426"/>
          <w:tab w:val="left" w:pos="851"/>
          <w:tab w:val="left" w:pos="1418"/>
          <w:tab w:val="left" w:pos="8789"/>
        </w:tabs>
        <w:jc w:val="center"/>
        <w:rPr>
          <w:rFonts w:cs="Arial"/>
          <w:noProof/>
          <w:szCs w:val="22"/>
        </w:rPr>
      </w:pPr>
      <w:r>
        <w:rPr>
          <w:noProof/>
          <w:lang w:val="es-CL" w:eastAsia="es-CL"/>
        </w:rPr>
        <w:drawing>
          <wp:inline distT="0" distB="0" distL="0" distR="0">
            <wp:extent cx="3019425" cy="3529965"/>
            <wp:effectExtent l="0" t="0" r="952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19425" cy="3529965"/>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szCs w:val="22"/>
        </w:rPr>
      </w:pPr>
    </w:p>
    <w:p w:rsidR="000A1474" w:rsidRPr="003A4B56" w:rsidRDefault="000A1474" w:rsidP="00B51B51">
      <w:pPr>
        <w:widowControl w:val="0"/>
        <w:tabs>
          <w:tab w:val="left" w:pos="-720"/>
          <w:tab w:val="left" w:pos="426"/>
          <w:tab w:val="left" w:pos="1418"/>
        </w:tabs>
        <w:ind w:right="49"/>
        <w:rPr>
          <w:rFonts w:cs="Arial"/>
          <w:spacing w:val="-3"/>
        </w:rPr>
      </w:pPr>
      <w:r w:rsidRPr="003A4B56">
        <w:rPr>
          <w:rFonts w:cs="Arial"/>
          <w:spacing w:val="-3"/>
        </w:rPr>
        <w:t xml:space="preserve">Como se aprecia en </w:t>
      </w:r>
      <w:smartTag w:uri="urn:schemas-microsoft-com:office:smarttags" w:element="PersonName">
        <w:smartTagPr>
          <w:attr w:name="ProductID" w:val="la ￼￼￼￼￼￼￼￼￼￼￼￼￼￼￼￼￼￼￼￼￼￼￼￼￼Figura"/>
        </w:smartTagPr>
        <w:r w:rsidRPr="003A4B56">
          <w:rPr>
            <w:rFonts w:cs="Arial"/>
            <w:spacing w:val="-3"/>
          </w:rPr>
          <w:t xml:space="preserve">la </w:t>
        </w:r>
        <w:r w:rsidRPr="003A4B56">
          <w:rPr>
            <w:rFonts w:cs="Arial"/>
            <w:spacing w:val="-3"/>
          </w:rPr>
          <w:fldChar w:fldCharType="begin"/>
        </w:r>
        <w:r w:rsidRPr="003A4B56">
          <w:rPr>
            <w:rFonts w:cs="Arial"/>
            <w:spacing w:val="-3"/>
          </w:rPr>
          <w:instrText xml:space="preserve"> REF _Ref336528766 \h </w:instrText>
        </w:r>
        <w:r w:rsidRPr="003A4B56">
          <w:rPr>
            <w:rFonts w:cs="Arial"/>
            <w:spacing w:val="-3"/>
          </w:rPr>
        </w:r>
        <w:r w:rsidR="0006493D" w:rsidRPr="003A4B56">
          <w:rPr>
            <w:rFonts w:cs="Arial"/>
            <w:spacing w:val="-3"/>
          </w:rPr>
          <w:instrText xml:space="preserve"> \* MERGEFORMAT </w:instrText>
        </w:r>
        <w:r w:rsidRPr="003A4B56">
          <w:rPr>
            <w:rFonts w:cs="Arial"/>
            <w:spacing w:val="-3"/>
          </w:rPr>
          <w:fldChar w:fldCharType="separate"/>
        </w:r>
        <w:r w:rsidR="00264070" w:rsidRPr="003A4B56">
          <w:t>Figura</w:t>
        </w:r>
      </w:smartTag>
      <w:r w:rsidR="00264070" w:rsidRPr="003A4B56">
        <w:t xml:space="preserve"> </w:t>
      </w:r>
      <w:r w:rsidR="00264070">
        <w:rPr>
          <w:noProof/>
        </w:rPr>
        <w:t>5.5</w:t>
      </w:r>
      <w:r w:rsidRPr="003A4B56">
        <w:rPr>
          <w:rFonts w:cs="Arial"/>
          <w:spacing w:val="-3"/>
        </w:rPr>
        <w:fldChar w:fldCharType="end"/>
      </w:r>
      <w:r w:rsidR="00EC64DA">
        <w:rPr>
          <w:rFonts w:cs="Arial"/>
          <w:spacing w:val="-3"/>
        </w:rPr>
        <w:t xml:space="preserve"> las importaciones de maíz</w:t>
      </w:r>
      <w:r w:rsidRPr="003A4B56">
        <w:rPr>
          <w:rFonts w:cs="Arial"/>
          <w:spacing w:val="-3"/>
        </w:rPr>
        <w:t xml:space="preserve"> entre 1990 y el año 2007, en términos de volumen, aumentaron en casi veinte veces, al pasar de 89 mil toneladas a 1 millón 752 mil toneladas. En valor, dicha evolución fue mayor y alcanzó a más de treinta veces, lo que sería consecuencia del aumento que experimentaron los precios internacionales. Posteriormente, las internaciones de maíz grano descendieron debido al aumento de la producción doméstica y al incremento de los precios internacionales.</w:t>
      </w:r>
    </w:p>
    <w:p w:rsidR="000A1474" w:rsidRPr="003A4B56" w:rsidRDefault="000A1474" w:rsidP="00B51B51">
      <w:pPr>
        <w:widowControl w:val="0"/>
        <w:tabs>
          <w:tab w:val="left" w:pos="-720"/>
          <w:tab w:val="left" w:pos="426"/>
          <w:tab w:val="left" w:pos="1418"/>
        </w:tabs>
        <w:ind w:right="49"/>
        <w:rPr>
          <w:rFonts w:cs="Arial"/>
          <w:spacing w:val="-3"/>
          <w:szCs w:val="22"/>
        </w:rPr>
      </w:pPr>
    </w:p>
    <w:p w:rsidR="000A1474" w:rsidRPr="003A4B56" w:rsidRDefault="000A1474" w:rsidP="00B51B51">
      <w:pPr>
        <w:widowControl w:val="0"/>
        <w:tabs>
          <w:tab w:val="left" w:pos="-720"/>
          <w:tab w:val="left" w:pos="426"/>
          <w:tab w:val="left" w:pos="1418"/>
        </w:tabs>
        <w:ind w:right="49"/>
        <w:rPr>
          <w:rFonts w:cs="Arial"/>
          <w:spacing w:val="-3"/>
        </w:rPr>
      </w:pPr>
      <w:r w:rsidRPr="003A4B56">
        <w:rPr>
          <w:rFonts w:cs="Arial"/>
          <w:spacing w:val="-3"/>
        </w:rPr>
        <w:t>Así, las adquisiciones de este cereal en el curso del año 2011 totalizaron del orden de 666 mil toneladas, equivalentes a US$212 millones CIF. Los principales oferentes fueron Argentina y Uruguay con el 52,3% y 47,7% del total internado, respectivamente. En otros años Estados Unidos fue un importante proveedor.</w:t>
      </w: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rPr>
      </w:pPr>
    </w:p>
    <w:p w:rsidR="000A1474" w:rsidRPr="003A4B56" w:rsidRDefault="000A1474" w:rsidP="00B51B51">
      <w:pPr>
        <w:widowControl w:val="0"/>
        <w:tabs>
          <w:tab w:val="left" w:pos="-720"/>
          <w:tab w:val="left" w:pos="426"/>
          <w:tab w:val="left" w:pos="1418"/>
        </w:tabs>
        <w:ind w:right="49"/>
        <w:rPr>
          <w:rFonts w:cs="Arial"/>
          <w:noProof/>
        </w:rPr>
      </w:pPr>
      <w:r w:rsidRPr="003A4B56">
        <w:rPr>
          <w:rFonts w:cs="Arial"/>
          <w:noProof/>
        </w:rPr>
        <w:t xml:space="preserve">La incorporación de Chile al MERCOSUR, sin duda, ha tenido fuertes repercusiones en el mercado nacional de este cereal, puesto que actualmente casi el 100% del maíz importado proviene de ese bloque, fundamentalmente de Argentina, país que posee ventajas tanto de volumen como de costos de producción respecto a su homólogo chileno. </w:t>
      </w:r>
    </w:p>
    <w:p w:rsidR="000A1474" w:rsidRPr="003A4B56" w:rsidRDefault="000A1474" w:rsidP="00B51B51">
      <w:pPr>
        <w:widowControl w:val="0"/>
        <w:tabs>
          <w:tab w:val="left" w:pos="-720"/>
          <w:tab w:val="left" w:pos="426"/>
          <w:tab w:val="left" w:pos="1418"/>
        </w:tabs>
        <w:ind w:right="49"/>
        <w:rPr>
          <w:rFonts w:cs="Arial"/>
          <w:noProof/>
        </w:rPr>
      </w:pPr>
    </w:p>
    <w:p w:rsidR="000A1474" w:rsidRPr="003A4B56" w:rsidRDefault="000A1474" w:rsidP="00B51B51">
      <w:pPr>
        <w:widowControl w:val="0"/>
        <w:tabs>
          <w:tab w:val="left" w:pos="-720"/>
          <w:tab w:val="left" w:pos="426"/>
          <w:tab w:val="left" w:pos="1418"/>
        </w:tabs>
        <w:ind w:right="49"/>
        <w:rPr>
          <w:rFonts w:cs="Arial"/>
          <w:noProof/>
          <w:color w:val="000000"/>
        </w:rPr>
      </w:pPr>
      <w:r w:rsidRPr="003A4B56">
        <w:rPr>
          <w:rFonts w:cs="Arial"/>
          <w:noProof/>
        </w:rPr>
        <w:t>Así, en el marco del acuerdo con MERCOSUR, el maíz quedó incluido dentro de la lista de productos sensibles, lo que significa que desde octubre de 1996 hasta 1999</w:t>
      </w:r>
      <w:r w:rsidRPr="003A4B56">
        <w:rPr>
          <w:rFonts w:cs="Arial"/>
          <w:noProof/>
          <w:color w:val="FF0000"/>
          <w:spacing w:val="-3"/>
        </w:rPr>
        <w:t xml:space="preserve"> </w:t>
      </w:r>
      <w:r w:rsidRPr="003A4B56">
        <w:rPr>
          <w:rFonts w:cs="Arial"/>
          <w:noProof/>
          <w:spacing w:val="-3"/>
        </w:rPr>
        <w:t xml:space="preserve">el cereal trasandino ingresó a Chile con una preferencia de 30%, posteriormente la desgravación arancelaria fue de 1% anual y a partir del año 2006 el arancel es 0. </w:t>
      </w: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szCs w:val="22"/>
        </w:rPr>
      </w:pP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szCs w:val="22"/>
        </w:rPr>
      </w:pP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szCs w:val="22"/>
        </w:rPr>
      </w:pPr>
    </w:p>
    <w:p w:rsidR="000A1474" w:rsidRPr="003A4B56" w:rsidRDefault="000A1474" w:rsidP="00B51B51">
      <w:pPr>
        <w:widowControl w:val="0"/>
        <w:tabs>
          <w:tab w:val="left" w:pos="-720"/>
          <w:tab w:val="left" w:pos="426"/>
          <w:tab w:val="left" w:pos="851"/>
          <w:tab w:val="left" w:pos="1418"/>
          <w:tab w:val="left" w:pos="8789"/>
        </w:tabs>
        <w:ind w:right="49"/>
        <w:rPr>
          <w:rFonts w:cs="Arial"/>
          <w:noProof/>
          <w:spacing w:val="-3"/>
          <w:szCs w:val="22"/>
        </w:rPr>
      </w:pPr>
    </w:p>
    <w:p w:rsidR="000A1474" w:rsidRPr="003A4B56" w:rsidRDefault="000A1474" w:rsidP="00B51B51">
      <w:pPr>
        <w:pStyle w:val="Epgrafe"/>
        <w:widowControl w:val="0"/>
        <w:tabs>
          <w:tab w:val="left" w:pos="851"/>
          <w:tab w:val="left" w:pos="1276"/>
          <w:tab w:val="left" w:pos="8789"/>
        </w:tabs>
      </w:pPr>
      <w:bookmarkStart w:id="290" w:name="_Ref336528766"/>
      <w:r w:rsidRPr="003A4B56">
        <w:lastRenderedPageBreak/>
        <w:t xml:space="preserve">Figura </w:t>
      </w:r>
      <w:r w:rsidR="00951FEC">
        <w:fldChar w:fldCharType="begin"/>
      </w:r>
      <w:r w:rsidR="00951FEC">
        <w:instrText xml:space="preserve"> STYLEREF 1 \s </w:instrText>
      </w:r>
      <w:r w:rsidR="00951FEC">
        <w:fldChar w:fldCharType="separate"/>
      </w:r>
      <w:r w:rsidR="00264070">
        <w:rPr>
          <w:noProof/>
        </w:rPr>
        <w:t>5</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5</w:t>
      </w:r>
      <w:r w:rsidR="00951FEC">
        <w:fldChar w:fldCharType="end"/>
      </w:r>
      <w:bookmarkEnd w:id="290"/>
      <w:r w:rsidRPr="003A4B56">
        <w:t xml:space="preserve"> </w:t>
      </w:r>
    </w:p>
    <w:p w:rsidR="000A1474" w:rsidRPr="003A4B56" w:rsidRDefault="00254CE2" w:rsidP="00B51B51">
      <w:pPr>
        <w:pStyle w:val="Epgrafe"/>
        <w:widowControl w:val="0"/>
        <w:tabs>
          <w:tab w:val="left" w:pos="851"/>
          <w:tab w:val="left" w:pos="1276"/>
          <w:tab w:val="left" w:pos="8789"/>
        </w:tabs>
        <w:rPr>
          <w:noProof/>
          <w:lang w:val="es-CL" w:eastAsia="es-CL"/>
        </w:rPr>
      </w:pPr>
      <w:r>
        <w:rPr>
          <w:noProof/>
          <w:lang w:val="es-CL" w:eastAsia="es-CL"/>
        </w:rPr>
        <w:drawing>
          <wp:inline distT="0" distB="0" distL="0" distR="0">
            <wp:extent cx="4508500" cy="1924685"/>
            <wp:effectExtent l="0" t="0" r="635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08500" cy="1924685"/>
                    </a:xfrm>
                    <a:prstGeom prst="rect">
                      <a:avLst/>
                    </a:prstGeom>
                    <a:noFill/>
                    <a:ln>
                      <a:noFill/>
                    </a:ln>
                  </pic:spPr>
                </pic:pic>
              </a:graphicData>
            </a:graphic>
          </wp:inline>
        </w:drawing>
      </w:r>
    </w:p>
    <w:p w:rsidR="000A1474" w:rsidRPr="001E4FE1" w:rsidRDefault="000A1474" w:rsidP="00B51B51">
      <w:pPr>
        <w:pStyle w:val="Epgrafe"/>
        <w:widowControl w:val="0"/>
        <w:tabs>
          <w:tab w:val="left" w:pos="851"/>
          <w:tab w:val="left" w:pos="1276"/>
          <w:tab w:val="left" w:pos="8789"/>
        </w:tabs>
        <w:rPr>
          <w:b w:val="0"/>
          <w:noProof/>
          <w:sz w:val="20"/>
          <w:szCs w:val="20"/>
          <w:lang w:val="es-CL" w:eastAsia="es-CL"/>
        </w:rPr>
      </w:pPr>
      <w:r w:rsidRPr="001E4FE1">
        <w:rPr>
          <w:b w:val="0"/>
          <w:noProof/>
          <w:sz w:val="20"/>
          <w:szCs w:val="20"/>
          <w:lang w:val="es-CL" w:eastAsia="es-CL"/>
        </w:rPr>
        <w:t>Fuente: Elaborado en base a antecedentes de ODEPA</w:t>
      </w:r>
    </w:p>
    <w:p w:rsidR="000A1474" w:rsidRPr="003A4B56" w:rsidRDefault="000A1474" w:rsidP="00B51B51">
      <w:pPr>
        <w:widowControl w:val="0"/>
        <w:tabs>
          <w:tab w:val="left" w:pos="-720"/>
          <w:tab w:val="left" w:pos="426"/>
          <w:tab w:val="left" w:pos="851"/>
          <w:tab w:val="left" w:pos="8789"/>
        </w:tabs>
        <w:ind w:right="49"/>
        <w:rPr>
          <w:rFonts w:cs="Arial"/>
          <w:noProof/>
          <w:spacing w:val="-3"/>
          <w:szCs w:val="22"/>
        </w:rPr>
      </w:pPr>
    </w:p>
    <w:p w:rsidR="000A1474" w:rsidRPr="003A4B56" w:rsidRDefault="000A1474" w:rsidP="00B51B51">
      <w:pPr>
        <w:widowControl w:val="0"/>
        <w:rPr>
          <w:noProof/>
        </w:rPr>
      </w:pPr>
      <w:r w:rsidRPr="003A4B56">
        <w:rPr>
          <w:noProof/>
        </w:rPr>
        <w:t>En el acuerdo con Esta</w:t>
      </w:r>
      <w:r w:rsidR="00EC64DA">
        <w:rPr>
          <w:noProof/>
        </w:rPr>
        <w:t>dos Unidos, el maíz norteamerican</w:t>
      </w:r>
      <w:r w:rsidRPr="003A4B56">
        <w:rPr>
          <w:noProof/>
        </w:rPr>
        <w:t xml:space="preserve">o dejó de pagar arancel de internación a partir del año 2007, en tanto que el procedente desde </w:t>
      </w:r>
      <w:smartTag w:uri="urn:schemas-microsoft-com:office:smarttags" w:element="PersonName">
        <w:smartTagPr>
          <w:attr w:name="ProductID" w:val="la Unión Europea"/>
        </w:smartTagPr>
        <w:r w:rsidRPr="003A4B56">
          <w:rPr>
            <w:noProof/>
          </w:rPr>
          <w:t>la Unión Europea</w:t>
        </w:r>
      </w:smartTag>
      <w:r w:rsidRPr="003A4B56">
        <w:rPr>
          <w:noProof/>
        </w:rPr>
        <w:t xml:space="preserve"> lo hace desde el año 2008. </w:t>
      </w:r>
    </w:p>
    <w:p w:rsidR="000A1474" w:rsidRPr="003A4B56" w:rsidRDefault="000A1474" w:rsidP="00B51B51">
      <w:pPr>
        <w:widowControl w:val="0"/>
      </w:pPr>
    </w:p>
    <w:p w:rsidR="000A1474" w:rsidRPr="003A4B56" w:rsidRDefault="00EC64DA" w:rsidP="00B51B51">
      <w:pPr>
        <w:widowControl w:val="0"/>
      </w:pPr>
      <w:r>
        <w:t>Lo anterior, en parte,</w:t>
      </w:r>
      <w:r w:rsidR="000A1474" w:rsidRPr="003A4B56">
        <w:t xml:space="preserve"> ya se había reflejado en los precios registrados por este cereal en el mercado local, por cuanto éstos están estrechamente relacionados con el comportamiento de las cotizaciones internacionales. </w:t>
      </w:r>
    </w:p>
    <w:p w:rsidR="000A1474" w:rsidRPr="003A4B56" w:rsidRDefault="000A1474" w:rsidP="00B51B51">
      <w:pPr>
        <w:widowControl w:val="0"/>
        <w:rPr>
          <w:noProof/>
          <w:szCs w:val="22"/>
        </w:rPr>
      </w:pPr>
    </w:p>
    <w:p w:rsidR="000A1474" w:rsidRPr="003A4B56" w:rsidRDefault="000A1474" w:rsidP="00B51B51">
      <w:pPr>
        <w:widowControl w:val="0"/>
      </w:pPr>
      <w:r w:rsidRPr="003A4B56">
        <w:t>Los aumentos de precios de los últimos años estarían asociados a una relación oferta-demanda más ajustada en el plano internacional. Cabe señalar que la producción mundial de este cereal había descendido en los dos últimos períodos agrícolas y, por consiguiente, el nivel de existencias. No obstante, a pesar de un aumento en los pronósticos de la cosecha mundial, los precios a futuro se mantienen firmes, lo que sería atribuible a una demanda estable y a la elaboración de biocombustibles  que utilizan como materia prima este tipo de cereales.</w:t>
      </w:r>
    </w:p>
    <w:p w:rsidR="000A1474" w:rsidRPr="003A4B56" w:rsidRDefault="000A1474" w:rsidP="00B51B51">
      <w:pPr>
        <w:widowControl w:val="0"/>
        <w:rPr>
          <w:noProof/>
          <w:szCs w:val="22"/>
        </w:rPr>
      </w:pPr>
    </w:p>
    <w:p w:rsidR="000A1474" w:rsidRPr="003A4B56" w:rsidRDefault="00A24E25" w:rsidP="00B51B51">
      <w:pPr>
        <w:widowControl w:val="0"/>
      </w:pPr>
      <w:r w:rsidRPr="003A4B56">
        <w:t>-</w:t>
      </w:r>
      <w:r w:rsidRPr="003A4B56">
        <w:rPr>
          <w:rFonts w:cs="Arial"/>
          <w:b/>
          <w:bCs/>
          <w:szCs w:val="22"/>
          <w:vertAlign w:val="superscript"/>
        </w:rPr>
        <w:tab/>
      </w:r>
      <w:r w:rsidR="000A1474" w:rsidRPr="003A4B56">
        <w:t>Papas</w:t>
      </w:r>
    </w:p>
    <w:p w:rsidR="000A1474" w:rsidRPr="003A4B56" w:rsidRDefault="000A1474" w:rsidP="00B51B51">
      <w:pPr>
        <w:widowControl w:val="0"/>
      </w:pPr>
      <w:r w:rsidRPr="003A4B56">
        <w:tab/>
      </w:r>
    </w:p>
    <w:p w:rsidR="000A1474" w:rsidRPr="003A4B56" w:rsidRDefault="000A1474" w:rsidP="00B51B51">
      <w:pPr>
        <w:widowControl w:val="0"/>
      </w:pPr>
      <w:r w:rsidRPr="003A4B56">
        <w:t xml:space="preserve">De acuerdo a información de ODEPA, en las últimas dos décadas la superficie destinada al cultivo de papa experimentó fuertes fluctuaciones, variando de </w:t>
      </w:r>
      <w:smartTag w:uri="urn:schemas-microsoft-com:office:smarttags" w:element="metricconverter">
        <w:smartTagPr>
          <w:attr w:name="ProductID" w:val="45.097 hectáreas"/>
        </w:smartTagPr>
        <w:r w:rsidRPr="003A4B56">
          <w:t>45.097 hectáreas</w:t>
        </w:r>
      </w:smartTag>
      <w:r w:rsidRPr="003A4B56">
        <w:t xml:space="preserve"> en 2008/09 y </w:t>
      </w:r>
      <w:smartTag w:uri="urn:schemas-microsoft-com:office:smarttags" w:element="metricconverter">
        <w:smartTagPr>
          <w:attr w:name="ProductID" w:val="80.685 hectáreas"/>
        </w:smartTagPr>
        <w:r w:rsidRPr="003A4B56">
          <w:t>80.685 hectáreas</w:t>
        </w:r>
      </w:smartTag>
      <w:r w:rsidRPr="003A4B56">
        <w:t xml:space="preserve"> en 1996/97 (</w:t>
      </w:r>
      <w:r w:rsidRPr="003A4B56">
        <w:fldChar w:fldCharType="begin"/>
      </w:r>
      <w:r w:rsidRPr="003A4B56">
        <w:instrText xml:space="preserve"> REF _Ref336528833 \h </w:instrText>
      </w:r>
      <w:r w:rsidRPr="003A4B56">
        <w:instrText xml:space="preserve"> \* MERGEFORMAT </w:instrText>
      </w:r>
      <w:r w:rsidRPr="003A4B56">
        <w:fldChar w:fldCharType="separate"/>
      </w:r>
      <w:r w:rsidR="00264070" w:rsidRPr="00264070">
        <w:t xml:space="preserve">Tabla </w:t>
      </w:r>
      <w:r w:rsidR="00264070" w:rsidRPr="00264070">
        <w:rPr>
          <w:noProof/>
        </w:rPr>
        <w:t>5.70</w:t>
      </w:r>
      <w:r w:rsidRPr="003A4B56">
        <w:fldChar w:fldCharType="end"/>
      </w:r>
      <w:r w:rsidRPr="003A4B56">
        <w:t>). Los rendimientos, entretanto, han experimentado un significativo aumento en los últimos años, lo que sería atribuible al uso de mayor tecnología en el cultivo del tubérculo. De hecho, en la temporada 2010/11 la producción total fue la mayor del período en análisis, la que fue obtenida de una de las superficies más bajas de cultivo. Es así como desde 1990 en adelante, la cosecha nacional ha fluctuado entre los 7,9 millones de quintales en 1997/98 y los casi 17 millones de quintales obtenidos en 2010/11.</w:t>
      </w:r>
    </w:p>
    <w:p w:rsidR="000A1474" w:rsidRPr="003A4B56" w:rsidRDefault="000A1474" w:rsidP="00B51B51">
      <w:pPr>
        <w:widowControl w:val="0"/>
      </w:pPr>
    </w:p>
    <w:p w:rsidR="000A1474" w:rsidRPr="003A4B56" w:rsidRDefault="000A1474" w:rsidP="00B51B51">
      <w:pPr>
        <w:widowControl w:val="0"/>
        <w:rPr>
          <w:szCs w:val="22"/>
        </w:rPr>
      </w:pPr>
      <w:r w:rsidRPr="003A4B56">
        <w:t xml:space="preserve">Cabe destacar que este cultivo se distribuye entre </w:t>
      </w:r>
      <w:smartTag w:uri="urn:schemas-microsoft-com:office:smarttags" w:element="PersonName">
        <w:smartTagPr>
          <w:attr w:name="ProductID" w:val="la IV"/>
        </w:smartTagPr>
        <w:r w:rsidRPr="003A4B56">
          <w:t>la IV</w:t>
        </w:r>
      </w:smartTag>
      <w:r w:rsidRPr="003A4B56">
        <w:t xml:space="preserve"> y </w:t>
      </w:r>
      <w:smartTag w:uri="urn:schemas-microsoft-com:office:smarttags" w:element="PersonName">
        <w:smartTagPr>
          <w:attr w:name="ProductID" w:val="la X Región"/>
        </w:smartTagPr>
        <w:r w:rsidRPr="003A4B56">
          <w:t>la X Región</w:t>
        </w:r>
      </w:smartTag>
      <w:r w:rsidRPr="003A4B56">
        <w:t xml:space="preserve">, pero las más importantes son </w:t>
      </w:r>
      <w:smartTag w:uri="urn:schemas-microsoft-com:office:smarttags" w:element="PersonName">
        <w:smartTagPr>
          <w:attr w:name="ProductID" w:val="la IX"/>
        </w:smartTagPr>
        <w:r w:rsidRPr="003A4B56">
          <w:t>la IX</w:t>
        </w:r>
      </w:smartTag>
      <w:r w:rsidRPr="003A4B56">
        <w:t xml:space="preserve"> y X Región. En la temporada 2006/07 en </w:t>
      </w:r>
      <w:smartTag w:uri="urn:schemas-microsoft-com:office:smarttags" w:element="PersonName">
        <w:smartTagPr>
          <w:attr w:name="ProductID" w:val="la VI Región"/>
        </w:smartTagPr>
        <w:r w:rsidRPr="003A4B56">
          <w:t>la VI Región</w:t>
        </w:r>
      </w:smartTag>
      <w:r w:rsidRPr="003A4B56">
        <w:t xml:space="preserve"> se sembraron </w:t>
      </w:r>
      <w:smartTag w:uri="urn:schemas-microsoft-com:office:smarttags" w:element="metricconverter">
        <w:smartTagPr>
          <w:attr w:name="ProductID" w:val="1.689,1 hectáreas"/>
        </w:smartTagPr>
        <w:r w:rsidRPr="003A4B56">
          <w:t>1.689,1 hectáreas</w:t>
        </w:r>
      </w:smartTag>
      <w:r w:rsidRPr="003A4B56">
        <w:t>, es decir, el 3,1% del total nacional. Al interior de la región, éstas se distribuyeron en 84,8% en la provincia de Cachapoal; 9,5% en Colchagua y, el 5,7% restante, en Cardenal Caro. La producción regional de ese período alcanzó a 223.389 qqm, con un rendimiento promedio del orden de los 132 qqm/ha.</w:t>
      </w:r>
      <w:r w:rsidRPr="003A4B56">
        <w:rPr>
          <w:szCs w:val="22"/>
        </w:rPr>
        <w:t xml:space="preserve"> </w:t>
      </w:r>
    </w:p>
    <w:p w:rsidR="000A1474" w:rsidRPr="003A4B56" w:rsidRDefault="000A1474" w:rsidP="00B51B51">
      <w:pPr>
        <w:widowControl w:val="0"/>
      </w:pPr>
    </w:p>
    <w:p w:rsidR="000A1474" w:rsidRPr="003A4B56" w:rsidRDefault="000A1474" w:rsidP="00B51B51">
      <w:pPr>
        <w:widowControl w:val="0"/>
      </w:pPr>
      <w:r w:rsidRPr="003A4B56">
        <w:t xml:space="preserve">La producción de papas está orientada principalmente al consumo interno, aunque en los últimos años se ha constatado una expansión de las exportaciones. </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91" w:name="_Ref336528833"/>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70</w:t>
      </w:r>
      <w:r w:rsidR="007F3102">
        <w:rPr>
          <w:b/>
        </w:rPr>
        <w:fldChar w:fldCharType="end"/>
      </w:r>
      <w:bookmarkEnd w:id="291"/>
    </w:p>
    <w:p w:rsidR="000A1474" w:rsidRPr="003A4B56" w:rsidRDefault="00254CE2" w:rsidP="00B51B51">
      <w:pPr>
        <w:widowControl w:val="0"/>
        <w:tabs>
          <w:tab w:val="left" w:pos="426"/>
        </w:tabs>
        <w:jc w:val="center"/>
        <w:rPr>
          <w:rFonts w:cs="Arial"/>
        </w:rPr>
      </w:pPr>
      <w:r>
        <w:rPr>
          <w:rFonts w:cs="Arial"/>
          <w:noProof/>
          <w:lang w:val="es-CL" w:eastAsia="es-CL"/>
        </w:rPr>
        <w:drawing>
          <wp:inline distT="0" distB="0" distL="0" distR="0">
            <wp:extent cx="3083560" cy="3615055"/>
            <wp:effectExtent l="0" t="0" r="2540" b="444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83560" cy="3615055"/>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pPr>
      <w:r w:rsidRPr="003A4B56">
        <w:rPr>
          <w:noProof/>
          <w:spacing w:val="-3"/>
        </w:rPr>
        <w:tab/>
        <w:t xml:space="preserve"> </w:t>
      </w:r>
    </w:p>
    <w:p w:rsidR="000A1474" w:rsidRPr="003A4B56" w:rsidRDefault="000A1474" w:rsidP="00B51B51">
      <w:pPr>
        <w:widowControl w:val="0"/>
      </w:pPr>
      <w:r w:rsidRPr="003A4B56">
        <w:rPr>
          <w:spacing w:val="-3"/>
        </w:rPr>
        <w:t>En efecto, los envíos de copos de papas entre 1990 y 1993 anotaron un significativo incremento, al pasar de 62 toneladas a 2.022 toneladas.</w:t>
      </w:r>
      <w:r w:rsidRPr="003A4B56">
        <w:t xml:space="preserve"> Posteriormente, la tendencia fue fluctuante, moviéndose entre 336 toneladas en el 2001 y 1.452 toneladas en 1998. Durante los años 2002 y 2005 si bien se constató un repunte de estas transacciones, los volúmenes se ubicaron por debajo de los embarcados entre los años 1992 y 1999 (</w:t>
      </w:r>
      <w:r w:rsidR="00B20E87" w:rsidRPr="00B20E87">
        <w:fldChar w:fldCharType="begin"/>
      </w:r>
      <w:r w:rsidR="00B20E87" w:rsidRPr="00B20E87">
        <w:instrText xml:space="preserve"> REF _Ref338409523 \h </w:instrText>
      </w:r>
      <w:r w:rsidR="00B20E87" w:rsidRPr="00B20E87">
        <w:instrText xml:space="preserve"> \* MERGEFORMAT </w:instrText>
      </w:r>
      <w:r w:rsidR="00B20E87" w:rsidRPr="00B20E87">
        <w:fldChar w:fldCharType="separate"/>
      </w:r>
      <w:r w:rsidR="00264070" w:rsidRPr="00264070">
        <w:t xml:space="preserve">Figura </w:t>
      </w:r>
      <w:r w:rsidR="00264070" w:rsidRPr="00264070">
        <w:rPr>
          <w:noProof/>
        </w:rPr>
        <w:t>5.6</w:t>
      </w:r>
      <w:r w:rsidR="00B20E87" w:rsidRPr="00B20E87">
        <w:fldChar w:fldCharType="end"/>
      </w:r>
      <w:r w:rsidRPr="00B20E87">
        <w:t>).</w:t>
      </w:r>
      <w:r w:rsidRPr="003A4B56">
        <w:t xml:space="preserve"> En 2006 las exportaciones aumentaron significativamente, siendo superadas por sólo las registradas en el año 1993 y en 2007 éstas sobrepasaron las 1.330 toneladas. Posteriormente, entre los años </w:t>
      </w:r>
      <w:smartTag w:uri="urn:schemas-microsoft-com:office:smarttags" w:element="metricconverter">
        <w:smartTagPr>
          <w:attr w:name="ProductID" w:val="2009 a"/>
        </w:smartTagPr>
        <w:r w:rsidRPr="003A4B56">
          <w:t>2009 a</w:t>
        </w:r>
      </w:smartTag>
      <w:r w:rsidRPr="003A4B56">
        <w:t xml:space="preserve"> 2011, estas transacciones se mantuvieron relativamente estables, al exportarse 673 toneladas equivalentes a casi US$1,4 millones FOB.</w:t>
      </w:r>
    </w:p>
    <w:p w:rsidR="000A1474" w:rsidRPr="003A4B56" w:rsidRDefault="000A1474" w:rsidP="00B51B51">
      <w:pPr>
        <w:widowControl w:val="0"/>
      </w:pPr>
    </w:p>
    <w:p w:rsidR="000A1474" w:rsidRPr="003A4B56" w:rsidRDefault="000A1474" w:rsidP="00B51B51">
      <w:pPr>
        <w:widowControl w:val="0"/>
        <w:rPr>
          <w:rFonts w:cs="Arial"/>
        </w:rPr>
      </w:pPr>
      <w:r w:rsidRPr="003A4B56">
        <w:rPr>
          <w:rFonts w:cs="Arial"/>
        </w:rPr>
        <w:t xml:space="preserve">Tradicionalmente, Argentina había sido el principal demandante de este producto y en el año 2000 absorbió más del 58% de las ventas chilenas, posteriormente sus adquisiciones han sido marginales. Así, en el año 2011, casi el 79% de los envíos se concentró en Brasil, el resto de las ventas se distribuyó entre Bolivia, Ecuador y Perú, entre otros. </w:t>
      </w:r>
    </w:p>
    <w:p w:rsidR="000A1474" w:rsidRPr="003A4B56" w:rsidRDefault="000A1474" w:rsidP="00B51B51">
      <w:pPr>
        <w:widowControl w:val="0"/>
        <w:rPr>
          <w:rFonts w:cs="Arial"/>
          <w:noProof/>
        </w:rPr>
      </w:pPr>
    </w:p>
    <w:p w:rsidR="000A1474" w:rsidRPr="003A4B56" w:rsidRDefault="000A1474" w:rsidP="00B51B51">
      <w:pPr>
        <w:widowControl w:val="0"/>
        <w:rPr>
          <w:rFonts w:cs="Arial"/>
        </w:rPr>
      </w:pPr>
      <w:r w:rsidRPr="003A4B56">
        <w:rPr>
          <w:rFonts w:cs="Arial"/>
        </w:rPr>
        <w:t xml:space="preserve">En este sentido, es preciso indicar que la caída de las internaciones por parte de Argentina sería atribuible a nuevas inversiones realizadas en dicho país para la elaboración de este producto. </w:t>
      </w:r>
    </w:p>
    <w:p w:rsidR="000A1474" w:rsidRPr="003A4B56" w:rsidRDefault="000A1474" w:rsidP="00B51B51">
      <w:pPr>
        <w:widowControl w:val="0"/>
      </w:pPr>
    </w:p>
    <w:p w:rsidR="000A1474" w:rsidRDefault="000A1474" w:rsidP="00B51B51">
      <w:pPr>
        <w:widowControl w:val="0"/>
      </w:pPr>
    </w:p>
    <w:p w:rsidR="00AA000E" w:rsidRPr="003A4B56" w:rsidRDefault="00AA000E" w:rsidP="00B51B51">
      <w:pPr>
        <w:widowControl w:val="0"/>
      </w:pPr>
    </w:p>
    <w:p w:rsidR="000A1474" w:rsidRPr="003A4B56" w:rsidRDefault="000A1474" w:rsidP="00B51B51">
      <w:pPr>
        <w:widowControl w:val="0"/>
      </w:pPr>
    </w:p>
    <w:p w:rsidR="000A1474" w:rsidRPr="003A4B56" w:rsidRDefault="000A1474" w:rsidP="00B51B51">
      <w:pPr>
        <w:widowControl w:val="0"/>
      </w:pPr>
    </w:p>
    <w:p w:rsidR="001C71B3" w:rsidRDefault="001C71B3" w:rsidP="00B51B51">
      <w:pPr>
        <w:widowControl w:val="0"/>
        <w:tabs>
          <w:tab w:val="left" w:pos="0"/>
          <w:tab w:val="left" w:pos="426"/>
          <w:tab w:val="left" w:pos="851"/>
          <w:tab w:val="left" w:pos="1418"/>
          <w:tab w:val="left" w:pos="8789"/>
        </w:tabs>
        <w:ind w:right="49"/>
        <w:jc w:val="center"/>
        <w:rPr>
          <w:b/>
        </w:rPr>
      </w:pPr>
      <w:bookmarkStart w:id="292" w:name="_Ref336528951"/>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93" w:name="_Ref338409523"/>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w:t>
      </w:r>
      <w:r w:rsidR="00951FEC">
        <w:rPr>
          <w:b/>
        </w:rPr>
        <w:fldChar w:fldCharType="end"/>
      </w:r>
      <w:bookmarkEnd w:id="292"/>
      <w:bookmarkEnd w:id="293"/>
    </w:p>
    <w:p w:rsidR="000A1474" w:rsidRPr="003A4B56" w:rsidRDefault="00254CE2" w:rsidP="00B51B51">
      <w:pPr>
        <w:widowControl w:val="0"/>
        <w:tabs>
          <w:tab w:val="left" w:pos="426"/>
        </w:tabs>
        <w:jc w:val="center"/>
        <w:rPr>
          <w:rFonts w:cs="Arial"/>
          <w:noProof/>
        </w:rPr>
      </w:pPr>
      <w:r>
        <w:rPr>
          <w:rFonts w:cs="Arial"/>
          <w:noProof/>
          <w:lang w:val="es-CL" w:eastAsia="es-CL"/>
        </w:rPr>
        <w:drawing>
          <wp:inline distT="0" distB="0" distL="0" distR="0">
            <wp:extent cx="4540250" cy="2169160"/>
            <wp:effectExtent l="0" t="0" r="0" b="254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40250" cy="216916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426"/>
        </w:tabs>
        <w:rPr>
          <w:rFonts w:cs="Arial"/>
          <w:noProof/>
        </w:rPr>
      </w:pPr>
      <w:r w:rsidRPr="003A4B56">
        <w:rPr>
          <w:rFonts w:cs="Arial"/>
          <w:noProof/>
        </w:rPr>
        <w:t xml:space="preserve"> </w:t>
      </w:r>
    </w:p>
    <w:p w:rsidR="000A1474" w:rsidRPr="003A4B56" w:rsidRDefault="000A1474" w:rsidP="00B51B51">
      <w:pPr>
        <w:widowControl w:val="0"/>
        <w:tabs>
          <w:tab w:val="left" w:pos="426"/>
        </w:tabs>
        <w:rPr>
          <w:rFonts w:cs="Arial"/>
        </w:rPr>
      </w:pPr>
      <w:r w:rsidRPr="003A4B56">
        <w:rPr>
          <w:rFonts w:cs="Arial"/>
        </w:rPr>
        <w:t>Otro producto que había mostrado una fuerte expansión en las ventas al exterior, es la papa consumo, cuyos envíos en 2001 totalizaron 5.199 toneladas, pero posteriormente descendieron abruptamente, repuntando levemente en 2004, 2007 y 2010 cuando se transaron alrededor de mil toneladas, pero que bajaron drásticamente en el curso de 2011 cuando se transaron sólo 204 toneladas (</w:t>
      </w:r>
      <w:r w:rsidRPr="003A4B56">
        <w:rPr>
          <w:rFonts w:cs="Arial"/>
        </w:rPr>
        <w:fldChar w:fldCharType="begin"/>
      </w:r>
      <w:r w:rsidRPr="003A4B56">
        <w:rPr>
          <w:rFonts w:cs="Arial"/>
        </w:rPr>
        <w:instrText xml:space="preserve"> REF _Ref336529014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5.7</w:t>
      </w:r>
      <w:r w:rsidRPr="003A4B56">
        <w:rPr>
          <w:rFonts w:cs="Arial"/>
        </w:rPr>
        <w:fldChar w:fldCharType="end"/>
      </w:r>
      <w:r w:rsidRPr="003A4B56">
        <w:rPr>
          <w:rFonts w:cs="Arial"/>
        </w:rPr>
        <w:t xml:space="preserv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La plaza de colocación más importante del año 2001 fue Brasil, país que absorbió el 64% del volumen  de papa consumo y fue el responsable de la expansión de los envíos chilenos. Esta situación se debió básicamente a la prohibición de importar papas y hortalizas provenientes de zonas desde Argentina por problemas fitosanitarios. Esta coyuntura brindó muy buenas oportunidades para aumentar la presencia del producto chileno en Brasil, pero que no se materializó en los años siguientes. </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b/>
        </w:rPr>
      </w:pPr>
      <w:bookmarkStart w:id="294" w:name="_Ref336529014"/>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7</w:t>
      </w:r>
      <w:r w:rsidR="00951FEC">
        <w:rPr>
          <w:b/>
        </w:rPr>
        <w:fldChar w:fldCharType="end"/>
      </w:r>
      <w:bookmarkEnd w:id="294"/>
      <w:r w:rsidRPr="003A4B56">
        <w:rPr>
          <w:b/>
        </w:rPr>
        <w:t xml:space="preserve"> </w:t>
      </w:r>
    </w:p>
    <w:p w:rsidR="000A1474" w:rsidRPr="003A4B56" w:rsidRDefault="00254CE2" w:rsidP="00B51B51">
      <w:pPr>
        <w:widowControl w:val="0"/>
        <w:tabs>
          <w:tab w:val="left" w:pos="0"/>
          <w:tab w:val="left" w:pos="426"/>
          <w:tab w:val="left" w:pos="851"/>
          <w:tab w:val="left" w:pos="1418"/>
          <w:tab w:val="left" w:pos="8789"/>
        </w:tabs>
        <w:ind w:right="49"/>
        <w:jc w:val="center"/>
        <w:rPr>
          <w:rFonts w:cs="Arial"/>
          <w:b/>
          <w:bCs/>
          <w:noProof/>
          <w:spacing w:val="-3"/>
        </w:rPr>
      </w:pPr>
      <w:r>
        <w:rPr>
          <w:rFonts w:cs="Arial"/>
          <w:b/>
          <w:bCs/>
          <w:noProof/>
          <w:spacing w:val="-3"/>
          <w:lang w:val="es-CL" w:eastAsia="es-CL"/>
        </w:rPr>
        <w:drawing>
          <wp:inline distT="0" distB="0" distL="0" distR="0">
            <wp:extent cx="4433570" cy="2115820"/>
            <wp:effectExtent l="0" t="0" r="508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33570" cy="2115820"/>
                    </a:xfrm>
                    <a:prstGeom prst="rect">
                      <a:avLst/>
                    </a:prstGeom>
                    <a:noFill/>
                    <a:ln>
                      <a:noFill/>
                    </a:ln>
                  </pic:spPr>
                </pic:pic>
              </a:graphicData>
            </a:graphic>
          </wp:inline>
        </w:drawing>
      </w:r>
    </w:p>
    <w:p w:rsidR="000A1474" w:rsidRPr="003A4B56" w:rsidRDefault="000A1474" w:rsidP="00B51B51">
      <w:pPr>
        <w:widowControl w:val="0"/>
        <w:tabs>
          <w:tab w:val="left" w:pos="0"/>
          <w:tab w:val="left" w:pos="426"/>
          <w:tab w:val="left" w:pos="851"/>
          <w:tab w:val="left" w:pos="1418"/>
          <w:tab w:val="left" w:pos="8789"/>
        </w:tabs>
        <w:ind w:right="49"/>
        <w:jc w:val="center"/>
        <w:rPr>
          <w:rFonts w:cs="Arial"/>
          <w:noProof/>
          <w:spacing w:val="-3"/>
          <w:sz w:val="20"/>
          <w:szCs w:val="20"/>
        </w:rPr>
      </w:pPr>
      <w:r w:rsidRPr="003A4B56">
        <w:rPr>
          <w:rFonts w:cs="Arial"/>
          <w:noProof/>
          <w:spacing w:val="-3"/>
          <w:sz w:val="20"/>
          <w:szCs w:val="20"/>
        </w:rPr>
        <w:t>Fuente: Elaborado en base a antecedentes de ODEPA</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 xml:space="preserve">Cabe señalar que Brasil es un nicho relevante para este producto, por cuanto es un significativo importador de papa para consumo fresco. Es importante destacar que gracias a la certificación sanitaria del SAG, Brasil autorizó el ingreso de este producto desde las regiones IX y X, lo que ha permitido a los productores de esta zona acceder a un mercado de más de 190 millones de </w:t>
      </w:r>
      <w:r w:rsidRPr="003A4B56">
        <w:rPr>
          <w:rFonts w:cs="Arial"/>
        </w:rPr>
        <w:lastRenderedPageBreak/>
        <w:t>habitantes. Si bien esta situación no favorece en forma directa a todo el país, contribuye a otorgar una mayor fluidez a la comercialización del tubérculo, lo que a futuro podría evitar la caída estacional de los precios cuando tiene lugar el grueso de la cosecha.</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Por otra parte, es interesante dar a conocer que Chile está incursionando en las exportaciones de papa preparada congelada, cuyos despachos comenzaron en 1991 con pequeños volúmenes. Posteriormente éstos fueron aumentando, alcanzando el mayor nivel en 2008 con cerca de 1.324 toneladas, lo que ha significado una tendencia alcista en el período de análisis (</w:t>
      </w:r>
      <w:r w:rsidRPr="003A4B56">
        <w:rPr>
          <w:rFonts w:cs="Arial"/>
        </w:rPr>
        <w:fldChar w:fldCharType="begin"/>
      </w:r>
      <w:r w:rsidRPr="003A4B56">
        <w:rPr>
          <w:rFonts w:cs="Arial"/>
        </w:rPr>
        <w:instrText xml:space="preserve"> REF _Ref336521573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5.8</w:t>
      </w:r>
      <w:r w:rsidRPr="003A4B56">
        <w:rPr>
          <w:rFonts w:cs="Arial"/>
        </w:rPr>
        <w:fldChar w:fldCharType="end"/>
      </w:r>
      <w:r w:rsidRPr="003A4B56">
        <w:rPr>
          <w:rFonts w:cs="Arial"/>
        </w:rPr>
        <w:t>).  No obstante, los envíos de este producto a partir de 2008 experimentaron un importante descenso y en 2011 sólo se exportaron 46 toneladas, dirigidas a Venezuela y Kuwait.</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este plano, es válido señalar que el consumo de este producto se encuentra en vías de expansión en el ámbito nacional, lo que se podría traducir en un remplazo de su homólogo de origen importado.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jc w:val="center"/>
        <w:rPr>
          <w:b/>
        </w:rPr>
      </w:pPr>
      <w:bookmarkStart w:id="295" w:name="_Ref336521573"/>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8</w:t>
      </w:r>
      <w:r w:rsidR="00951FEC">
        <w:rPr>
          <w:b/>
        </w:rPr>
        <w:fldChar w:fldCharType="end"/>
      </w:r>
      <w:bookmarkEnd w:id="295"/>
      <w:r w:rsidRPr="003A4B56">
        <w:rPr>
          <w:b/>
        </w:rPr>
        <w:t xml:space="preserve"> </w:t>
      </w:r>
    </w:p>
    <w:p w:rsidR="000A1474" w:rsidRPr="003A4B56" w:rsidRDefault="00254CE2" w:rsidP="00B51B51">
      <w:pPr>
        <w:widowControl w:val="0"/>
        <w:tabs>
          <w:tab w:val="left" w:pos="426"/>
        </w:tabs>
        <w:jc w:val="center"/>
        <w:rPr>
          <w:rFonts w:cs="Arial"/>
          <w:noProof/>
        </w:rPr>
      </w:pPr>
      <w:r>
        <w:rPr>
          <w:rFonts w:cs="Arial"/>
          <w:noProof/>
          <w:lang w:val="es-CL" w:eastAsia="es-CL"/>
        </w:rPr>
        <w:drawing>
          <wp:inline distT="0" distB="0" distL="0" distR="0">
            <wp:extent cx="4486910" cy="2115820"/>
            <wp:effectExtent l="0" t="0" r="889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486910" cy="211582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Las exportaciones de papa para semilla, entretanto, han mostrado un comportamiento alcista, constatándose los mayores envíos en 2007 con 1.058 toneladas y los menores en 1990 con 74 toneladas. Cabe destacar que en 1999 éstos sufrieron un descenso del orden del 30% respecto de los efectuados en 1998, situación que se repitió en el año 2000 (</w:t>
      </w:r>
      <w:r w:rsidRPr="003A4B56">
        <w:rPr>
          <w:rFonts w:cs="Arial"/>
        </w:rPr>
        <w:fldChar w:fldCharType="begin"/>
      </w:r>
      <w:r w:rsidRPr="003A4B56">
        <w:rPr>
          <w:rFonts w:cs="Arial"/>
        </w:rPr>
        <w:instrText xml:space="preserve"> REF _Ref336521590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5.9</w:t>
      </w:r>
      <w:r w:rsidRPr="003A4B56">
        <w:rPr>
          <w:rFonts w:cs="Arial"/>
        </w:rPr>
        <w:fldChar w:fldCharType="end"/>
      </w:r>
      <w:r w:rsidRPr="003A4B56">
        <w:rPr>
          <w:rFonts w:cs="Arial"/>
        </w:rPr>
        <w:t xml:space="preserve">). Esto fue consecuencia de una caída de las adquisiciones por parte de Brasil. No obstante, dicho país ha sido el principal demandante de este producto. Es así como en el transcurso del año 2007 absorbió casi el 90% de los envíos, pero en 2008 disminuyó drásticamente sus internaciones, lo que significó que el volumen total exportado por Chile se situara en torno a las 631 toneladas, equivalentes a  US$515 mil FOB.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términos generales, se debe destacar que los envíos de papa semilla han sido bastante erráticos y en 2011anotaron otra disminución, al transarse 488 toneladas, dirigidas en su totalidad a Brasil, Venezuela y Honduras. </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426"/>
        </w:tabs>
        <w:rPr>
          <w:rFonts w:cs="Arial"/>
        </w:rPr>
      </w:pPr>
      <w:r w:rsidRPr="003A4B56">
        <w:rPr>
          <w:rFonts w:cs="Arial"/>
        </w:rPr>
        <w:t>En el contexto de las importaciones, cabe destacar que las de papas preparadas o conservadas congeladas han mostrado un importante incremento. De hecho, las compras de estos productos en el exterior en 1991 alcanzaron a 154,3 toneladas y en 2011 sumaron más de 35 mil toneladas, lo que revela una expansión de más de 230 veces (</w:t>
      </w:r>
      <w:r w:rsidRPr="003A4B56">
        <w:rPr>
          <w:rFonts w:cs="Arial"/>
        </w:rPr>
        <w:fldChar w:fldCharType="begin"/>
      </w:r>
      <w:r w:rsidRPr="003A4B56">
        <w:rPr>
          <w:rFonts w:cs="Arial"/>
        </w:rPr>
        <w:instrText xml:space="preserve"> REF _Ref336529208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5.10</w:t>
      </w:r>
      <w:r w:rsidRPr="003A4B56">
        <w:rPr>
          <w:rFonts w:cs="Arial"/>
        </w:rPr>
        <w:fldChar w:fldCharType="end"/>
      </w:r>
      <w:r w:rsidRPr="003A4B56">
        <w:rPr>
          <w:rFonts w:cs="Arial"/>
        </w:rPr>
        <w:t xml:space="preserve">). Tradicionalmente, </w:t>
      </w:r>
      <w:r w:rsidRPr="003A4B56">
        <w:rPr>
          <w:rFonts w:cs="Arial"/>
        </w:rPr>
        <w:lastRenderedPageBreak/>
        <w:t xml:space="preserve">los principales proveedores habían sido Argentina, Bélgica, Holanda, Estados Unidos y Canadá, los dos últimos estrechamente vinculados a las cadenas de distribución de comida rápida instaladas en Chile. </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426"/>
        </w:tabs>
        <w:jc w:val="center"/>
        <w:rPr>
          <w:b/>
        </w:rPr>
      </w:pPr>
      <w:bookmarkStart w:id="296" w:name="_Ref336521590"/>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9</w:t>
      </w:r>
      <w:r w:rsidR="00951FEC">
        <w:rPr>
          <w:b/>
        </w:rPr>
        <w:fldChar w:fldCharType="end"/>
      </w:r>
      <w:bookmarkEnd w:id="296"/>
      <w:r w:rsidRPr="003A4B56">
        <w:rPr>
          <w:b/>
        </w:rPr>
        <w:t xml:space="preserve"> </w:t>
      </w:r>
    </w:p>
    <w:p w:rsidR="000A1474" w:rsidRPr="003A4B56" w:rsidRDefault="00254CE2" w:rsidP="00B51B51">
      <w:pPr>
        <w:widowControl w:val="0"/>
        <w:tabs>
          <w:tab w:val="left" w:pos="426"/>
        </w:tabs>
        <w:jc w:val="center"/>
        <w:rPr>
          <w:rFonts w:cs="Arial"/>
          <w:noProof/>
        </w:rPr>
      </w:pPr>
      <w:r>
        <w:rPr>
          <w:rFonts w:cs="Arial"/>
          <w:noProof/>
          <w:lang w:val="es-CL" w:eastAsia="es-CL"/>
        </w:rPr>
        <w:drawing>
          <wp:inline distT="0" distB="0" distL="0" distR="0">
            <wp:extent cx="4508500" cy="2052320"/>
            <wp:effectExtent l="0" t="0" r="6350" b="508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08500" cy="205232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pPr>
    </w:p>
    <w:p w:rsidR="000A1474" w:rsidRPr="003A4B56" w:rsidRDefault="000A1474" w:rsidP="00B51B51">
      <w:pPr>
        <w:widowControl w:val="0"/>
      </w:pPr>
      <w:r w:rsidRPr="003A4B56">
        <w:t>Cabe señalar que entre los años 2002 y 2004 las internaciones tendieron a estabilizarse en torno a las 11 mil toneladas, lo que inducía a pensar que la producción nacional estaría abasteciendo el consumo al alza de este producto. No obstante, la expansión en el consumo de este producto es mayor que la producción interna.</w:t>
      </w:r>
    </w:p>
    <w:p w:rsidR="000A1474" w:rsidRPr="003A4B56" w:rsidRDefault="000A1474" w:rsidP="00B51B51">
      <w:pPr>
        <w:widowControl w:val="0"/>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97" w:name="_Ref336529208"/>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10</w:t>
      </w:r>
      <w:r w:rsidR="00951FEC">
        <w:rPr>
          <w:b/>
        </w:rPr>
        <w:fldChar w:fldCharType="end"/>
      </w:r>
      <w:bookmarkEnd w:id="297"/>
    </w:p>
    <w:p w:rsidR="000A1474" w:rsidRPr="003A4B56" w:rsidRDefault="00254CE2" w:rsidP="00B51B51">
      <w:pPr>
        <w:widowControl w:val="0"/>
        <w:tabs>
          <w:tab w:val="left" w:pos="426"/>
        </w:tabs>
        <w:jc w:val="center"/>
        <w:rPr>
          <w:rFonts w:cs="Arial"/>
        </w:rPr>
      </w:pPr>
      <w:r>
        <w:rPr>
          <w:rFonts w:cs="Arial"/>
          <w:noProof/>
          <w:lang w:val="es-CL" w:eastAsia="es-CL"/>
        </w:rPr>
        <w:drawing>
          <wp:inline distT="0" distB="0" distL="0" distR="0">
            <wp:extent cx="4486910" cy="2105025"/>
            <wp:effectExtent l="0" t="0" r="8890" b="952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486910" cy="2105025"/>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En el año 2011 el origen de las importaciones de papas preparadas congeladas fue Bélgica, Argentina, Holanda, Alemania y Estados Unidos, los que en conjunto representaron el 99% de las compras chilenas.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Las internaciones de papas preparadas o conservadas sin congelar, entre 1990 y 1999 experimentaron un fuerte crecimiento, totalizando en el último año algo más de 1.437 toneladas; pero a partir del año 2000 éstas sufrieron un sostenido deterioro, lo que sería atribuible a la sustitución de este producto por producción doméstica. No obstante se debe señalar que en 2010 y 2011 éstas experimentaron un claro repunte, superando a lo internado en 1999 cuando </w:t>
      </w:r>
      <w:r w:rsidRPr="003A4B56">
        <w:rPr>
          <w:rFonts w:cs="Arial"/>
        </w:rPr>
        <w:lastRenderedPageBreak/>
        <w:t>se registró el peak de importaciones (</w:t>
      </w:r>
      <w:r w:rsidRPr="003A4B56">
        <w:rPr>
          <w:rFonts w:cs="Arial"/>
        </w:rPr>
        <w:fldChar w:fldCharType="begin"/>
      </w:r>
      <w:r w:rsidRPr="003A4B56">
        <w:rPr>
          <w:rFonts w:cs="Arial"/>
        </w:rPr>
        <w:instrText xml:space="preserve"> REF _Ref336529539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5.11</w:t>
      </w:r>
      <w:r w:rsidRPr="003A4B56">
        <w:rPr>
          <w:rFonts w:cs="Arial"/>
        </w:rPr>
        <w:fldChar w:fldCharType="end"/>
      </w:r>
      <w:r w:rsidRPr="003A4B56">
        <w:rPr>
          <w:rFonts w:cs="Arial"/>
        </w:rPr>
        <w:t xml:space="preserve">). En el año 2011 éstas totalizaron 1.830 toneladas, equivalentes a US$8,4 millones CIF. El origen del producto, durante el último año, fue principalmente desde países del hemisferio norte, como México,  Estados Unidos, Holanda y Canadá. </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En el ámbito interno, el canal de comercialización de mayor relevancia es el comerciante intermediario que compra directamente en el predio para transportar el producto a los grandes centros urbanos, en especial, al mercado mayorista de Lo Valledor en Santiago. Los medianos y grandes productores comercializan directamente en este mercado. En menor escala, se canaliza el producto a algunas agroindustrias (puré y chips) y se envasa también para supermercados.</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98" w:name="_Ref336529539"/>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11</w:t>
      </w:r>
      <w:r w:rsidR="00951FEC">
        <w:rPr>
          <w:b/>
        </w:rPr>
        <w:fldChar w:fldCharType="end"/>
      </w:r>
      <w:bookmarkEnd w:id="298"/>
    </w:p>
    <w:p w:rsidR="000A1474" w:rsidRPr="003A4B56" w:rsidRDefault="00254CE2" w:rsidP="00B51B51">
      <w:pPr>
        <w:widowControl w:val="0"/>
        <w:tabs>
          <w:tab w:val="left" w:pos="426"/>
        </w:tabs>
        <w:jc w:val="center"/>
        <w:rPr>
          <w:rFonts w:cs="Arial"/>
        </w:rPr>
      </w:pPr>
      <w:r>
        <w:rPr>
          <w:rFonts w:cs="Arial"/>
          <w:noProof/>
          <w:lang w:val="es-CL" w:eastAsia="es-CL"/>
        </w:rPr>
        <w:drawing>
          <wp:inline distT="0" distB="0" distL="0" distR="0">
            <wp:extent cx="4657090" cy="223266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57090" cy="223266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En términos generales, cabe señalar que los productores no tienen muchas posibilidades de negociar el precio de venta, ya que los intermediarios ofrecen un valor definido, que está ligado al resultado de la cosecha de la temporada anterior y de la actual. La primera, influye en el nivel de existencias que puedan aun conservarse, en tanto que la segunda, y de mayor impacto, define la oferta para el período de comercialización. Tanto las exportaciones del tubérculo como el volumen destinado a la agroindustria, todavía no son suficientes como para influir significativamente en el mercado.</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En los próximos años se debería esperar una importante modernización de este cultivo, tanto en términos de variedades y tecnologías de cultivo como de canales de comercialización y exigencias de requerimientos, de acuerdo al uso final de las papas.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Este rubro tiene perspectivas favorables a nivel nacional, las que deben asociarse a la producción de papa temprana, a la exportación de papa para consumo y semilla, al crecimiento de la demanda en los restaurantes de comida rápida y a la elaboración de productos agroindustriales como papas fritas, congeladas y prefritas; estas últimas para ser consumidas en el país o para exportación.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este contexto, cabe señalar que Chile desde 1997 puede exportar e importar todo tipo de productos de papas hacia y desde México, Colombia y Venezuela con arancel 0; desde el 1/1/98 ocurre lo mismo con Ecuador. Asimismo, los embarques a Canadá entran libres de </w:t>
      </w:r>
      <w:r w:rsidRPr="003A4B56">
        <w:rPr>
          <w:rFonts w:cs="Arial"/>
        </w:rPr>
        <w:lastRenderedPageBreak/>
        <w:t>arancel y las importaciones alcanzaron arancel 0 el año  2007. En Perú, las exportaciones de copos de papa entran con arancel 0 desde el año 2008, en tanto que las preparadas conservadas con y sin congelar lo hacen desde 2003.</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 xml:space="preserve">En MERCOSUR, las preferencias varían dependiendo de la clasificación arancelaria. Así para semilla el arancel externo común es </w:t>
      </w:r>
      <w:smartTag w:uri="urn:schemas-microsoft-com:office:smarttags" w:element="metricconverter">
        <w:smartTagPr>
          <w:attr w:name="ProductID" w:val="0. A"/>
        </w:smartTagPr>
        <w:r w:rsidRPr="003A4B56">
          <w:rPr>
            <w:rFonts w:cs="Arial"/>
          </w:rPr>
          <w:t>0. A</w:t>
        </w:r>
      </w:smartTag>
      <w:r w:rsidRPr="003A4B56">
        <w:rPr>
          <w:rFonts w:cs="Arial"/>
        </w:rPr>
        <w:t xml:space="preserve"> las papas congeladas sin preparar, las secas, los copos y las preparadas sin congelar, se les otorgó una preferencia inicial de 40%, y quedaron con arancel 0 el año 2004. La preferencia inicial para las papas para consumo fresco fue de 70%, para quedar con arancel 0 en el 2004. Por último, las preparadas congeladas tienen una preferencia inicial de un 30%, que se mantuvo hasta 1999, posteriormente, ésta se fue incrementando hasta llegar a 100% el año 2006.</w:t>
      </w:r>
    </w:p>
    <w:p w:rsidR="000A1474" w:rsidRPr="003A4B56" w:rsidRDefault="000A1474" w:rsidP="00B51B51">
      <w:pPr>
        <w:widowControl w:val="0"/>
        <w:tabs>
          <w:tab w:val="left" w:pos="426"/>
        </w:tabs>
        <w:rPr>
          <w:rFonts w:cs="Arial"/>
          <w:noProof/>
        </w:rPr>
      </w:pPr>
      <w:r w:rsidRPr="003A4B56">
        <w:rPr>
          <w:rFonts w:cs="Arial"/>
          <w:noProof/>
        </w:rPr>
        <w:tab/>
      </w:r>
      <w:r w:rsidRPr="003A4B56">
        <w:rPr>
          <w:rFonts w:cs="Arial"/>
          <w:noProof/>
        </w:rPr>
        <w:tab/>
      </w:r>
    </w:p>
    <w:p w:rsidR="000A1474" w:rsidRPr="003A4B56" w:rsidRDefault="000A1474" w:rsidP="00B51B51">
      <w:pPr>
        <w:widowControl w:val="0"/>
        <w:tabs>
          <w:tab w:val="left" w:pos="426"/>
        </w:tabs>
        <w:rPr>
          <w:rFonts w:cs="Arial"/>
        </w:rPr>
      </w:pPr>
      <w:r w:rsidRPr="003A4B56">
        <w:rPr>
          <w:rFonts w:cs="Arial"/>
        </w:rPr>
        <w:t xml:space="preserve">En los acuerdos más recientes suscritos por Chile las importaciones de papa congeladas provenientes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y Estados Unidos actualmente no pagan arancel; asimismo, las de papas preparadas sin congelar desde Estados Unidos dejaron de gravar su entrada a partir del año 4 de vigencia del acuerdo (2008), mientras que las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lo harán al año 10, es decir, en 2013.</w:t>
      </w:r>
    </w:p>
    <w:p w:rsidR="000A1474" w:rsidRPr="003A4B56" w:rsidRDefault="000A1474" w:rsidP="00B51B51">
      <w:pPr>
        <w:widowControl w:val="0"/>
        <w:tabs>
          <w:tab w:val="left" w:pos="426"/>
        </w:tabs>
        <w:rPr>
          <w:rFonts w:cs="Arial"/>
          <w:noProof/>
        </w:rPr>
      </w:pPr>
    </w:p>
    <w:p w:rsidR="000A1474" w:rsidRPr="003A4B56" w:rsidRDefault="000A1474" w:rsidP="00B51B51">
      <w:pPr>
        <w:widowControl w:val="0"/>
        <w:tabs>
          <w:tab w:val="left" w:pos="426"/>
        </w:tabs>
        <w:rPr>
          <w:rFonts w:cs="Arial"/>
        </w:rPr>
      </w:pPr>
      <w:r w:rsidRPr="003A4B56">
        <w:rPr>
          <w:rFonts w:cs="Arial"/>
        </w:rPr>
        <w:t xml:space="preserve">En el ámbito de las exportaciones, los productos más favorecidos 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son la papa consumo y de siembra, ya que dejaron de pagar arancel de internación desde la entrada en vigencia del acuerdo, la papa congelada y los copos lo hicieron en el año 2010; en ese nicho comercial los aranceles antes del acuerdo eran de 5,8%, 4,5%, 10,9% y 8,5%, respectivamente. En Estados Unidos los envíos de copos, papa siembra, consumo y congelada, ya no pagan arancel. </w:t>
      </w:r>
    </w:p>
    <w:p w:rsidR="000A1474" w:rsidRPr="003A4B56" w:rsidRDefault="000A1474" w:rsidP="00B51B51">
      <w:pPr>
        <w:widowControl w:val="0"/>
        <w:tabs>
          <w:tab w:val="left" w:pos="426"/>
        </w:tabs>
        <w:rPr>
          <w:rFonts w:cs="Arial"/>
        </w:rPr>
      </w:pPr>
    </w:p>
    <w:p w:rsidR="000A1474" w:rsidRPr="003A4B56" w:rsidRDefault="00A24E25" w:rsidP="00B51B51">
      <w:pPr>
        <w:widowControl w:val="0"/>
      </w:pPr>
      <w:r w:rsidRPr="003A4B56">
        <w:t>-</w:t>
      </w:r>
      <w:r w:rsidRPr="003A4B56">
        <w:tab/>
      </w:r>
      <w:r w:rsidR="000A1474" w:rsidRPr="003A4B56">
        <w:t>Poroto</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El poroto es la principal leguminosa cultivada en el país, extendiéndose desde </w:t>
      </w:r>
      <w:smartTag w:uri="urn:schemas-microsoft-com:office:smarttags" w:element="PersonName">
        <w:smartTagPr>
          <w:attr w:name="ProductID" w:val="la III"/>
        </w:smartTagPr>
        <w:r w:rsidRPr="003A4B56">
          <w:rPr>
            <w:rFonts w:cs="Arial"/>
          </w:rPr>
          <w:t>la III</w:t>
        </w:r>
      </w:smartTag>
      <w:r w:rsidRPr="003A4B56">
        <w:rPr>
          <w:rFonts w:cs="Arial"/>
        </w:rPr>
        <w:t xml:space="preserve"> a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alcanzando en la temporada 1996/97 un total de 30.193 has, de las cuales el 73,3% correspondieron a variedades de consumo interno y el resto a exportación.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la últimas dos décadas el área destinada al frejol ha fluctuado significativamente anotando la mayor extensión en la temporada 1990/91 con </w:t>
      </w:r>
      <w:smartTag w:uri="urn:schemas-microsoft-com:office:smarttags" w:element="metricconverter">
        <w:smartTagPr>
          <w:attr w:name="ProductID" w:val="88.440 ha"/>
        </w:smartTagPr>
        <w:r w:rsidRPr="003A4B56">
          <w:rPr>
            <w:rFonts w:cs="Arial"/>
          </w:rPr>
          <w:t>88.440 ha</w:t>
        </w:r>
      </w:smartTag>
      <w:r w:rsidRPr="003A4B56">
        <w:rPr>
          <w:rFonts w:cs="Arial"/>
        </w:rPr>
        <w:t xml:space="preserve"> y la menor en 2006/07 con </w:t>
      </w:r>
      <w:smartTag w:uri="urn:schemas-microsoft-com:office:smarttags" w:element="metricconverter">
        <w:smartTagPr>
          <w:attr w:name="ProductID" w:val="11.573 ha"/>
        </w:smartTagPr>
        <w:r w:rsidRPr="003A4B56">
          <w:rPr>
            <w:rFonts w:cs="Arial"/>
          </w:rPr>
          <w:t>11.573 ha</w:t>
        </w:r>
      </w:smartTag>
      <w:r w:rsidRPr="003A4B56">
        <w:rPr>
          <w:rFonts w:cs="Arial"/>
        </w:rPr>
        <w:t>, lo que revela una contracción de algo más de 86% (</w:t>
      </w:r>
      <w:r w:rsidRPr="003A4B56">
        <w:rPr>
          <w:rFonts w:cs="Arial"/>
        </w:rPr>
        <w:fldChar w:fldCharType="begin"/>
      </w:r>
      <w:r w:rsidRPr="003A4B56">
        <w:rPr>
          <w:rFonts w:cs="Arial"/>
        </w:rPr>
        <w:instrText xml:space="preserve"> REF _Ref336529636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Tabla </w:t>
      </w:r>
      <w:r w:rsidR="00264070" w:rsidRPr="00264070">
        <w:rPr>
          <w:noProof/>
        </w:rPr>
        <w:t>5.71</w:t>
      </w:r>
      <w:r w:rsidRPr="003A4B56">
        <w:rPr>
          <w:rFonts w:cs="Arial"/>
        </w:rPr>
        <w:fldChar w:fldCharType="end"/>
      </w:r>
      <w:r w:rsidRPr="003A4B56">
        <w:rPr>
          <w:rFonts w:cs="Arial"/>
        </w:rPr>
        <w:t xml:space="preserv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Este descenso del área de cultivo ha estado en estrecha relación con el deterioro de las exportaciones y la caída que han experimentado los precios en el mercado interno.</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de acuerdo al VII Censo Nacional Agropecuario realizado por INE, en la temporada 2006/07 se cultivaron  </w:t>
      </w:r>
      <w:smartTag w:uri="urn:schemas-microsoft-com:office:smarttags" w:element="metricconverter">
        <w:smartTagPr>
          <w:attr w:name="ProductID" w:val="732,8 ha"/>
        </w:smartTagPr>
        <w:r w:rsidRPr="003A4B56">
          <w:rPr>
            <w:rFonts w:cs="Arial"/>
          </w:rPr>
          <w:t>732,8 ha</w:t>
        </w:r>
      </w:smartTag>
      <w:r w:rsidRPr="003A4B56">
        <w:rPr>
          <w:rFonts w:cs="Arial"/>
        </w:rPr>
        <w:t xml:space="preserve"> con esta especie, de las cuales más del 96% correspondió a variedades de consumo interno. El área regional representa el 6,7% del total nacional, distribuida en 68,</w:t>
      </w:r>
      <w:r w:rsidR="00AA000E">
        <w:rPr>
          <w:rFonts w:cs="Arial"/>
        </w:rPr>
        <w:t>2% en la provincia de Colchagua,</w:t>
      </w:r>
      <w:r w:rsidRPr="003A4B56">
        <w:rPr>
          <w:rFonts w:cs="Arial"/>
        </w:rPr>
        <w:t xml:space="preserve"> 26,2% en Cachapoal y, el 5,6% restante en Cardenal Caro.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A nivel nacional la producción ha variado considerablemente, aunque no ha mostrado el mismo comportamiento de alzas y bajas exhibido por la superficie, lo cual sería atribuible a los cambios experimentados por los rendimientos.</w:t>
      </w:r>
    </w:p>
    <w:p w:rsidR="000A1474" w:rsidRDefault="000A1474" w:rsidP="00B51B51">
      <w:pPr>
        <w:widowControl w:val="0"/>
        <w:tabs>
          <w:tab w:val="left" w:pos="426"/>
        </w:tabs>
        <w:rPr>
          <w:rFonts w:cs="Arial"/>
        </w:rPr>
      </w:pPr>
    </w:p>
    <w:p w:rsidR="002C3D81" w:rsidRDefault="002C3D81" w:rsidP="00B51B51">
      <w:pPr>
        <w:widowControl w:val="0"/>
        <w:tabs>
          <w:tab w:val="left" w:pos="426"/>
        </w:tabs>
        <w:rPr>
          <w:rFonts w:cs="Arial"/>
        </w:rPr>
      </w:pPr>
    </w:p>
    <w:p w:rsidR="002C3D81" w:rsidRPr="003A4B56" w:rsidRDefault="002C3D81" w:rsidP="00B51B51">
      <w:pPr>
        <w:widowControl w:val="0"/>
        <w:tabs>
          <w:tab w:val="left" w:pos="426"/>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299" w:name="_Ref336529636"/>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71</w:t>
      </w:r>
      <w:r w:rsidR="007F3102">
        <w:rPr>
          <w:b/>
        </w:rPr>
        <w:fldChar w:fldCharType="end"/>
      </w:r>
      <w:bookmarkEnd w:id="299"/>
    </w:p>
    <w:p w:rsidR="000A1474" w:rsidRPr="003A4B56" w:rsidRDefault="00254CE2" w:rsidP="00B51B51">
      <w:pPr>
        <w:pStyle w:val="Epgrafe"/>
        <w:widowControl w:val="0"/>
        <w:tabs>
          <w:tab w:val="left" w:pos="-720"/>
          <w:tab w:val="left" w:pos="426"/>
          <w:tab w:val="left" w:pos="851"/>
          <w:tab w:val="left" w:pos="8789"/>
        </w:tabs>
        <w:rPr>
          <w:noProof/>
        </w:rPr>
      </w:pPr>
      <w:r>
        <w:rPr>
          <w:noProof/>
          <w:lang w:val="es-CL" w:eastAsia="es-CL"/>
        </w:rPr>
        <w:drawing>
          <wp:inline distT="0" distB="0" distL="0" distR="0">
            <wp:extent cx="2924175" cy="3285490"/>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24175" cy="3285490"/>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tabs>
          <w:tab w:val="left" w:pos="-720"/>
          <w:tab w:val="left" w:pos="426"/>
          <w:tab w:val="left" w:pos="851"/>
          <w:tab w:val="left" w:pos="2552"/>
          <w:tab w:val="left" w:pos="8789"/>
        </w:tabs>
        <w:ind w:right="49"/>
        <w:rPr>
          <w:rFonts w:cs="Arial"/>
          <w:noProof/>
          <w:spacing w:val="-3"/>
          <w:szCs w:val="22"/>
        </w:rPr>
      </w:pPr>
    </w:p>
    <w:p w:rsidR="000A1474" w:rsidRPr="003A4B56" w:rsidRDefault="000A1474" w:rsidP="00B51B51">
      <w:pPr>
        <w:widowControl w:val="0"/>
        <w:tabs>
          <w:tab w:val="left" w:pos="426"/>
        </w:tabs>
        <w:rPr>
          <w:rFonts w:cs="Arial"/>
        </w:rPr>
      </w:pPr>
      <w:r w:rsidRPr="003A4B56">
        <w:rPr>
          <w:rFonts w:cs="Arial"/>
        </w:rPr>
        <w:t>En efecto, éstos han oscilado entre 19,6 qqm/ha y 10,6 qqm/ha, y no han sufrido un incremento constante a través de las temporadas como lo han hecho, por ejemplo, el trigo y el maíz. Este fenómeno sería consecuencia de que este cultivo lo realizan principalmente pequeños productores que no incorporan tecnología en el ámbito de la producción. No obstante, se debe señalar que a partir del año 2000, éstos han mostrado un incremento asociado a la utilización</w:t>
      </w:r>
      <w:r w:rsidR="00AA000E">
        <w:rPr>
          <w:rFonts w:cs="Arial"/>
        </w:rPr>
        <w:t xml:space="preserve"> de semillas de mejor calidad.</w:t>
      </w:r>
    </w:p>
    <w:p w:rsidR="000A1474" w:rsidRPr="003A4B56" w:rsidRDefault="000A1474" w:rsidP="00B51B51">
      <w:pPr>
        <w:widowControl w:val="0"/>
        <w:tabs>
          <w:tab w:val="left" w:pos="-720"/>
          <w:tab w:val="left" w:pos="426"/>
          <w:tab w:val="left" w:pos="851"/>
          <w:tab w:val="left" w:pos="2552"/>
          <w:tab w:val="left" w:pos="8789"/>
        </w:tabs>
        <w:ind w:right="49"/>
        <w:rPr>
          <w:rFonts w:cs="Arial"/>
          <w:noProof/>
          <w:spacing w:val="-3"/>
          <w:szCs w:val="22"/>
        </w:rPr>
      </w:pPr>
    </w:p>
    <w:p w:rsidR="000A1474" w:rsidRPr="003A4B56" w:rsidRDefault="000A1474" w:rsidP="00B51B51">
      <w:pPr>
        <w:widowControl w:val="0"/>
        <w:tabs>
          <w:tab w:val="left" w:pos="426"/>
        </w:tabs>
        <w:rPr>
          <w:rFonts w:cs="Arial"/>
        </w:rPr>
      </w:pPr>
      <w:r w:rsidRPr="003A4B56">
        <w:rPr>
          <w:rFonts w:cs="Arial"/>
        </w:rPr>
        <w:t xml:space="preserve">A pesar de lo anterior se debe tener en consideración que en este rubro, a diferencia de otros, no ha existido un programa masivo de transferencia tecnológica que permita elevar la productividad de esta leguminosa. Es así como un bajo porcentaje de la superficie sembrada corresponde a semilla certificada, ya que en la mayoría de los casos los agricultores utilizan su propia semilla, que presenta baja germinación y alta susceptibilidad a enfermedades. Por lo tanto, en esta materia queda aún un amplio margen para mejorar la rentabilidad.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En cuanto a las transacciones, los bajos volúmenes comercializados por cada agricultor les otorga individualmente un escaso poder de negociación, de manera que este mercado opera a través de un gran número de intermediarios, entre los que figuran: comisionistas, bodegueros o acopiadores y corredores.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A través de los canales señalados se comercializan tanto las variedades de consumo interno como las destinadas a la exportación. Dentro de las primeras la principal es la variedad Tórtola y entre las segundas se destacan básicamente los frejoles Black Mexican, Arroz, y Hallados.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Cabe destacar que las variaciones de precios del producto doméstico están asociadas tanto a la oferta interna como a la demanda externa, ya que Chile es un exportador de esta leguminosa. Si bien la variedad Tórtola no se exporta y es preferida por los consumidores </w:t>
      </w:r>
      <w:r w:rsidRPr="003A4B56">
        <w:rPr>
          <w:rFonts w:cs="Arial"/>
        </w:rPr>
        <w:lastRenderedPageBreak/>
        <w:t>chilenos, sus cotizaciones se ven afectadas por la disponibilidad general de esta leguminosa, la que aumenta si las exportaciones caen.</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_Ref336529741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5.12</w:t>
      </w:r>
      <w:r w:rsidRPr="003A4B56">
        <w:rPr>
          <w:rFonts w:cs="Arial"/>
        </w:rPr>
        <w:fldChar w:fldCharType="end"/>
      </w:r>
      <w:r w:rsidRPr="003A4B56">
        <w:rPr>
          <w:rFonts w:cs="Arial"/>
        </w:rPr>
        <w:t xml:space="preserve"> se presentan las exportaciones de poroto consumo común, en donde se aprecia claramente que éstas en los últimos años han exhibido una fuerte caída, y en el 2011 sumaron 526 toneladas equivalentes a US$619 mil FOB. </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0" w:name="_Ref336529741"/>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12</w:t>
      </w:r>
      <w:r w:rsidR="00951FEC">
        <w:rPr>
          <w:b/>
        </w:rPr>
        <w:fldChar w:fldCharType="end"/>
      </w:r>
      <w:bookmarkEnd w:id="300"/>
    </w:p>
    <w:p w:rsidR="000A1474" w:rsidRPr="003A4B56" w:rsidRDefault="00254CE2" w:rsidP="00B51B51">
      <w:pPr>
        <w:widowControl w:val="0"/>
        <w:tabs>
          <w:tab w:val="left" w:pos="426"/>
        </w:tabs>
        <w:jc w:val="center"/>
        <w:rPr>
          <w:rFonts w:cs="Arial"/>
          <w:szCs w:val="22"/>
        </w:rPr>
      </w:pPr>
      <w:r>
        <w:rPr>
          <w:rFonts w:cs="Arial"/>
          <w:noProof/>
          <w:lang w:val="es-CL" w:eastAsia="es-CL"/>
        </w:rPr>
        <w:drawing>
          <wp:inline distT="0" distB="0" distL="0" distR="0">
            <wp:extent cx="4486910" cy="1754505"/>
            <wp:effectExtent l="0" t="0" r="889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486910" cy="1754505"/>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En el curso del año 2011, los principales demandantes del producto chileno, fuero Angola y España, entre otros. Es preciso indicar que tradicionalmente Brasil había liderado las adquisiciones de poroto, pero desde 1999 éstas sufrieron una abrupta caída, al pasar desde 10.921 toneladas en </w:t>
      </w:r>
      <w:smartTag w:uri="urn:schemas-microsoft-com:office:smarttags" w:element="metricconverter">
        <w:smartTagPr>
          <w:attr w:name="ProductID" w:val="1999 a"/>
        </w:smartTagPr>
        <w:r w:rsidRPr="003A4B56">
          <w:rPr>
            <w:rFonts w:cs="Arial"/>
          </w:rPr>
          <w:t>1999 a</w:t>
        </w:r>
      </w:smartTag>
      <w:r w:rsidRPr="003A4B56">
        <w:rPr>
          <w:rFonts w:cs="Arial"/>
        </w:rPr>
        <w:t xml:space="preserve"> prácticamente 0 en los años siguientes, lo que sería atribuible a la devaluación y a los problemas financieros que afectaron a dicho país. </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Es interesante destacar que la incorporación de Chile al MERCOSUR debería ser favorable para este rubro, puesto que Chile posee ventajas comparativas. Es así como en 1996 al suscribir el Acuerdo el arancel pagado por los envíos chilenos a Brasil bajó en forma inmediata desde 3% a 1,2%, monto que se igualó a 0 el año </w:t>
      </w:r>
      <w:smartTag w:uri="urn:schemas-microsoft-com:office:smarttags" w:element="metricconverter">
        <w:smartTagPr>
          <w:attr w:name="ProductID" w:val="2006. A"/>
        </w:smartTagPr>
        <w:r w:rsidRPr="003A4B56">
          <w:rPr>
            <w:rFonts w:cs="Arial"/>
          </w:rPr>
          <w:t>2006. A</w:t>
        </w:r>
      </w:smartTag>
      <w:r w:rsidRPr="003A4B56">
        <w:rPr>
          <w:rFonts w:cs="Arial"/>
        </w:rPr>
        <w:t xml:space="preserve"> Uruguay, en tanto, las exportaciones chilenas entre 1996 y 1999 gozaron de una preferencia arancelaria de 30%, monto que se incrementará en un 10% anual, hasta llegar a 100% en el 2006. El producto que ingresa a Venezuela, antes del acuerdo pagaba un arancel de un 15%, mientras que ahora el arancel vigente es 0. </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En los acuerdos comerciales más recientes actualmente el poroto chileno entra sin pagar arancel 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y Estados Unidos, mientras que en Corea este tributo quedará sin efecto a partir del año 10, es decir, en 2014. Se debe señalar que en años anteriores las exportaciones a Estados Unidos y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habían sido más relevantes que durante 2007, pero lo agentes compradores de esta leguminosa se encuentran optimistas en relación a estos mercados, ya que se encuentran abocados en mejorar la calidad del producto, mediante la implementación de nuevas técnicas de selección y limpieza, con el objeto de acceder a mercados más exigentes en forma estable.</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rPr>
          <w:rFonts w:cs="Arial"/>
        </w:rPr>
      </w:pPr>
      <w:r w:rsidRPr="003A4B56">
        <w:rPr>
          <w:rFonts w:cs="Arial"/>
        </w:rPr>
        <w:t>En términos generales, se puede concluir que el éxito de este cultivo estará dado fundamentalmente en el aumento de la rentabilidad, por vías tales como utilización de semilla certificada, perfeccionamiento de la cadena de comercialización y conocimiento de las variables que afectan al mercado internacional.</w:t>
      </w:r>
    </w:p>
    <w:p w:rsidR="002C3D81" w:rsidRPr="003A4B56" w:rsidRDefault="002C3D81" w:rsidP="00B51B51">
      <w:pPr>
        <w:widowControl w:val="0"/>
        <w:tabs>
          <w:tab w:val="left" w:pos="426"/>
        </w:tabs>
        <w:rPr>
          <w:rFonts w:cs="Arial"/>
        </w:rPr>
      </w:pPr>
    </w:p>
    <w:p w:rsidR="000A1474" w:rsidRPr="003A4B56" w:rsidRDefault="00A24E25" w:rsidP="00B51B51">
      <w:pPr>
        <w:widowControl w:val="0"/>
      </w:pPr>
      <w:r w:rsidRPr="003A4B56">
        <w:lastRenderedPageBreak/>
        <w:t>-</w:t>
      </w:r>
      <w:r w:rsidRPr="003A4B56">
        <w:tab/>
      </w:r>
      <w:r w:rsidR="000A1474" w:rsidRPr="003A4B56">
        <w:t>Remolacha</w:t>
      </w:r>
    </w:p>
    <w:p w:rsidR="002C3D81" w:rsidRDefault="002C3D81"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El cultivo de la remolacha se extiende desde </w:t>
      </w:r>
      <w:smartTag w:uri="urn:schemas-microsoft-com:office:smarttags" w:element="PersonName">
        <w:smartTagPr>
          <w:attr w:name="ProductID" w:val="la VI"/>
        </w:smartTagPr>
        <w:r w:rsidRPr="003A4B56">
          <w:rPr>
            <w:rFonts w:cs="Arial"/>
          </w:rPr>
          <w:t>la VI</w:t>
        </w:r>
      </w:smartTag>
      <w:r w:rsidRPr="003A4B56">
        <w:rPr>
          <w:rFonts w:cs="Arial"/>
        </w:rPr>
        <w:t xml:space="preserve"> a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del país, pero se concentra en más del 80% entre </w:t>
      </w:r>
      <w:smartTag w:uri="urn:schemas-microsoft-com:office:smarttags" w:element="PersonName">
        <w:smartTagPr>
          <w:attr w:name="ProductID" w:val="la VII"/>
        </w:smartTagPr>
        <w:r w:rsidRPr="003A4B56">
          <w:rPr>
            <w:rFonts w:cs="Arial"/>
          </w:rPr>
          <w:t>la VII</w:t>
        </w:r>
      </w:smartTag>
      <w:r w:rsidRPr="003A4B56">
        <w:rPr>
          <w:rFonts w:cs="Arial"/>
        </w:rPr>
        <w:t xml:space="preserve"> y VIII Región. En la última década, la superficie de remolacha ha variado considerablemente, puesto que ha oscilado entre </w:t>
      </w:r>
      <w:smartTag w:uri="urn:schemas-microsoft-com:office:smarttags" w:element="metricconverter">
        <w:smartTagPr>
          <w:attr w:name="ProductID" w:val="12.870 hectáreas"/>
        </w:smartTagPr>
        <w:r w:rsidRPr="003A4B56">
          <w:rPr>
            <w:rFonts w:cs="Arial"/>
          </w:rPr>
          <w:t>12.870 hectáreas</w:t>
        </w:r>
      </w:smartTag>
      <w:r w:rsidRPr="003A4B56">
        <w:rPr>
          <w:rFonts w:cs="Arial"/>
        </w:rPr>
        <w:t xml:space="preserve"> en 2008/09 y </w:t>
      </w:r>
      <w:smartTag w:uri="urn:schemas-microsoft-com:office:smarttags" w:element="metricconverter">
        <w:smartTagPr>
          <w:attr w:name="ProductID" w:val="53.280 hectáreas"/>
        </w:smartTagPr>
        <w:r w:rsidRPr="003A4B56">
          <w:rPr>
            <w:rFonts w:cs="Arial"/>
          </w:rPr>
          <w:t>53.280 hectáreas</w:t>
        </w:r>
      </w:smartTag>
      <w:r w:rsidR="00AA000E">
        <w:rPr>
          <w:rFonts w:cs="Arial"/>
        </w:rPr>
        <w:t xml:space="preserve"> en 1994/95 (</w:t>
      </w:r>
      <w:r w:rsidR="00AA000E" w:rsidRPr="00AA000E">
        <w:rPr>
          <w:rFonts w:cs="Arial"/>
        </w:rPr>
        <w:fldChar w:fldCharType="begin"/>
      </w:r>
      <w:r w:rsidR="00AA000E" w:rsidRPr="00AA000E">
        <w:rPr>
          <w:rFonts w:cs="Arial"/>
        </w:rPr>
        <w:instrText xml:space="preserve"> REF _Ref337132957 \h </w:instrText>
      </w:r>
      <w:r w:rsidR="00AA000E" w:rsidRPr="00AA000E">
        <w:rPr>
          <w:rFonts w:cs="Arial"/>
        </w:rPr>
      </w:r>
      <w:r w:rsidR="00AA000E" w:rsidRPr="00AA000E">
        <w:rPr>
          <w:rFonts w:cs="Arial"/>
        </w:rPr>
        <w:instrText xml:space="preserve"> \* MERGEFORMAT </w:instrText>
      </w:r>
      <w:r w:rsidR="00AA000E" w:rsidRPr="00AA000E">
        <w:rPr>
          <w:rFonts w:cs="Arial"/>
        </w:rPr>
        <w:fldChar w:fldCharType="separate"/>
      </w:r>
      <w:r w:rsidR="00264070" w:rsidRPr="00264070">
        <w:t xml:space="preserve">Tabla </w:t>
      </w:r>
      <w:r w:rsidR="00264070" w:rsidRPr="00264070">
        <w:rPr>
          <w:noProof/>
        </w:rPr>
        <w:t>5.72</w:t>
      </w:r>
      <w:r w:rsidR="00AA000E" w:rsidRPr="00AA000E">
        <w:rPr>
          <w:rFonts w:cs="Arial"/>
        </w:rPr>
        <w:fldChar w:fldCharType="end"/>
      </w:r>
      <w:r w:rsidR="00AA000E">
        <w:rPr>
          <w:rFonts w:cs="Arial"/>
        </w:rPr>
        <w:t>).</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No obstante, se debe tener presente que desde el período 1982/83 en adelante las siembras de esta especie aumentaron significativamente como consecuencia de la implementación del programa remolachero en esa temporada, cuyo objetivo fue ofrecer atractivas condiciones de contratación de remolacha para los agricultores en forma estable. Para esto se requería de un mecanismo que contrarrestara las bruscas fluctuaciones que ocurrían en el mercado internacional, lo que se logró con el sistema de Banda de Precios.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De esta manera, la producción nacional de remolacha hasta la temporada 1985/86 mostró un sostenido incremento, ubicándose en casi 3,2 millones de toneladas; posteriormente, la cosecha fluctuó entre 1 millón de toneladas en 2008/09 y los más 3,7 millones de toneladas recolectados en 1994/95. El nivel de producción ha estado acorde a la superficie de cultivo y a las condiciones climáticas imperantes en el desarrollo de éste.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la temporada 2006/07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participó con </w:t>
      </w:r>
      <w:smartTag w:uri="urn:schemas-microsoft-com:office:smarttags" w:element="metricconverter">
        <w:smartTagPr>
          <w:attr w:name="ProductID" w:val="576,2 hectáreas"/>
        </w:smartTagPr>
        <w:r w:rsidRPr="003A4B56">
          <w:rPr>
            <w:rFonts w:cs="Arial"/>
          </w:rPr>
          <w:t>576,2 hectáreas</w:t>
        </w:r>
      </w:smartTag>
      <w:r w:rsidRPr="003A4B56">
        <w:rPr>
          <w:rFonts w:cs="Arial"/>
        </w:rPr>
        <w:t xml:space="preserve">, equivalentes al 2,8% del total nacional, distribuidas en 7,9% en la provincia de Cachapoal; 26,2% en Cardenal Caro  y 65,9% en la correspondiente a Colchagua.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1" w:name="_Ref337132957"/>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72</w:t>
      </w:r>
      <w:r w:rsidR="007F3102">
        <w:rPr>
          <w:b/>
        </w:rPr>
        <w:fldChar w:fldCharType="end"/>
      </w:r>
      <w:bookmarkEnd w:id="301"/>
    </w:p>
    <w:p w:rsidR="000A1474" w:rsidRPr="003A4B56" w:rsidRDefault="00254CE2" w:rsidP="00B51B51">
      <w:pPr>
        <w:widowControl w:val="0"/>
        <w:tabs>
          <w:tab w:val="left" w:pos="426"/>
          <w:tab w:val="left" w:pos="851"/>
          <w:tab w:val="left" w:pos="1418"/>
          <w:tab w:val="left" w:pos="8789"/>
        </w:tabs>
        <w:jc w:val="center"/>
        <w:rPr>
          <w:rFonts w:cs="Arial"/>
          <w:noProof/>
          <w:szCs w:val="22"/>
        </w:rPr>
      </w:pPr>
      <w:r>
        <w:rPr>
          <w:rFonts w:cs="Arial"/>
          <w:noProof/>
          <w:lang w:val="es-CL" w:eastAsia="es-CL"/>
        </w:rPr>
        <w:drawing>
          <wp:inline distT="0" distB="0" distL="0" distR="0">
            <wp:extent cx="3019425" cy="3731895"/>
            <wp:effectExtent l="0" t="0" r="9525" b="190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19425" cy="3731895"/>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tabs>
          <w:tab w:val="left" w:pos="0"/>
          <w:tab w:val="left" w:pos="426"/>
          <w:tab w:val="left" w:pos="1418"/>
        </w:tabs>
        <w:rPr>
          <w:rFonts w:cs="Arial"/>
          <w:szCs w:val="22"/>
        </w:rPr>
      </w:pPr>
    </w:p>
    <w:p w:rsidR="000A1474" w:rsidRPr="003A4B56" w:rsidRDefault="000A1474" w:rsidP="00B51B51">
      <w:pPr>
        <w:widowControl w:val="0"/>
        <w:tabs>
          <w:tab w:val="left" w:pos="426"/>
        </w:tabs>
        <w:rPr>
          <w:rFonts w:cs="Arial"/>
        </w:rPr>
      </w:pPr>
      <w:r w:rsidRPr="003A4B56">
        <w:rPr>
          <w:rFonts w:cs="Arial"/>
        </w:rPr>
        <w:lastRenderedPageBreak/>
        <w:t xml:space="preserve">En la última década, el consumo nacional de azúcar, en promedio, ha sido satisfecho en un 70% a través de la producción interna, y el resto mediante importaciones. En relación a las compras en el exterior, cabe señalar que el principal producto internado es azúcar refinada, cuyas transacciones se presentan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_Ref336530067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5.13</w:t>
      </w:r>
      <w:r w:rsidRPr="003A4B56">
        <w:rPr>
          <w:rFonts w:cs="Arial"/>
        </w:rPr>
        <w:fldChar w:fldCharType="end"/>
      </w:r>
      <w:r w:rsidRPr="003A4B56">
        <w:rPr>
          <w:rFonts w:cs="Arial"/>
        </w:rPr>
        <w:t xml:space="preserv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Las importaciones de azúcar refinada si bien habían mostrado volúmenes fluctuantes, hasta el año 2006 se habían ubicado por debajo de las 300 mil toneladas. Posteriormente, debido a la caída de producción interna éstas se empinaron por sobre las 500 mil toneladas, situación que revirtió en los años 2010 y 2011. Estas variaciones serían consecuencia del resultado de la cosecha interna de remolacha y del nivel de consumo de azúcar. De esta manera, en 2011 las adquisiciones de azúcar refinada totalizaron casi 464 mil toneladas, equivalentes a más de US$364 millones CIF.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Los principales proveedores, en orden de importancia, fueron Colombia, Guatemala, El Salvador y Argentina; en años anteriores México había sido un importante abastecedor y en este año participó sólo con el 2,2% de los envíos a Chile. Asimismo, es preciso destacar que entre los años 2010 y 2011, el aumento que experimentaron los precios del azúcar importada, los que superan ampliamente a todos los niveles registrados desde el año 1990 en adelante.</w:t>
      </w:r>
    </w:p>
    <w:p w:rsidR="000A1474" w:rsidRPr="003A4B56" w:rsidRDefault="000A1474" w:rsidP="00B51B51">
      <w:pPr>
        <w:widowControl w:val="0"/>
        <w:tabs>
          <w:tab w:val="left" w:pos="0"/>
          <w:tab w:val="left" w:pos="426"/>
          <w:tab w:val="left" w:pos="1418"/>
        </w:tabs>
        <w:rPr>
          <w:rFonts w:cs="Arial"/>
          <w:szCs w:val="22"/>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2" w:name="_Ref336530067"/>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13</w:t>
      </w:r>
      <w:r w:rsidR="00951FEC">
        <w:rPr>
          <w:b/>
        </w:rPr>
        <w:fldChar w:fldCharType="end"/>
      </w:r>
      <w:bookmarkEnd w:id="302"/>
    </w:p>
    <w:p w:rsidR="000A1474" w:rsidRPr="003A4B56" w:rsidRDefault="00254CE2" w:rsidP="00B51B51">
      <w:pPr>
        <w:pStyle w:val="Textoindependiente"/>
        <w:widowControl w:val="0"/>
        <w:tabs>
          <w:tab w:val="left" w:pos="0"/>
          <w:tab w:val="left" w:pos="426"/>
          <w:tab w:val="left" w:pos="900"/>
          <w:tab w:val="left" w:pos="1418"/>
        </w:tabs>
        <w:jc w:val="center"/>
        <w:rPr>
          <w:rFonts w:ascii="Arial" w:hAnsi="Arial" w:cs="Arial"/>
          <w:sz w:val="22"/>
          <w:szCs w:val="22"/>
        </w:rPr>
      </w:pPr>
      <w:r>
        <w:rPr>
          <w:rFonts w:ascii="Arial" w:hAnsi="Arial" w:cs="Arial"/>
          <w:noProof/>
          <w:lang w:val="es-CL" w:eastAsia="es-CL"/>
        </w:rPr>
        <w:drawing>
          <wp:inline distT="0" distB="0" distL="0" distR="0">
            <wp:extent cx="4646295" cy="2158365"/>
            <wp:effectExtent l="0" t="0" r="190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46295" cy="2158365"/>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rPr>
          <w:noProof/>
        </w:rPr>
      </w:pPr>
    </w:p>
    <w:p w:rsidR="000A1474" w:rsidRPr="003A4B56" w:rsidRDefault="000A1474" w:rsidP="00B51B51">
      <w:pPr>
        <w:widowControl w:val="0"/>
      </w:pPr>
      <w:r w:rsidRPr="003A4B56">
        <w:t>Las importaciones de los demás azúcares, por su parte, han mantenido una sostenida tendencia alcista, sumando en 2011 del orden de 19 mil toneladas por US$25 millones CIF (</w:t>
      </w:r>
      <w:r w:rsidRPr="003A4B56">
        <w:fldChar w:fldCharType="begin"/>
      </w:r>
      <w:r w:rsidRPr="003A4B56">
        <w:instrText xml:space="preserve"> REF _Ref336530101 \h </w:instrText>
      </w:r>
      <w:r w:rsidRPr="003A4B56">
        <w:instrText xml:space="preserve"> \* MERGEFORMAT </w:instrText>
      </w:r>
      <w:r w:rsidRPr="003A4B56">
        <w:fldChar w:fldCharType="separate"/>
      </w:r>
      <w:r w:rsidR="00264070" w:rsidRPr="00264070">
        <w:t xml:space="preserve">Figura </w:t>
      </w:r>
      <w:r w:rsidR="00264070" w:rsidRPr="00264070">
        <w:rPr>
          <w:noProof/>
        </w:rPr>
        <w:t>5.14</w:t>
      </w:r>
      <w:r w:rsidRPr="003A4B56">
        <w:fldChar w:fldCharType="end"/>
      </w:r>
      <w:r w:rsidRPr="003A4B56">
        <w:t>). Al igual que en el producto anterior, las cotizaciones tendieron al alza en el último bienio. El origen de estos envíos fue Argentina, Bélgica, China, Francia y México, entre otros.</w:t>
      </w:r>
    </w:p>
    <w:p w:rsidR="000A1474" w:rsidRPr="003A4B56" w:rsidRDefault="000A1474" w:rsidP="00B51B51">
      <w:pPr>
        <w:widowControl w:val="0"/>
      </w:pPr>
    </w:p>
    <w:p w:rsidR="000A1474" w:rsidRPr="003A4B56" w:rsidRDefault="000A1474" w:rsidP="00B51B51">
      <w:pPr>
        <w:widowControl w:val="0"/>
        <w:tabs>
          <w:tab w:val="left" w:pos="426"/>
        </w:tabs>
        <w:rPr>
          <w:rFonts w:cs="Arial"/>
        </w:rPr>
      </w:pPr>
      <w:r w:rsidRPr="003A4B56">
        <w:rPr>
          <w:rFonts w:cs="Arial"/>
        </w:rPr>
        <w:t xml:space="preserve">Con la mayoría de los países proveedores de azúcar, Chile ha suscrito acuerdos comerciales, en donde el azúcar ha quedado incluido en las listas de desgravación arancelaria a más largo plazo. </w:t>
      </w:r>
    </w:p>
    <w:p w:rsidR="000A1474" w:rsidRPr="003A4B56" w:rsidRDefault="000A1474" w:rsidP="00B51B51">
      <w:pPr>
        <w:widowControl w:val="0"/>
      </w:pPr>
    </w:p>
    <w:p w:rsidR="000A1474" w:rsidRDefault="000A1474" w:rsidP="00B51B51">
      <w:pPr>
        <w:widowControl w:val="0"/>
        <w:tabs>
          <w:tab w:val="left" w:pos="426"/>
        </w:tabs>
        <w:rPr>
          <w:rFonts w:cs="Arial"/>
        </w:rPr>
      </w:pPr>
      <w:r w:rsidRPr="003A4B56">
        <w:rPr>
          <w:rFonts w:cs="Arial"/>
        </w:rPr>
        <w:t xml:space="preserve">De esta manera, en el marco del MECOSUR la rebaja de aranceles sólo se inició a partir del año 2006 para quedar igualado a cero en el 2012. En el caso de Colombia, este producto inicialmente se incluyó en la lista de excepción, pero posteriormente esta situación se modificó, e ingresará a Chile sin pagar el arancel ad-valorem a partir de enero del año 2012. En estos dos casos, el azúcar importada seguirá pagando los derechos específicos de </w:t>
      </w:r>
      <w:smartTag w:uri="urn:schemas-microsoft-com:office:smarttags" w:element="PersonName">
        <w:smartTagPr>
          <w:attr w:name="ProductID" w:val="la Banda"/>
        </w:smartTagPr>
        <w:r w:rsidRPr="003A4B56">
          <w:rPr>
            <w:rFonts w:cs="Arial"/>
          </w:rPr>
          <w:t>la Banda</w:t>
        </w:r>
      </w:smartTag>
      <w:r w:rsidRPr="003A4B56">
        <w:rPr>
          <w:rFonts w:cs="Arial"/>
        </w:rPr>
        <w:t xml:space="preserve"> de Precios, </w:t>
      </w:r>
      <w:r w:rsidRPr="003A4B56">
        <w:rPr>
          <w:rFonts w:cs="Arial"/>
        </w:rPr>
        <w:lastRenderedPageBreak/>
        <w:t>al momento de entrar al país; situación que se mantendrá en la medida que siga vigente el sistema de Banda de Precios.</w:t>
      </w:r>
    </w:p>
    <w:p w:rsidR="007E2F8C" w:rsidRPr="003A4B56" w:rsidRDefault="007E2F8C" w:rsidP="00B51B51">
      <w:pPr>
        <w:widowControl w:val="0"/>
        <w:tabs>
          <w:tab w:val="left" w:pos="426"/>
        </w:tabs>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3" w:name="_Ref336530101"/>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14</w:t>
      </w:r>
      <w:r w:rsidR="00951FEC">
        <w:rPr>
          <w:b/>
        </w:rPr>
        <w:fldChar w:fldCharType="end"/>
      </w:r>
      <w:bookmarkEnd w:id="303"/>
    </w:p>
    <w:p w:rsidR="000A1474" w:rsidRPr="003A4B56" w:rsidRDefault="00254CE2" w:rsidP="00B51B51">
      <w:pPr>
        <w:pStyle w:val="Textoindependiente"/>
        <w:widowControl w:val="0"/>
        <w:tabs>
          <w:tab w:val="left" w:pos="0"/>
          <w:tab w:val="left" w:pos="426"/>
          <w:tab w:val="left" w:pos="900"/>
          <w:tab w:val="left" w:pos="1418"/>
        </w:tabs>
        <w:jc w:val="center"/>
        <w:rPr>
          <w:rFonts w:ascii="Arial" w:hAnsi="Arial" w:cs="Arial"/>
          <w:sz w:val="22"/>
          <w:szCs w:val="22"/>
        </w:rPr>
      </w:pPr>
      <w:r>
        <w:rPr>
          <w:rFonts w:ascii="Arial" w:hAnsi="Arial" w:cs="Arial"/>
          <w:noProof/>
          <w:lang w:val="es-CL" w:eastAsia="es-CL"/>
        </w:rPr>
        <w:drawing>
          <wp:inline distT="0" distB="0" distL="0" distR="0">
            <wp:extent cx="4699635" cy="1913890"/>
            <wp:effectExtent l="0" t="0" r="571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99635" cy="191389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426"/>
          <w:tab w:val="left" w:pos="851"/>
          <w:tab w:val="left" w:pos="1418"/>
          <w:tab w:val="left" w:pos="8789"/>
        </w:tabs>
        <w:ind w:right="49"/>
        <w:rPr>
          <w:rFonts w:cs="Arial"/>
          <w:noProof/>
          <w:szCs w:val="22"/>
        </w:rPr>
      </w:pPr>
    </w:p>
    <w:p w:rsidR="000A1474" w:rsidRPr="003A4B56" w:rsidRDefault="000A1474" w:rsidP="00B51B51">
      <w:pPr>
        <w:widowControl w:val="0"/>
        <w:tabs>
          <w:tab w:val="left" w:pos="426"/>
        </w:tabs>
        <w:rPr>
          <w:rFonts w:cs="Arial"/>
        </w:rPr>
      </w:pPr>
      <w:r w:rsidRPr="003A4B56">
        <w:rPr>
          <w:rFonts w:cs="Arial"/>
        </w:rPr>
        <w:t xml:space="preserve">En los acuerdos con México y Bolivia, el azúcar refinada y los demás azúcares quedaron en lista de excepción, es decir, este producto no gozará de preferencias arancelarias. Entretanto, en el acuerdo con Corea estos productos quedaron en lista de excepción, donde no existirá degravación arancelaria; para las importaciones originarias de Estados Unidos, la desgravación alcanzará a 100% sólo el año 12 de vigencia del acuerdo, existiendo 4 años de gracia, en donde no se efectuará devaluación.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Si bien la desgravación ara</w:t>
      </w:r>
      <w:r w:rsidR="00AA000E">
        <w:rPr>
          <w:rFonts w:cs="Arial"/>
        </w:rPr>
        <w:t>n</w:t>
      </w:r>
      <w:r w:rsidRPr="003A4B56">
        <w:rPr>
          <w:rFonts w:cs="Arial"/>
        </w:rPr>
        <w:t xml:space="preserve">celaria para este producto concluirá en más de 6 años, se debe tener presente que los valores Piso y Techo de </w:t>
      </w:r>
      <w:smartTag w:uri="urn:schemas-microsoft-com:office:smarttags" w:element="PersonName">
        <w:smartTagPr>
          <w:attr w:name="ProductID" w:val="la Banda"/>
        </w:smartTagPr>
        <w:r w:rsidRPr="003A4B56">
          <w:rPr>
            <w:rFonts w:cs="Arial"/>
          </w:rPr>
          <w:t>la Banda</w:t>
        </w:r>
      </w:smartTag>
      <w:r w:rsidRPr="003A4B56">
        <w:rPr>
          <w:rFonts w:cs="Arial"/>
        </w:rPr>
        <w:t xml:space="preserve"> de Precios descenderán desde el año 2007 hasta el 2014, donde este mecanismo dejará de funcionar.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Un subproducto que se obtiene de la elaboración de azúcar es la coseta de remolacha, él que además de ser utilizado en el país es exportado. La evolución de los envíos de coseta se presenta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_Ref336530398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5.15</w:t>
      </w:r>
      <w:r w:rsidRPr="003A4B56">
        <w:rPr>
          <w:rFonts w:cs="Arial"/>
        </w:rPr>
        <w:fldChar w:fldCharType="end"/>
      </w:r>
      <w:r w:rsidRPr="003A4B56">
        <w:rPr>
          <w:rFonts w:cs="Arial"/>
        </w:rPr>
        <w:t xml:space="preserve">, de donde se desprende que éstos han exhibido fuertes fluctuaciones en el tiempo, destacándose el monto más elevado en 1993 cuando las transacciones casi totalizaron las 146 mil toneladas y el menor en 2008 y 2009 con 28 mil toneladas. En 2011 se constató un leve repunte de los envíos, totalizando más de 32 mil toneladas. Lo anterior sería atribuible a la mayor producción de remolacha.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el año 2011 el principal demandante de este producto fue Japón, seguido a distancia por Brasil, Argentina y Corea. Al igual que en el caso de los otros productos, los precios unitarios de la coseta también han aumentado en los últimos años.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este ámbito nacional, cabe señalar que IANSAGRO en los precios que ofrece a los productores está promoviendo la eficiencia productiva, por cuanto otorga bonificaciones cuando superan un determinado rendimiento y, además, las cotizaciones mejoran cuando la superficie es mayor. Este cultivo corresponde al de agricultura de contrato, donde se establece por anticipado el precio y la superficie a cultivar. La empresa asesora en los aspectos técnicos a los agricultores, y además los provee de insumos que luego son descontados al momento de la liquidación. </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rPr>
          <w:rFonts w:cs="Arial"/>
        </w:rPr>
      </w:pPr>
      <w:r w:rsidRPr="003A4B56">
        <w:rPr>
          <w:rFonts w:cs="Arial"/>
        </w:rPr>
        <w:lastRenderedPageBreak/>
        <w:t>La meta de este sector en el mediano a largo plazo es lograr el autoabastecimiento, mediante la aplicación de tecnología de punta, en lo que se refiere a riego y mecanización de cosecha, con el objeto de incrementar la productividad y reducir los costos de producción.</w:t>
      </w:r>
    </w:p>
    <w:p w:rsidR="007E2F8C" w:rsidRPr="003A4B56" w:rsidRDefault="007E2F8C" w:rsidP="00B51B51">
      <w:pPr>
        <w:widowControl w:val="0"/>
        <w:tabs>
          <w:tab w:val="left" w:pos="426"/>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4" w:name="_Ref336530398"/>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15</w:t>
      </w:r>
      <w:r w:rsidR="00951FEC">
        <w:rPr>
          <w:b/>
        </w:rPr>
        <w:fldChar w:fldCharType="end"/>
      </w:r>
      <w:bookmarkEnd w:id="304"/>
    </w:p>
    <w:p w:rsidR="000A1474" w:rsidRPr="003A4B56" w:rsidRDefault="00254CE2" w:rsidP="00B51B51">
      <w:pPr>
        <w:pStyle w:val="Epgrafe"/>
        <w:widowControl w:val="0"/>
        <w:tabs>
          <w:tab w:val="left" w:pos="-720"/>
          <w:tab w:val="left" w:pos="426"/>
          <w:tab w:val="left" w:pos="851"/>
          <w:tab w:val="left" w:pos="8789"/>
        </w:tabs>
        <w:rPr>
          <w:noProof/>
        </w:rPr>
      </w:pPr>
      <w:r>
        <w:rPr>
          <w:noProof/>
          <w:lang w:val="es-CL" w:eastAsia="es-CL"/>
        </w:rPr>
        <w:drawing>
          <wp:inline distT="0" distB="0" distL="0" distR="0">
            <wp:extent cx="4667885" cy="196723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67885" cy="1967230"/>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1E4FE1">
      <w:pPr>
        <w:widowControl w:val="0"/>
        <w:tabs>
          <w:tab w:val="left" w:pos="0"/>
          <w:tab w:val="left" w:pos="426"/>
          <w:tab w:val="left" w:pos="1418"/>
        </w:tabs>
        <w:rPr>
          <w:rFonts w:cs="Arial"/>
          <w:noProof/>
          <w:szCs w:val="22"/>
        </w:rPr>
      </w:pPr>
      <w:r w:rsidRPr="003A4B56">
        <w:rPr>
          <w:rFonts w:cs="Arial"/>
          <w:szCs w:val="22"/>
        </w:rPr>
        <w:tab/>
      </w:r>
    </w:p>
    <w:p w:rsidR="000A1474" w:rsidRPr="003A4B56" w:rsidRDefault="000A1474" w:rsidP="00B51B51">
      <w:pPr>
        <w:widowControl w:val="0"/>
        <w:tabs>
          <w:tab w:val="left" w:pos="426"/>
        </w:tabs>
        <w:rPr>
          <w:rFonts w:cs="Arial"/>
        </w:rPr>
      </w:pPr>
      <w:r w:rsidRPr="003A4B56">
        <w:rPr>
          <w:rFonts w:cs="Arial"/>
        </w:rPr>
        <w:t xml:space="preserve">No obstante, en el transcurso de los últimos años este sector se ha visto amenazado por las importaciones de mezclas de azúcar con fructosa, producto que no se encuentra afecto al sistema de Banda de Precio y, por lo tanto, a su entrada sólo paga el arancel vigente.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De esta manera, sólo podrán prevalecer en el rubro aquellos productores que obtengan altos rendimientos y que se beneficien de economías de escala.</w:t>
      </w:r>
    </w:p>
    <w:p w:rsidR="000A1474" w:rsidRPr="003A4B56" w:rsidRDefault="000A1474" w:rsidP="00B51B51">
      <w:pPr>
        <w:widowControl w:val="0"/>
        <w:tabs>
          <w:tab w:val="left" w:pos="426"/>
        </w:tabs>
        <w:rPr>
          <w:rFonts w:cs="Arial"/>
          <w:szCs w:val="22"/>
        </w:rPr>
      </w:pPr>
    </w:p>
    <w:p w:rsidR="000A1474" w:rsidRPr="003A4B56" w:rsidRDefault="000A1474" w:rsidP="00B51B51">
      <w:pPr>
        <w:widowControl w:val="0"/>
        <w:tabs>
          <w:tab w:val="left" w:pos="426"/>
        </w:tabs>
        <w:rPr>
          <w:rFonts w:cs="Arial"/>
        </w:rPr>
      </w:pPr>
      <w:r w:rsidRPr="003A4B56">
        <w:rPr>
          <w:rFonts w:cs="Arial"/>
        </w:rPr>
        <w:t>Actualmente, IANSA se encuentra operando en sólo tres (Linares, Cocharcas y Los Ángeles) de sus cinco plantas, ya que como consecuencia de la menor superficie de cultivo la capacidad instalada supera ampliamente la materia prima recolectada. En este plano, se debe señalar que para la presente temporada dicha empresa ofrece a productor un precio base de US$60 por tonelada de remolacha limpia, el que puede ser bonificado por rendimiento y superficie. Este valor es significativamente más alto que el de US$47 por tonelada, pagado en temporadas anteriores, lo que podría implicar un aumento en la superficie de cultivo en la temporada siguiente.</w:t>
      </w:r>
    </w:p>
    <w:p w:rsidR="000A1474" w:rsidRPr="003A4B56" w:rsidRDefault="000A1474" w:rsidP="00B51B51">
      <w:pPr>
        <w:widowControl w:val="0"/>
      </w:pPr>
    </w:p>
    <w:p w:rsidR="000A1474" w:rsidRPr="003A4B56" w:rsidRDefault="00A24E25" w:rsidP="00B51B51">
      <w:pPr>
        <w:widowControl w:val="0"/>
      </w:pPr>
      <w:r w:rsidRPr="003A4B56">
        <w:t>-</w:t>
      </w:r>
      <w:r w:rsidRPr="003A4B56">
        <w:tab/>
      </w:r>
      <w:r w:rsidR="000A1474" w:rsidRPr="003A4B56">
        <w:t>Tabaco</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El cultivo de tabaco se extiende desde </w:t>
      </w:r>
      <w:smartTag w:uri="urn:schemas-microsoft-com:office:smarttags" w:element="PersonName">
        <w:smartTagPr>
          <w:attr w:name="ProductID" w:val="la V"/>
        </w:smartTagPr>
        <w:r w:rsidRPr="003A4B56">
          <w:rPr>
            <w:rFonts w:cs="Arial"/>
          </w:rPr>
          <w:t>la V</w:t>
        </w:r>
      </w:smartTag>
      <w:r w:rsidRPr="003A4B56">
        <w:rPr>
          <w:rFonts w:cs="Arial"/>
        </w:rPr>
        <w:t xml:space="preserve"> a </w:t>
      </w:r>
      <w:smartTag w:uri="urn:schemas-microsoft-com:office:smarttags" w:element="PersonName">
        <w:smartTagPr>
          <w:attr w:name="ProductID" w:val="la VIII Región"/>
        </w:smartTagPr>
        <w:r w:rsidRPr="003A4B56">
          <w:rPr>
            <w:rFonts w:cs="Arial"/>
          </w:rPr>
          <w:t>la VIII Región</w:t>
        </w:r>
      </w:smartTag>
      <w:r w:rsidRPr="003A4B56">
        <w:rPr>
          <w:rFonts w:cs="Arial"/>
        </w:rPr>
        <w:t xml:space="preserve"> del país, pero se concentra en más del 85% entre </w:t>
      </w:r>
      <w:smartTag w:uri="urn:schemas-microsoft-com:office:smarttags" w:element="PersonName">
        <w:smartTagPr>
          <w:attr w:name="ProductID" w:val="la VI"/>
        </w:smartTagPr>
        <w:r w:rsidRPr="003A4B56">
          <w:rPr>
            <w:rFonts w:cs="Arial"/>
          </w:rPr>
          <w:t>la VI</w:t>
        </w:r>
      </w:smartTag>
      <w:r w:rsidRPr="003A4B56">
        <w:rPr>
          <w:rFonts w:cs="Arial"/>
        </w:rPr>
        <w:t xml:space="preserve"> y VII Región. En la última década, la superficie de tabaco ha variado significativamente, puesto que ha oscilado entre </w:t>
      </w:r>
      <w:smartTag w:uri="urn:schemas-microsoft-com:office:smarttags" w:element="metricconverter">
        <w:smartTagPr>
          <w:attr w:name="ProductID" w:val="6.244 hectáreas"/>
        </w:smartTagPr>
        <w:r w:rsidRPr="003A4B56">
          <w:rPr>
            <w:rFonts w:cs="Arial"/>
          </w:rPr>
          <w:t>6.244 hectáreas</w:t>
        </w:r>
      </w:smartTag>
      <w:r w:rsidRPr="003A4B56">
        <w:rPr>
          <w:rFonts w:cs="Arial"/>
        </w:rPr>
        <w:t xml:space="preserve"> en 1992/93 y </w:t>
      </w:r>
      <w:smartTag w:uri="urn:schemas-microsoft-com:office:smarttags" w:element="metricconverter">
        <w:smartTagPr>
          <w:attr w:name="ProductID" w:val="1.652 hectáreas"/>
        </w:smartTagPr>
        <w:r w:rsidRPr="003A4B56">
          <w:rPr>
            <w:rFonts w:cs="Arial"/>
          </w:rPr>
          <w:t>1.652 hectáreas</w:t>
        </w:r>
      </w:smartTag>
      <w:r w:rsidRPr="003A4B56">
        <w:rPr>
          <w:rFonts w:cs="Arial"/>
        </w:rPr>
        <w:t xml:space="preserve"> en 2008/09 (</w:t>
      </w:r>
      <w:r w:rsidRPr="003A4B56">
        <w:rPr>
          <w:rFonts w:cs="Arial"/>
        </w:rPr>
        <w:fldChar w:fldCharType="begin"/>
      </w:r>
      <w:r w:rsidRPr="003A4B56">
        <w:rPr>
          <w:rFonts w:cs="Arial"/>
        </w:rPr>
        <w:instrText xml:space="preserve"> REF _Ref336530453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Tabla </w:t>
      </w:r>
      <w:r w:rsidR="00264070" w:rsidRPr="00264070">
        <w:rPr>
          <w:noProof/>
        </w:rPr>
        <w:t>5.73</w:t>
      </w:r>
      <w:r w:rsidRPr="003A4B56">
        <w:rPr>
          <w:rFonts w:cs="Arial"/>
        </w:rPr>
        <w:fldChar w:fldCharType="end"/>
      </w:r>
      <w:r w:rsidRPr="003A4B56">
        <w:rPr>
          <w:rFonts w:cs="Arial"/>
        </w:rPr>
        <w:t xml:space="preserve">).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De esta manera, la producción nacional de tabaco ha fluctuado entre 19.636 toneladas en 1992/93 y las 5.626 toneladas recolectadas en 2008/09. Esta baja en la producción sería atribuible al crecimiento que han experimentado las importaciones de diferentes tipos de tabaco, al descenso de las exportaciones y a la promoción de hábitos saludables, entre los que se destaca, dejar de fumar.</w:t>
      </w:r>
    </w:p>
    <w:p w:rsidR="000A1474" w:rsidRDefault="000A1474" w:rsidP="00B51B51">
      <w:pPr>
        <w:widowControl w:val="0"/>
        <w:tabs>
          <w:tab w:val="left" w:pos="0"/>
          <w:tab w:val="left" w:pos="426"/>
          <w:tab w:val="left" w:pos="720"/>
        </w:tabs>
        <w:rPr>
          <w:rFonts w:cs="Arial"/>
        </w:rPr>
      </w:pPr>
    </w:p>
    <w:p w:rsidR="001E4FE1" w:rsidRDefault="001E4FE1" w:rsidP="00B51B51">
      <w:pPr>
        <w:widowControl w:val="0"/>
        <w:tabs>
          <w:tab w:val="left" w:pos="0"/>
          <w:tab w:val="left" w:pos="426"/>
          <w:tab w:val="left" w:pos="720"/>
        </w:tabs>
        <w:rPr>
          <w:rFonts w:cs="Arial"/>
        </w:rPr>
      </w:pPr>
    </w:p>
    <w:p w:rsidR="003B0BE3" w:rsidRPr="003A4B56" w:rsidRDefault="003B0BE3"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En la temporada 2006/07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participó con </w:t>
      </w:r>
      <w:smartTag w:uri="urn:schemas-microsoft-com:office:smarttags" w:element="metricconverter">
        <w:smartTagPr>
          <w:attr w:name="ProductID" w:val="1.268,9 hectáreas"/>
        </w:smartTagPr>
        <w:r w:rsidRPr="003A4B56">
          <w:rPr>
            <w:rFonts w:cs="Arial"/>
          </w:rPr>
          <w:t>1.268,9 hectáreas</w:t>
        </w:r>
      </w:smartTag>
      <w:r w:rsidRPr="003A4B56">
        <w:rPr>
          <w:rFonts w:cs="Arial"/>
        </w:rPr>
        <w:t>, equivalentes al 45,7% del total nacional, distribuidas en 96,8% en la provincia de Co</w:t>
      </w:r>
      <w:r w:rsidR="00470564">
        <w:rPr>
          <w:rFonts w:cs="Arial"/>
        </w:rPr>
        <w:t>l</w:t>
      </w:r>
      <w:r w:rsidRPr="003A4B56">
        <w:rPr>
          <w:rFonts w:cs="Arial"/>
        </w:rPr>
        <w:t>chagua; 2,8% en Cachapoal y, el 0,4% restante en la correspondiente a Cardenal Caro.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 nivel mundial se debe señalar que la mayoría de los países aplica altas tasas de impuesto para restringir el consumo de tabaco, aunque no se limita la producción, debido a su contribución tributaria, a la importancia económica que presenta en los principales países productores y a los puestos de trabajo que genera.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851"/>
          <w:tab w:val="left" w:pos="1418"/>
          <w:tab w:val="left" w:pos="8789"/>
        </w:tabs>
        <w:ind w:right="49"/>
        <w:jc w:val="center"/>
        <w:rPr>
          <w:rFonts w:cs="Arial"/>
          <w:b/>
          <w:bCs/>
          <w:noProof/>
          <w:spacing w:val="-3"/>
        </w:rPr>
      </w:pPr>
      <w:bookmarkStart w:id="305" w:name="_Ref336530453"/>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73</w:t>
      </w:r>
      <w:r w:rsidR="007F3102">
        <w:rPr>
          <w:b/>
        </w:rPr>
        <w:fldChar w:fldCharType="end"/>
      </w:r>
      <w:bookmarkEnd w:id="305"/>
    </w:p>
    <w:p w:rsidR="000A1474" w:rsidRPr="003A4B56" w:rsidRDefault="00254CE2" w:rsidP="00B51B51">
      <w:pPr>
        <w:pStyle w:val="Epgrafe"/>
        <w:widowControl w:val="0"/>
        <w:tabs>
          <w:tab w:val="left" w:pos="-720"/>
          <w:tab w:val="left" w:pos="851"/>
          <w:tab w:val="left" w:pos="8789"/>
        </w:tabs>
        <w:rPr>
          <w:noProof/>
        </w:rPr>
      </w:pPr>
      <w:r>
        <w:rPr>
          <w:noProof/>
          <w:lang w:val="es-CL" w:eastAsia="es-CL"/>
        </w:rPr>
        <w:drawing>
          <wp:inline distT="0" distB="0" distL="0" distR="0">
            <wp:extent cx="2913380" cy="3859530"/>
            <wp:effectExtent l="0" t="0" r="1270" b="7620"/>
            <wp:docPr id="11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13380" cy="3859530"/>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tabs>
          <w:tab w:val="left" w:pos="-720"/>
          <w:tab w:val="left" w:pos="851"/>
          <w:tab w:val="left" w:pos="8789"/>
        </w:tabs>
        <w:ind w:right="49"/>
        <w:rPr>
          <w:rFonts w:cs="Arial"/>
          <w:b/>
          <w:bCs/>
          <w:noProof/>
          <w:spacing w:val="-3"/>
          <w:szCs w:val="22"/>
        </w:rPr>
      </w:pPr>
      <w:r w:rsidRPr="003A4B56">
        <w:rPr>
          <w:rFonts w:cs="Arial"/>
          <w:b/>
          <w:bCs/>
          <w:noProof/>
          <w:spacing w:val="-3"/>
          <w:szCs w:val="22"/>
        </w:rPr>
        <w:tab/>
        <w:t xml:space="preserve">                     </w:t>
      </w:r>
    </w:p>
    <w:p w:rsidR="000A1474" w:rsidRPr="003A4B56" w:rsidRDefault="000A1474" w:rsidP="00B51B51">
      <w:pPr>
        <w:widowControl w:val="0"/>
        <w:tabs>
          <w:tab w:val="left" w:pos="-720"/>
          <w:tab w:val="left" w:pos="851"/>
          <w:tab w:val="left" w:pos="8789"/>
        </w:tabs>
        <w:ind w:right="49"/>
        <w:rPr>
          <w:rFonts w:cs="Arial"/>
        </w:rPr>
      </w:pPr>
      <w:r w:rsidRPr="003A4B56">
        <w:rPr>
          <w:rFonts w:cs="Arial"/>
        </w:rPr>
        <w:t>El consumo mundial de tabaco, por su parte, se encuentra en vías de expansión, pero la tasa de crecimiento es menor respecto de años atrás. En efecto, este incremento tiene lugar en países en desarrollo, ya que en las naciones desarrolladas el consumo por habitante ha disminuido.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Chile la campaña antitabaco ha considerado diversas medidas, entre las que cabe destacar la advertencia en los envases, la prohibición de fumar en lugares públicos, la segregación de espacios, retiro de publicidad en la vía pública, restricción de publicidad sólo en los puntos de venta, entre otros.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 producción nacional de tabaco tiene como único destino la empresa Chiletabacos S.A., la que opera bajo la modalidad de agricultura de contrato, donde la mayoría de los productores son pequeños y aportan el 80% del tabaco utilizado en la elaboración de cigarrillos. No existe un poder de compra alternativo.</w:t>
      </w: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Además de la producción interna de tabaco</w:t>
      </w:r>
      <w:bookmarkStart w:id="306" w:name="_GoBack"/>
      <w:bookmarkEnd w:id="306"/>
      <w:r w:rsidRPr="003A4B56">
        <w:rPr>
          <w:rFonts w:cs="Arial"/>
        </w:rPr>
        <w:t xml:space="preserve"> es necesario importar tabaco para la elaboración de algunas mezclas. En relación a las compras en el exterior, uno de los productos internados es el tabaco total o parcialmente desnervado, cuyas transacciones se presentan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_Ref336530505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5.16</w:t>
      </w:r>
      <w:r w:rsidRPr="003A4B56">
        <w:rPr>
          <w:rFonts w:cs="Arial"/>
        </w:rPr>
        <w:fldChar w:fldCharType="end"/>
      </w:r>
      <w:r w:rsidRPr="003A4B56">
        <w:rPr>
          <w:rFonts w:cs="Arial"/>
        </w:rPr>
        <w:t xml:space="preserve">.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Las internaciones de este producto entre los años 1990 y 2011 han experimentado fuertes variaciones, constatándose el monto más alto en 2005 y el más bajo en 2003, aunque la tendencia general ha sido de una ligera alza.  En 2011 las compras totalizaron más de mil toneladas equivalentes a US$7,8 millones CIF. Los principales países proveedores fueron Brasil y Paraguay, entre otros.</w:t>
      </w:r>
    </w:p>
    <w:p w:rsidR="000A1474" w:rsidRPr="00E362F8" w:rsidRDefault="000A1474" w:rsidP="00B51B51">
      <w:pPr>
        <w:widowControl w:val="0"/>
        <w:tabs>
          <w:tab w:val="left" w:pos="0"/>
          <w:tab w:val="left" w:pos="426"/>
          <w:tab w:val="left" w:pos="720"/>
        </w:tabs>
        <w:rPr>
          <w:rFonts w:cs="Arial"/>
          <w:sz w:val="16"/>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7" w:name="_Ref336530505"/>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16</w:t>
      </w:r>
      <w:r w:rsidR="00951FEC">
        <w:rPr>
          <w:b/>
        </w:rPr>
        <w:fldChar w:fldCharType="end"/>
      </w:r>
      <w:bookmarkEnd w:id="307"/>
    </w:p>
    <w:p w:rsidR="000A1474" w:rsidRPr="003A4B56" w:rsidRDefault="00254CE2" w:rsidP="00B51B51">
      <w:pPr>
        <w:pStyle w:val="Epgrafe"/>
        <w:widowControl w:val="0"/>
        <w:tabs>
          <w:tab w:val="left" w:pos="-720"/>
          <w:tab w:val="left" w:pos="851"/>
          <w:tab w:val="left" w:pos="8789"/>
        </w:tabs>
        <w:rPr>
          <w:noProof/>
          <w:lang w:val="es-CL" w:eastAsia="es-CL"/>
        </w:rPr>
      </w:pPr>
      <w:r>
        <w:rPr>
          <w:noProof/>
          <w:lang w:val="es-CL" w:eastAsia="es-CL"/>
        </w:rPr>
        <w:drawing>
          <wp:inline distT="0" distB="0" distL="0" distR="0">
            <wp:extent cx="4348480" cy="1956435"/>
            <wp:effectExtent l="0" t="0" r="0" b="5715"/>
            <wp:docPr id="120"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48480" cy="1956435"/>
                    </a:xfrm>
                    <a:prstGeom prst="rect">
                      <a:avLst/>
                    </a:prstGeom>
                    <a:noFill/>
                    <a:ln>
                      <a:noFill/>
                    </a:ln>
                  </pic:spPr>
                </pic:pic>
              </a:graphicData>
            </a:graphic>
          </wp:inline>
        </w:drawing>
      </w:r>
    </w:p>
    <w:p w:rsidR="000A1474" w:rsidRPr="001E4FE1" w:rsidRDefault="000A1474" w:rsidP="00B51B51">
      <w:pPr>
        <w:pStyle w:val="Epgrafe"/>
        <w:widowControl w:val="0"/>
        <w:tabs>
          <w:tab w:val="left" w:pos="-720"/>
          <w:tab w:val="left" w:pos="851"/>
          <w:tab w:val="left" w:pos="8789"/>
        </w:tabs>
        <w:rPr>
          <w:b w:val="0"/>
          <w:noProof/>
          <w:sz w:val="20"/>
          <w:szCs w:val="20"/>
          <w:lang w:val="es-CL" w:eastAsia="es-CL"/>
        </w:rPr>
      </w:pPr>
      <w:r w:rsidRPr="001E4FE1">
        <w:rPr>
          <w:b w:val="0"/>
          <w:noProof/>
          <w:sz w:val="20"/>
          <w:szCs w:val="20"/>
          <w:lang w:val="es-CL" w:eastAsia="es-CL"/>
        </w:rPr>
        <w:t>Fuente: Elaborado en bas</w:t>
      </w:r>
      <w:r w:rsidR="001E4FE1">
        <w:rPr>
          <w:b w:val="0"/>
          <w:noProof/>
          <w:sz w:val="20"/>
          <w:szCs w:val="20"/>
          <w:lang w:val="es-CL" w:eastAsia="es-CL"/>
        </w:rPr>
        <w:t>e a antecedentes de ODEPA e INE</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Las importaciones de tabaco sin desvenar, por su parte, desde el año 2003 en adelante se insertaron en una sostenida tendencia alcista, sumando en 2011 del orden de 2.378 toneladas equivalentes a US$8,4 millones CIF (</w:t>
      </w:r>
      <w:r w:rsidRPr="003A4B56">
        <w:rPr>
          <w:rFonts w:cs="Arial"/>
        </w:rPr>
        <w:fldChar w:fldCharType="begin"/>
      </w:r>
      <w:r w:rsidRPr="003A4B56">
        <w:rPr>
          <w:rFonts w:cs="Arial"/>
        </w:rPr>
        <w:instrText xml:space="preserve"> REF _Ref336533506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5.17</w:t>
      </w:r>
      <w:r w:rsidRPr="003A4B56">
        <w:rPr>
          <w:rFonts w:cs="Arial"/>
        </w:rPr>
        <w:fldChar w:fldCharType="end"/>
      </w:r>
      <w:r w:rsidRPr="003A4B56">
        <w:rPr>
          <w:rFonts w:cs="Arial"/>
        </w:rPr>
        <w:t xml:space="preserve">). Los países oferentes fueron fundamentalmente Perú y Turquía. </w:t>
      </w:r>
    </w:p>
    <w:p w:rsidR="000A1474" w:rsidRPr="00E362F8" w:rsidRDefault="000A1474" w:rsidP="00B51B51">
      <w:pPr>
        <w:widowControl w:val="0"/>
        <w:tabs>
          <w:tab w:val="left" w:pos="0"/>
          <w:tab w:val="left" w:pos="426"/>
          <w:tab w:val="left" w:pos="720"/>
        </w:tabs>
        <w:jc w:val="center"/>
        <w:rPr>
          <w:rFonts w:cs="Arial"/>
          <w:b/>
          <w:bCs/>
          <w:sz w:val="16"/>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8" w:name="_Ref336533506"/>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17</w:t>
      </w:r>
      <w:r w:rsidR="00951FEC">
        <w:rPr>
          <w:b/>
        </w:rPr>
        <w:fldChar w:fldCharType="end"/>
      </w:r>
      <w:bookmarkEnd w:id="308"/>
    </w:p>
    <w:p w:rsidR="000A1474" w:rsidRPr="003A4B56" w:rsidRDefault="00254CE2" w:rsidP="00B51B51">
      <w:pPr>
        <w:pStyle w:val="Epgrafe"/>
        <w:widowControl w:val="0"/>
        <w:tabs>
          <w:tab w:val="left" w:pos="-720"/>
          <w:tab w:val="left" w:pos="851"/>
          <w:tab w:val="left" w:pos="8789"/>
        </w:tabs>
        <w:rPr>
          <w:noProof/>
          <w:lang w:val="es-CL" w:eastAsia="es-CL"/>
        </w:rPr>
      </w:pPr>
      <w:r>
        <w:rPr>
          <w:noProof/>
          <w:lang w:val="es-CL" w:eastAsia="es-CL"/>
        </w:rPr>
        <w:drawing>
          <wp:inline distT="0" distB="0" distL="0" distR="0">
            <wp:extent cx="4486910" cy="2179955"/>
            <wp:effectExtent l="0" t="0" r="8890" b="0"/>
            <wp:docPr id="12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486910" cy="2179955"/>
                    </a:xfrm>
                    <a:prstGeom prst="rect">
                      <a:avLst/>
                    </a:prstGeom>
                    <a:noFill/>
                    <a:ln>
                      <a:noFill/>
                    </a:ln>
                  </pic:spPr>
                </pic:pic>
              </a:graphicData>
            </a:graphic>
          </wp:inline>
        </w:drawing>
      </w:r>
    </w:p>
    <w:p w:rsidR="000A1474" w:rsidRPr="001E4FE1" w:rsidRDefault="000A1474" w:rsidP="00B51B51">
      <w:pPr>
        <w:pStyle w:val="Epgrafe"/>
        <w:widowControl w:val="0"/>
        <w:tabs>
          <w:tab w:val="left" w:pos="-720"/>
          <w:tab w:val="left" w:pos="851"/>
          <w:tab w:val="left" w:pos="8789"/>
        </w:tabs>
        <w:rPr>
          <w:b w:val="0"/>
          <w:noProof/>
          <w:sz w:val="20"/>
          <w:szCs w:val="20"/>
          <w:lang w:val="es-CL" w:eastAsia="es-CL"/>
        </w:rPr>
      </w:pPr>
      <w:r w:rsidRPr="001E4FE1">
        <w:rPr>
          <w:b w:val="0"/>
          <w:noProof/>
          <w:sz w:val="20"/>
          <w:szCs w:val="20"/>
          <w:lang w:val="es-CL" w:eastAsia="es-CL"/>
        </w:rPr>
        <w:t>Fuente: Elaborado en bas</w:t>
      </w:r>
      <w:r w:rsidR="001E4FE1" w:rsidRPr="001E4FE1">
        <w:rPr>
          <w:b w:val="0"/>
          <w:noProof/>
          <w:sz w:val="20"/>
          <w:szCs w:val="20"/>
          <w:lang w:val="es-CL" w:eastAsia="es-CL"/>
        </w:rPr>
        <w:t>e a antecedentes de ODEPA e INE</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Asimismo, las internaciones de desperdicios de tabaco,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_Ref336533553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5.18</w:t>
      </w:r>
      <w:r w:rsidRPr="003A4B56">
        <w:rPr>
          <w:rFonts w:cs="Arial"/>
        </w:rPr>
        <w:fldChar w:fldCharType="end"/>
      </w:r>
      <w:r w:rsidRPr="003A4B56">
        <w:rPr>
          <w:rFonts w:cs="Arial"/>
        </w:rPr>
        <w:t>, anotaron una expansión desde 1999 en adelante. En 2011 las adquisiciones sumaron del orden de 2.780 toneladas por US$3,4 millones CIF. Los únicos países proveedores fueron India, Brasil y Estados Unidos, entre otros.</w:t>
      </w:r>
    </w:p>
    <w:p w:rsidR="000A1474" w:rsidRDefault="000A1474" w:rsidP="00B51B51">
      <w:pPr>
        <w:widowControl w:val="0"/>
        <w:tabs>
          <w:tab w:val="left" w:pos="0"/>
          <w:tab w:val="left" w:pos="426"/>
          <w:tab w:val="left" w:pos="720"/>
        </w:tabs>
        <w:rPr>
          <w:rFonts w:cs="Arial"/>
        </w:rPr>
      </w:pPr>
      <w:r w:rsidRPr="003A4B56">
        <w:rPr>
          <w:rFonts w:cs="Arial"/>
        </w:rPr>
        <w:lastRenderedPageBreak/>
        <w:t xml:space="preserve">Con la mayoría de los países proveedores de tabaco, Chile ha suscrito acuerdos comerciales, quedando en la mayoría de los casos libres de pagar arancel. </w:t>
      </w:r>
    </w:p>
    <w:p w:rsidR="007E2F8C" w:rsidRPr="003A4B56" w:rsidRDefault="007E2F8C"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09" w:name="_Ref336533553"/>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18</w:t>
      </w:r>
      <w:r w:rsidR="00951FEC">
        <w:rPr>
          <w:b/>
        </w:rPr>
        <w:fldChar w:fldCharType="end"/>
      </w:r>
      <w:bookmarkEnd w:id="309"/>
    </w:p>
    <w:p w:rsidR="000A1474" w:rsidRPr="003A4B56" w:rsidRDefault="00254CE2" w:rsidP="00B51B51">
      <w:pPr>
        <w:pStyle w:val="Epgrafe"/>
        <w:widowControl w:val="0"/>
        <w:tabs>
          <w:tab w:val="left" w:pos="-720"/>
          <w:tab w:val="left" w:pos="851"/>
          <w:tab w:val="left" w:pos="8789"/>
        </w:tabs>
        <w:rPr>
          <w:noProof/>
          <w:lang w:val="es-CL" w:eastAsia="es-CL"/>
        </w:rPr>
      </w:pPr>
      <w:r>
        <w:rPr>
          <w:noProof/>
          <w:lang w:val="es-CL" w:eastAsia="es-CL"/>
        </w:rPr>
        <w:drawing>
          <wp:inline distT="0" distB="0" distL="0" distR="0">
            <wp:extent cx="4529455" cy="1913890"/>
            <wp:effectExtent l="0" t="0" r="444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29455" cy="1913890"/>
                    </a:xfrm>
                    <a:prstGeom prst="rect">
                      <a:avLst/>
                    </a:prstGeom>
                    <a:noFill/>
                    <a:ln>
                      <a:noFill/>
                    </a:ln>
                  </pic:spPr>
                </pic:pic>
              </a:graphicData>
            </a:graphic>
          </wp:inline>
        </w:drawing>
      </w:r>
    </w:p>
    <w:p w:rsidR="000A1474" w:rsidRPr="001E4FE1" w:rsidRDefault="000A1474" w:rsidP="00B51B51">
      <w:pPr>
        <w:pStyle w:val="Epgrafe"/>
        <w:widowControl w:val="0"/>
        <w:tabs>
          <w:tab w:val="left" w:pos="-720"/>
          <w:tab w:val="left" w:pos="851"/>
          <w:tab w:val="left" w:pos="8789"/>
        </w:tabs>
        <w:rPr>
          <w:b w:val="0"/>
          <w:noProof/>
          <w:sz w:val="20"/>
          <w:szCs w:val="20"/>
          <w:lang w:val="es-CL" w:eastAsia="es-CL"/>
        </w:rPr>
      </w:pPr>
      <w:r w:rsidRPr="001E4FE1">
        <w:rPr>
          <w:b w:val="0"/>
          <w:noProof/>
          <w:sz w:val="20"/>
          <w:szCs w:val="20"/>
          <w:lang w:val="es-CL" w:eastAsia="es-CL"/>
        </w:rPr>
        <w:t>Fuente: Elaborado en bas</w:t>
      </w:r>
      <w:r w:rsidR="001E4FE1" w:rsidRPr="001E4FE1">
        <w:rPr>
          <w:b w:val="0"/>
          <w:noProof/>
          <w:sz w:val="20"/>
          <w:szCs w:val="20"/>
          <w:lang w:val="es-CL" w:eastAsia="es-CL"/>
        </w:rPr>
        <w:t>e a antecedentes de ODEPA e INE</w:t>
      </w:r>
    </w:p>
    <w:p w:rsidR="000A1474" w:rsidRPr="003A4B56" w:rsidRDefault="000A1474" w:rsidP="00B51B51">
      <w:pPr>
        <w:widowControl w:val="0"/>
        <w:tabs>
          <w:tab w:val="left" w:pos="851"/>
          <w:tab w:val="left" w:pos="1418"/>
          <w:tab w:val="left" w:pos="8789"/>
        </w:tabs>
        <w:ind w:right="49"/>
        <w:rPr>
          <w:rFonts w:cs="Arial"/>
          <w:noProof/>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 esta manera, en el marco del MECOSUR las transacciones de tabaco no pagan arancel de internación desde el año 2004, en tanto que desde Colombia, México y Venezuela, no gravan su entrada desde los años, 1997, 1998 y 1999, respectivamente. En los acuerdos más recientes, el tabaco procedente desde Estados Unidos, China, Corea y Japón, no paga arancel desde la entrada en vigencia de cada uno de los acuerdos. </w:t>
      </w:r>
    </w:p>
    <w:p w:rsidR="000A1474" w:rsidRPr="003A4B56" w:rsidRDefault="000A1474" w:rsidP="00B51B51">
      <w:pPr>
        <w:widowControl w:val="0"/>
        <w:tabs>
          <w:tab w:val="left" w:pos="851"/>
          <w:tab w:val="left" w:pos="1418"/>
          <w:tab w:val="left" w:pos="8789"/>
        </w:tabs>
        <w:ind w:right="49"/>
        <w:rPr>
          <w:rFonts w:cs="Arial"/>
          <w:noProof/>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Entretanto, las exportaciones de tabaco han experimentado un sostenido deterioro,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_Ref336534428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5.19</w:t>
      </w:r>
      <w:r w:rsidRPr="003A4B56">
        <w:rPr>
          <w:rFonts w:cs="Arial"/>
        </w:rPr>
        <w:fldChar w:fldCharType="end"/>
      </w:r>
      <w:r w:rsidRPr="003A4B56">
        <w:rPr>
          <w:rFonts w:cs="Arial"/>
        </w:rPr>
        <w:t xml:space="preserve">. De esta manera, en 2011 los envíos de tabaco chileno totalizaron 274 toneladas por US$1,5 millones FOB. Esta evolución ha significado que la tendencia de las exportaciones entre los años 1990 y 2011 sea de una baja.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el año 2011 el principal demandante de este producto fue Argentina, seguido por Holanda, Hungría y Polonia.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 empresa Chiletabacos ha señalado que el descenso de la superficie de cultivo sería atribuible a los altos volúmenes importados principalmente desde el año 2005 en adelante, lo que implicó en el ámbito interno una acumulación de existencias. La materia prima importada en 2008 representó el 58% del tabaco que se consumió en Chile.</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base a estos antecedentes se estima que la superficie de tabaco se debería mantener relativamente estable e incluso aumentar como consecuencia del incremento de los precios pagados a productor. </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p>
    <w:p w:rsidR="00E362F8" w:rsidRDefault="00E362F8" w:rsidP="00B51B51">
      <w:pPr>
        <w:widowControl w:val="0"/>
        <w:tabs>
          <w:tab w:val="left" w:pos="0"/>
          <w:tab w:val="left" w:pos="426"/>
          <w:tab w:val="left" w:pos="720"/>
        </w:tabs>
        <w:rPr>
          <w:rFonts w:cs="Arial"/>
        </w:rPr>
      </w:pPr>
    </w:p>
    <w:p w:rsidR="00E362F8" w:rsidRDefault="00E362F8" w:rsidP="00B51B51">
      <w:pPr>
        <w:widowControl w:val="0"/>
        <w:tabs>
          <w:tab w:val="left" w:pos="0"/>
          <w:tab w:val="left" w:pos="426"/>
          <w:tab w:val="left" w:pos="720"/>
        </w:tabs>
        <w:rPr>
          <w:rFonts w:cs="Arial"/>
        </w:rPr>
      </w:pPr>
    </w:p>
    <w:p w:rsidR="00E362F8" w:rsidRDefault="00E362F8" w:rsidP="00B51B51">
      <w:pPr>
        <w:widowControl w:val="0"/>
        <w:tabs>
          <w:tab w:val="left" w:pos="0"/>
          <w:tab w:val="left" w:pos="426"/>
          <w:tab w:val="left" w:pos="720"/>
        </w:tabs>
        <w:rPr>
          <w:rFonts w:cs="Arial"/>
        </w:rPr>
      </w:pPr>
    </w:p>
    <w:p w:rsidR="001A4D3D" w:rsidRDefault="001A4D3D" w:rsidP="00B51B51">
      <w:pPr>
        <w:widowControl w:val="0"/>
        <w:tabs>
          <w:tab w:val="left" w:pos="0"/>
          <w:tab w:val="left" w:pos="426"/>
          <w:tab w:val="left" w:pos="720"/>
        </w:tabs>
        <w:rPr>
          <w:rFonts w:cs="Arial"/>
        </w:rPr>
      </w:pPr>
    </w:p>
    <w:p w:rsidR="001A4D3D" w:rsidRDefault="001A4D3D" w:rsidP="00B51B51">
      <w:pPr>
        <w:widowControl w:val="0"/>
        <w:tabs>
          <w:tab w:val="left" w:pos="0"/>
          <w:tab w:val="left" w:pos="426"/>
          <w:tab w:val="left" w:pos="720"/>
        </w:tabs>
        <w:rPr>
          <w:rFonts w:cs="Arial"/>
        </w:rPr>
      </w:pPr>
    </w:p>
    <w:p w:rsidR="001A4D3D" w:rsidRDefault="001A4D3D"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p>
    <w:p w:rsidR="007E2F8C" w:rsidRPr="003A4B56" w:rsidRDefault="007E2F8C"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0" w:name="_Ref336534428"/>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19</w:t>
      </w:r>
      <w:r w:rsidR="00951FEC">
        <w:rPr>
          <w:b/>
        </w:rPr>
        <w:fldChar w:fldCharType="end"/>
      </w:r>
      <w:bookmarkEnd w:id="310"/>
    </w:p>
    <w:p w:rsidR="000A1474" w:rsidRPr="003A4B56" w:rsidRDefault="00254CE2" w:rsidP="00B51B51">
      <w:pPr>
        <w:pStyle w:val="Epgrafe"/>
        <w:widowControl w:val="0"/>
        <w:tabs>
          <w:tab w:val="left" w:pos="-720"/>
          <w:tab w:val="left" w:pos="851"/>
          <w:tab w:val="left" w:pos="8789"/>
        </w:tabs>
        <w:rPr>
          <w:noProof/>
        </w:rPr>
      </w:pPr>
      <w:r>
        <w:rPr>
          <w:noProof/>
          <w:lang w:val="es-CL" w:eastAsia="es-CL"/>
        </w:rPr>
        <w:drawing>
          <wp:inline distT="0" distB="0" distL="0" distR="0">
            <wp:extent cx="4859020" cy="215836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59020" cy="2158365"/>
                    </a:xfrm>
                    <a:prstGeom prst="rect">
                      <a:avLst/>
                    </a:prstGeom>
                    <a:noFill/>
                    <a:ln>
                      <a:noFill/>
                    </a:ln>
                  </pic:spPr>
                </pic:pic>
              </a:graphicData>
            </a:graphic>
          </wp:inline>
        </w:drawing>
      </w:r>
    </w:p>
    <w:p w:rsidR="000A1474" w:rsidRPr="001E4FE1" w:rsidRDefault="000A1474" w:rsidP="00B51B51">
      <w:pPr>
        <w:pStyle w:val="Epgrafe"/>
        <w:widowControl w:val="0"/>
        <w:tabs>
          <w:tab w:val="left" w:pos="-720"/>
          <w:tab w:val="left" w:pos="851"/>
        </w:tabs>
        <w:rPr>
          <w:b w:val="0"/>
          <w:noProof/>
          <w:spacing w:val="-3"/>
          <w:sz w:val="20"/>
          <w:szCs w:val="20"/>
        </w:rPr>
      </w:pPr>
      <w:r w:rsidRPr="001E4FE1">
        <w:rPr>
          <w:b w:val="0"/>
          <w:noProof/>
          <w:sz w:val="20"/>
          <w:szCs w:val="20"/>
        </w:rPr>
        <w:t>Fuente: Elaboración propia, en base a antecedentes de ODEPA</w:t>
      </w:r>
    </w:p>
    <w:p w:rsidR="000A1474" w:rsidRPr="003A4B56" w:rsidRDefault="000A1474" w:rsidP="00B51B51">
      <w:pPr>
        <w:widowControl w:val="0"/>
        <w:tabs>
          <w:tab w:val="left" w:pos="0"/>
          <w:tab w:val="left" w:pos="1418"/>
        </w:tabs>
        <w:rPr>
          <w:rFonts w:cs="Arial"/>
          <w:szCs w:val="22"/>
        </w:rPr>
      </w:pPr>
      <w:r w:rsidRPr="003A4B56">
        <w:rPr>
          <w:rFonts w:cs="Arial"/>
          <w:szCs w:val="22"/>
        </w:rPr>
        <w:tab/>
      </w:r>
    </w:p>
    <w:p w:rsidR="000A1474" w:rsidRPr="003A4B56" w:rsidRDefault="00A24E25" w:rsidP="00B51B51">
      <w:pPr>
        <w:widowControl w:val="0"/>
      </w:pPr>
      <w:r w:rsidRPr="003A4B56">
        <w:t>-</w:t>
      </w:r>
      <w:r w:rsidRPr="003A4B56">
        <w:tab/>
      </w:r>
      <w:r w:rsidR="000A1474" w:rsidRPr="003A4B56">
        <w:t>Trigo</w:t>
      </w:r>
    </w:p>
    <w:p w:rsidR="000A1474" w:rsidRPr="00E362F8" w:rsidRDefault="000A1474" w:rsidP="00B51B51">
      <w:pPr>
        <w:widowControl w:val="0"/>
        <w:tabs>
          <w:tab w:val="left" w:pos="426"/>
        </w:tabs>
        <w:rPr>
          <w:rFonts w:cs="Arial"/>
          <w:sz w:val="16"/>
        </w:rPr>
      </w:pPr>
    </w:p>
    <w:p w:rsidR="000A1474" w:rsidRPr="003A4B56" w:rsidRDefault="000A1474" w:rsidP="00B51B51">
      <w:pPr>
        <w:widowControl w:val="0"/>
        <w:tabs>
          <w:tab w:val="left" w:pos="426"/>
        </w:tabs>
        <w:rPr>
          <w:rFonts w:cs="Arial"/>
        </w:rPr>
      </w:pPr>
      <w:r w:rsidRPr="003A4B56">
        <w:rPr>
          <w:rFonts w:cs="Arial"/>
        </w:rPr>
        <w:t xml:space="preserve">El trigo blanco es la especie de mayor relevancia cultivada en el país y se extiende desde </w:t>
      </w:r>
      <w:smartTag w:uri="urn:schemas-microsoft-com:office:smarttags" w:element="PersonName">
        <w:smartTagPr>
          <w:attr w:name="ProductID" w:val="la I"/>
        </w:smartTagPr>
        <w:r w:rsidRPr="003A4B56">
          <w:rPr>
            <w:rFonts w:cs="Arial"/>
          </w:rPr>
          <w:t>la I</w:t>
        </w:r>
      </w:smartTag>
      <w:r w:rsidRPr="003A4B56">
        <w:rPr>
          <w:rFonts w:cs="Arial"/>
        </w:rPr>
        <w:t xml:space="preserve"> a </w:t>
      </w:r>
      <w:smartTag w:uri="urn:schemas-microsoft-com:office:smarttags" w:element="PersonName">
        <w:smartTagPr>
          <w:attr w:name="ProductID" w:val="la XI Región"/>
        </w:smartTagPr>
        <w:r w:rsidRPr="003A4B56">
          <w:rPr>
            <w:rFonts w:cs="Arial"/>
          </w:rPr>
          <w:t>la XI Región</w:t>
        </w:r>
      </w:smartTag>
      <w:r w:rsidRPr="003A4B56">
        <w:rPr>
          <w:rFonts w:cs="Arial"/>
        </w:rPr>
        <w:t xml:space="preserve">, pero se concentra en más de 80% entre </w:t>
      </w:r>
      <w:smartTag w:uri="urn:schemas-microsoft-com:office:smarttags" w:element="PersonName">
        <w:smartTagPr>
          <w:attr w:name="ProductID" w:val="la VII"/>
        </w:smartTagPr>
        <w:r w:rsidRPr="003A4B56">
          <w:rPr>
            <w:rFonts w:cs="Arial"/>
          </w:rPr>
          <w:t>la VII</w:t>
        </w:r>
      </w:smartTag>
      <w:r w:rsidRPr="003A4B56">
        <w:rPr>
          <w:rFonts w:cs="Arial"/>
        </w:rPr>
        <w:t xml:space="preserve"> y IX Región, donde se cosecha alrededor del 78% de la producción nacional. Este cereal se desarrolla tanto en condiciones de riego como de secano, en una proporción de 23% y 77%, respectivamente.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De acuerdo con el VI Censo Nacional Agropecuario, en la temporada 1996/97 la superficie dedicada a rubro abarcó aproximadamente </w:t>
      </w:r>
      <w:smartTag w:uri="urn:schemas-microsoft-com:office:smarttags" w:element="metricconverter">
        <w:smartTagPr>
          <w:attr w:name="ProductID" w:val="398.643 ha"/>
        </w:smartTagPr>
        <w:r w:rsidRPr="003A4B56">
          <w:rPr>
            <w:rFonts w:cs="Arial"/>
          </w:rPr>
          <w:t>398.643 ha</w:t>
        </w:r>
      </w:smartTag>
      <w:r w:rsidRPr="003A4B56">
        <w:rPr>
          <w:rFonts w:cs="Arial"/>
        </w:rPr>
        <w:t xml:space="preserve">, cifra que representa el 47,7% del área sembrada con cultivos tradicionales. Según el VII Censo nacional Agropecuario realizado por INE en 2007, la superficie de este cereal en ese año alcanzó a sólo </w:t>
      </w:r>
      <w:smartTag w:uri="urn:schemas-microsoft-com:office:smarttags" w:element="metricconverter">
        <w:smartTagPr>
          <w:attr w:name="ProductID" w:val="219.763 hectáreas"/>
        </w:smartTagPr>
        <w:r w:rsidRPr="003A4B56">
          <w:rPr>
            <w:rFonts w:cs="Arial"/>
          </w:rPr>
          <w:t>219.763 hectáreas</w:t>
        </w:r>
      </w:smartTag>
      <w:r w:rsidRPr="003A4B56">
        <w:rPr>
          <w:rFonts w:cs="Arial"/>
        </w:rPr>
        <w:t>, lo que revela una caída de 44,9% en relación a lo sembrado diez años atrás (</w:t>
      </w:r>
      <w:r w:rsidRPr="003A4B56">
        <w:rPr>
          <w:rFonts w:cs="Arial"/>
        </w:rPr>
        <w:fldChar w:fldCharType="begin"/>
      </w:r>
      <w:r w:rsidRPr="003A4B56">
        <w:rPr>
          <w:rFonts w:cs="Arial"/>
        </w:rPr>
        <w:instrText xml:space="preserve"> REF _Ref336535227 \h </w:instrText>
      </w:r>
      <w:r w:rsidRPr="003A4B56">
        <w:rPr>
          <w:rFonts w:cs="Arial"/>
        </w:rPr>
      </w:r>
      <w:r w:rsidR="0006493D" w:rsidRPr="003A4B56">
        <w:rPr>
          <w:rFonts w:cs="Arial"/>
        </w:rPr>
        <w:instrText xml:space="preserve"> \* MERGEFORMAT </w:instrText>
      </w:r>
      <w:r w:rsidRPr="003A4B56">
        <w:rPr>
          <w:rFonts w:cs="Arial"/>
        </w:rPr>
        <w:fldChar w:fldCharType="separate"/>
      </w:r>
      <w:r w:rsidR="00264070" w:rsidRPr="003A4B56">
        <w:t xml:space="preserve">Tabla </w:t>
      </w:r>
      <w:r w:rsidR="00264070">
        <w:rPr>
          <w:noProof/>
        </w:rPr>
        <w:t>5.74</w:t>
      </w:r>
      <w:r w:rsidRPr="003A4B56">
        <w:rPr>
          <w:rFonts w:cs="Arial"/>
        </w:rPr>
        <w:fldChar w:fldCharType="end"/>
      </w:r>
      <w:r w:rsidRPr="003A4B56">
        <w:rPr>
          <w:rFonts w:cs="Arial"/>
        </w:rPr>
        <w:t xml:space="preserve">). En la década de 1980 la superficie dedicada al cultivo del trigo registró su peak en la temporada 1986/87 con </w:t>
      </w:r>
      <w:smartTag w:uri="urn:schemas-microsoft-com:office:smarttags" w:element="metricconverter">
        <w:smartTagPr>
          <w:attr w:name="ProductID" w:val="676.560 hectáreas"/>
        </w:smartTagPr>
        <w:r w:rsidRPr="003A4B56">
          <w:rPr>
            <w:rFonts w:cs="Arial"/>
          </w:rPr>
          <w:t>676.560 hectáreas</w:t>
        </w:r>
      </w:smartTag>
      <w:r w:rsidRPr="003A4B56">
        <w:rPr>
          <w:rFonts w:cs="Arial"/>
        </w:rPr>
        <w:t>.</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en la temporada 2006/07, se cultivaron alrededor de </w:t>
      </w:r>
      <w:smartTag w:uri="urn:schemas-microsoft-com:office:smarttags" w:element="metricconverter">
        <w:smartTagPr>
          <w:attr w:name="ProductID" w:val="3.464,7 ha"/>
        </w:smartTagPr>
        <w:r w:rsidRPr="003A4B56">
          <w:rPr>
            <w:rFonts w:cs="Arial"/>
          </w:rPr>
          <w:t>3.464,7 ha</w:t>
        </w:r>
      </w:smartTag>
      <w:r w:rsidRPr="003A4B56">
        <w:rPr>
          <w:rFonts w:cs="Arial"/>
        </w:rPr>
        <w:t xml:space="preserve"> de trigo en terrenos de riego, distribuidas en 34,2% en la provincia de Cachapoal; 65,1% en Colchagua y el 0,7% restante en Cardenal Caro.</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A pesar de las fluctuaciones exhibidas por la superficie, la producción ha variado en una menor cuantía, ya que los rendimientos han aumentado debido a la adopción de nuevas tecnologías. En efecto, a principios de los 80 los rendimientos eran del orden de 16 quintales por hectáreas, mientras que a fines de esa década éstos superaban los 30 qqm/ha, en los años 90 éstos han oscilados entre 35 y 40 qqm/ha y a partir del año 2000 han fluctuado entre 42 y 58 quintales por ha.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La evolución de la superficie ha estado estrechamente relacionada con la experimentada por los precios y las importaciones.  </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rPr>
          <w:rFonts w:cs="Arial"/>
        </w:rPr>
      </w:pPr>
      <w:r w:rsidRPr="003A4B56">
        <w:rPr>
          <w:rFonts w:cs="Arial"/>
        </w:rPr>
        <w:t xml:space="preserve">Como se mencionó anteriormente, el consumo nacional de trigo se satisface a través de la producción interna y de las importaciones. De esta manera, el precio nacional de este producto está estrechamente ligado a las fluctuaciones de las cotizaciones internacionales. No obstante, </w:t>
      </w:r>
      <w:r w:rsidR="007E2F8C">
        <w:rPr>
          <w:rFonts w:cs="Arial"/>
        </w:rPr>
        <w:t>E</w:t>
      </w:r>
      <w:r w:rsidRPr="003A4B56">
        <w:rPr>
          <w:rFonts w:cs="Arial"/>
        </w:rPr>
        <w:t xml:space="preserve">ste producto está afecto al mecanismo de Banda de Precios, sistema que atenúa las bruscas variaciones registradas por los precios del cereal en el ámbito mundial. </w:t>
      </w:r>
    </w:p>
    <w:p w:rsidR="000A1474" w:rsidRPr="003A4B56" w:rsidRDefault="000A1474" w:rsidP="00B51B51">
      <w:pPr>
        <w:pStyle w:val="Epgrafe"/>
        <w:widowControl w:val="0"/>
        <w:rPr>
          <w:rFonts w:cs="Arial"/>
          <w:noProof/>
          <w:lang w:val="es-CL" w:eastAsia="es-CL"/>
        </w:rPr>
      </w:pPr>
      <w:bookmarkStart w:id="311" w:name="_Ref336535227"/>
      <w:r w:rsidRPr="003A4B56">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74</w:t>
      </w:r>
      <w:r w:rsidR="007F3102">
        <w:fldChar w:fldCharType="end"/>
      </w:r>
      <w:bookmarkEnd w:id="311"/>
    </w:p>
    <w:p w:rsidR="000A1474" w:rsidRPr="003A4B56" w:rsidRDefault="00254CE2" w:rsidP="00B51B51">
      <w:pPr>
        <w:widowControl w:val="0"/>
        <w:tabs>
          <w:tab w:val="left" w:pos="0"/>
          <w:tab w:val="left" w:pos="426"/>
          <w:tab w:val="left" w:pos="720"/>
        </w:tabs>
        <w:jc w:val="center"/>
        <w:rPr>
          <w:rFonts w:cs="Arial"/>
          <w:szCs w:val="22"/>
        </w:rPr>
      </w:pPr>
      <w:r>
        <w:rPr>
          <w:rFonts w:cs="Arial"/>
          <w:noProof/>
          <w:lang w:val="es-CL" w:eastAsia="es-CL"/>
        </w:rPr>
        <w:drawing>
          <wp:inline distT="0" distB="0" distL="0" distR="0">
            <wp:extent cx="2870835" cy="3413125"/>
            <wp:effectExtent l="0" t="0" r="5715" b="0"/>
            <wp:docPr id="12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70835" cy="3413125"/>
                    </a:xfrm>
                    <a:prstGeom prst="rect">
                      <a:avLst/>
                    </a:prstGeom>
                    <a:noFill/>
                    <a:ln>
                      <a:noFill/>
                    </a:ln>
                  </pic:spPr>
                </pic:pic>
              </a:graphicData>
            </a:graphic>
          </wp:inline>
        </w:drawing>
      </w:r>
    </w:p>
    <w:p w:rsidR="000A1474" w:rsidRPr="003A4B56" w:rsidRDefault="000A1474" w:rsidP="00B51B51">
      <w:pPr>
        <w:widowControl w:val="0"/>
        <w:tabs>
          <w:tab w:val="left" w:pos="426"/>
          <w:tab w:val="left" w:pos="1620"/>
          <w:tab w:val="left" w:pos="8222"/>
          <w:tab w:val="left" w:pos="8789"/>
          <w:tab w:val="left" w:pos="9360"/>
        </w:tabs>
        <w:ind w:right="616"/>
        <w:jc w:val="center"/>
        <w:rPr>
          <w:rFonts w:cs="Arial"/>
          <w:noProof/>
          <w:spacing w:val="-3"/>
          <w:sz w:val="20"/>
          <w:szCs w:val="20"/>
        </w:rPr>
      </w:pPr>
      <w:r w:rsidRPr="003A4B56">
        <w:rPr>
          <w:rFonts w:cs="Arial"/>
          <w:noProof/>
          <w:spacing w:val="-3"/>
          <w:sz w:val="20"/>
          <w:szCs w:val="20"/>
        </w:rPr>
        <w:t xml:space="preserve">          Fuente: Elaborado en base a antecedentes de ODEPA e INE.</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Las importaciones de trigo a partir del año 1990 experimentaron un notable incremento, debido a que la demanda se ha mantenido relativamente estable y la cosecha nacional había descendido considerablemente. Esta tendencia cambió en 1997, puesto que la producción doméstica experimentó un crecimiento, debido al aumento de la superficie de cultivo y a mayores rendimientos.</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Así,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_Ref336586173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5.20</w:t>
      </w:r>
      <w:r w:rsidRPr="003A4B56">
        <w:rPr>
          <w:rFonts w:cs="Arial"/>
        </w:rPr>
        <w:fldChar w:fldCharType="end"/>
      </w:r>
      <w:r w:rsidRPr="003A4B56">
        <w:rPr>
          <w:rFonts w:cs="Arial"/>
        </w:rPr>
        <w:t xml:space="preserve">, las adquisiciones de este cereal entre 1990 y 1996 aumentaron sostenidamente, posteriormente la situación ha sido más fluctuante, lo que ha estado en estrecha relación con el resultado de la cosecha interna. Desde el año </w:t>
      </w:r>
      <w:smartTag w:uri="urn:schemas-microsoft-com:office:smarttags" w:element="metricconverter">
        <w:smartTagPr>
          <w:attr w:name="ProductID" w:val="2001 a"/>
        </w:smartTagPr>
        <w:r w:rsidRPr="003A4B56">
          <w:rPr>
            <w:rFonts w:cs="Arial"/>
          </w:rPr>
          <w:t>2001 a</w:t>
        </w:r>
      </w:smartTag>
      <w:r w:rsidRPr="003A4B56">
        <w:rPr>
          <w:rFonts w:cs="Arial"/>
        </w:rPr>
        <w:t xml:space="preserve"> 2003, las compras aumentaron hasta situarse en algo más de 400 mil toneladas en 2003. En contraposición, en el trascurso del año 2004 y 2005 las internaciones descendieron significativamente, pero entre 2006 y 2008 aumentaron notablemente, superando todas las adquisiciones del período de análisis, lo que sería atribuible a una menor cosecha doméstica y a un aumento del consumo. En el último trienio las importaciones se han mantenido relativamente estables en torno a 620 mil toneladas. </w:t>
      </w:r>
    </w:p>
    <w:p w:rsidR="000A1474" w:rsidRPr="003A4B56" w:rsidRDefault="000A1474" w:rsidP="00B51B51">
      <w:pPr>
        <w:pStyle w:val="Cuadro"/>
        <w:tabs>
          <w:tab w:val="left" w:pos="0"/>
          <w:tab w:val="left" w:pos="426"/>
          <w:tab w:val="left" w:pos="720"/>
        </w:tabs>
        <w:spacing w:before="0" w:after="0"/>
        <w:rPr>
          <w:rFonts w:ascii="Arial" w:hAnsi="Arial" w:cs="Arial"/>
          <w:noProof/>
          <w:sz w:val="22"/>
          <w:szCs w:val="22"/>
          <w:lang w:val="es-ES"/>
        </w:rPr>
      </w:pPr>
    </w:p>
    <w:p w:rsidR="000A1474" w:rsidRPr="003A4B56" w:rsidRDefault="000A1474" w:rsidP="00B51B51">
      <w:pPr>
        <w:widowControl w:val="0"/>
        <w:tabs>
          <w:tab w:val="left" w:pos="426"/>
        </w:tabs>
        <w:rPr>
          <w:rFonts w:cs="Arial"/>
        </w:rPr>
      </w:pPr>
      <w:r w:rsidRPr="003A4B56">
        <w:rPr>
          <w:rFonts w:cs="Arial"/>
        </w:rPr>
        <w:t>Durante el año 2011, los principales oferentes de este cereal, en orden de importancia, fueron Estados Unidos, Argentina y Canadá, entre otros.</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pPr>
      <w:r w:rsidRPr="003A4B56">
        <w:t xml:space="preserve">En este contexto, en preciso tener presente que la incorporación de Chile al MERCOSUR, significa que las importaciones de trigo continuarán sujetas a los derechos específicos y rebajas arancelarias dispuestas por el mecanismo de </w:t>
      </w:r>
      <w:smartTag w:uri="urn:schemas-microsoft-com:office:smarttags" w:element="PersonName">
        <w:smartTagPr>
          <w:attr w:name="ProductID" w:val="la Banda"/>
        </w:smartTagPr>
        <w:r w:rsidRPr="003A4B56">
          <w:t>la Banda</w:t>
        </w:r>
      </w:smartTag>
      <w:r w:rsidRPr="003A4B56">
        <w:t xml:space="preserve"> de Precios, hasta el año 2014. En Canadá, este producto quedó en la lista de desgravación a 18 años, y dejará de pagar arancel el año 2014.</w:t>
      </w:r>
    </w:p>
    <w:p w:rsidR="00E362F8" w:rsidRDefault="00E362F8" w:rsidP="00B51B51">
      <w:pPr>
        <w:widowControl w:val="0"/>
        <w:tabs>
          <w:tab w:val="left" w:pos="426"/>
        </w:tabs>
      </w:pPr>
    </w:p>
    <w:p w:rsidR="001A4D3D" w:rsidRPr="003A4B56" w:rsidRDefault="001A4D3D" w:rsidP="00B51B51">
      <w:pPr>
        <w:widowControl w:val="0"/>
        <w:tabs>
          <w:tab w:val="left" w:pos="426"/>
        </w:tabs>
        <w:rPr>
          <w:noProof/>
          <w:szCs w:val="22"/>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2" w:name="_Ref336586173"/>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20</w:t>
      </w:r>
      <w:r w:rsidR="00951FEC">
        <w:rPr>
          <w:b/>
        </w:rPr>
        <w:fldChar w:fldCharType="end"/>
      </w:r>
      <w:bookmarkEnd w:id="312"/>
    </w:p>
    <w:p w:rsidR="000A1474" w:rsidRPr="003A4B56" w:rsidRDefault="00254CE2" w:rsidP="00B51B51">
      <w:pPr>
        <w:widowControl w:val="0"/>
        <w:tabs>
          <w:tab w:val="left" w:pos="0"/>
          <w:tab w:val="left" w:pos="426"/>
          <w:tab w:val="left" w:pos="720"/>
        </w:tabs>
        <w:jc w:val="center"/>
        <w:rPr>
          <w:rFonts w:cs="Arial"/>
          <w:szCs w:val="22"/>
        </w:rPr>
      </w:pPr>
      <w:r>
        <w:rPr>
          <w:rFonts w:cs="Arial"/>
          <w:noProof/>
          <w:lang w:val="es-CL" w:eastAsia="es-CL"/>
        </w:rPr>
        <w:drawing>
          <wp:inline distT="0" distB="0" distL="0" distR="0">
            <wp:extent cx="4954905" cy="2275205"/>
            <wp:effectExtent l="0" t="0" r="0" b="0"/>
            <wp:docPr id="12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54905" cy="2275205"/>
                    </a:xfrm>
                    <a:prstGeom prst="rect">
                      <a:avLst/>
                    </a:prstGeom>
                    <a:noFill/>
                    <a:ln>
                      <a:noFill/>
                    </a:ln>
                  </pic:spPr>
                </pic:pic>
              </a:graphicData>
            </a:graphic>
          </wp:inline>
        </w:drawing>
      </w:r>
    </w:p>
    <w:p w:rsidR="000A1474" w:rsidRPr="001E4FE1" w:rsidRDefault="000A1474" w:rsidP="00B51B51">
      <w:pPr>
        <w:pStyle w:val="Epgrafe"/>
        <w:widowControl w:val="0"/>
        <w:tabs>
          <w:tab w:val="left" w:pos="426"/>
          <w:tab w:val="left" w:pos="540"/>
          <w:tab w:val="left" w:pos="1276"/>
          <w:tab w:val="left" w:pos="8789"/>
        </w:tabs>
        <w:rPr>
          <w:b w:val="0"/>
          <w:noProof/>
          <w:sz w:val="20"/>
          <w:szCs w:val="20"/>
        </w:rPr>
      </w:pPr>
      <w:r w:rsidRPr="001E4FE1">
        <w:rPr>
          <w:b w:val="0"/>
          <w:noProof/>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noProof/>
          <w:szCs w:val="22"/>
        </w:rPr>
      </w:pPr>
    </w:p>
    <w:p w:rsidR="000A1474" w:rsidRPr="003A4B56" w:rsidRDefault="000A1474" w:rsidP="00B51B51">
      <w:pPr>
        <w:widowControl w:val="0"/>
        <w:tabs>
          <w:tab w:val="left" w:pos="426"/>
        </w:tabs>
        <w:rPr>
          <w:rFonts w:cs="Arial"/>
        </w:rPr>
      </w:pPr>
      <w:r w:rsidRPr="003A4B56">
        <w:rPr>
          <w:rFonts w:cs="Arial"/>
        </w:rPr>
        <w:t xml:space="preserve">Entretanto, en el acuerdo con Corea este producto quedó en lista de excepción, donde no existirá desgravación arancelaria; para las importaciones originarias de Estados Unidos, la desgravación alcanzará a 100% sólo el año 12 de vigencia del acuerdo, existiendo 4 años de gracia, en donde no se efectuará devaluación. </w:t>
      </w:r>
    </w:p>
    <w:p w:rsidR="000A1474" w:rsidRPr="003A4B56" w:rsidRDefault="000A1474" w:rsidP="00B51B51">
      <w:pPr>
        <w:widowControl w:val="0"/>
        <w:tabs>
          <w:tab w:val="left" w:pos="0"/>
          <w:tab w:val="left" w:pos="426"/>
          <w:tab w:val="left" w:pos="720"/>
        </w:tabs>
        <w:rPr>
          <w:rFonts w:cs="Arial"/>
          <w:noProof/>
          <w:szCs w:val="22"/>
        </w:rPr>
      </w:pPr>
    </w:p>
    <w:p w:rsidR="000A1474" w:rsidRPr="003A4B56" w:rsidRDefault="000A1474" w:rsidP="00B51B51">
      <w:pPr>
        <w:widowControl w:val="0"/>
        <w:tabs>
          <w:tab w:val="left" w:pos="426"/>
        </w:tabs>
        <w:rPr>
          <w:rFonts w:cs="Arial"/>
        </w:rPr>
      </w:pPr>
      <w:r w:rsidRPr="003A4B56">
        <w:rPr>
          <w:rFonts w:cs="Arial"/>
        </w:rPr>
        <w:t xml:space="preserve">En este sentido, se debe destacar las ventajas comparativas que existen en los países actualmente miembros del MERCOSUR respecto al cultivo de trigo en Chile, como también el descenso de los valores Piso y Techo de </w:t>
      </w:r>
      <w:smartTag w:uri="urn:schemas-microsoft-com:office:smarttags" w:element="PersonName">
        <w:smartTagPr>
          <w:attr w:name="ProductID" w:val="la Banda"/>
        </w:smartTagPr>
        <w:r w:rsidRPr="003A4B56">
          <w:rPr>
            <w:rFonts w:cs="Arial"/>
          </w:rPr>
          <w:t>la Banda</w:t>
        </w:r>
      </w:smartTag>
      <w:r w:rsidRPr="003A4B56">
        <w:rPr>
          <w:rFonts w:cs="Arial"/>
        </w:rPr>
        <w:t xml:space="preserve"> de Precios hasta el año 2014, lo que se debería traducir en una caída de la superficie interna afectando más severamente a productores con bajos rendimientos y aquellos que no pueden beneficiarse de las economías de escala.</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Con respecto a la comercialización del trigo, cabe señalar que los potenciales compradores  son:</w:t>
      </w:r>
    </w:p>
    <w:p w:rsidR="000A1474" w:rsidRPr="003A4B56" w:rsidRDefault="000A1474" w:rsidP="00B51B51">
      <w:pPr>
        <w:widowControl w:val="0"/>
        <w:tabs>
          <w:tab w:val="left" w:pos="426"/>
        </w:tabs>
        <w:rPr>
          <w:rFonts w:cs="Arial"/>
        </w:rPr>
      </w:pPr>
    </w:p>
    <w:p w:rsidR="000A1474" w:rsidRPr="003A4B56" w:rsidRDefault="000A1474" w:rsidP="00145762">
      <w:pPr>
        <w:widowControl w:val="0"/>
        <w:numPr>
          <w:ilvl w:val="0"/>
          <w:numId w:val="11"/>
        </w:numPr>
      </w:pPr>
      <w:r w:rsidRPr="003A4B56">
        <w:t>Molinos</w:t>
      </w:r>
    </w:p>
    <w:p w:rsidR="000A1474" w:rsidRPr="003A4B56" w:rsidRDefault="000A1474" w:rsidP="00145762">
      <w:pPr>
        <w:widowControl w:val="0"/>
        <w:numPr>
          <w:ilvl w:val="0"/>
          <w:numId w:val="11"/>
        </w:numPr>
      </w:pPr>
      <w:r w:rsidRPr="003A4B56">
        <w:t xml:space="preserve">COTRISA, poder comprador estatal, cuyo objetivo es intervenir en el mercado para sustentar los niveles de precios derivados de </w:t>
      </w:r>
      <w:smartTag w:uri="urn:schemas-microsoft-com:office:smarttags" w:element="PersonName">
        <w:smartTagPr>
          <w:attr w:name="ProductID" w:val="la Banda"/>
        </w:smartTagPr>
        <w:r w:rsidRPr="003A4B56">
          <w:t>la Banda</w:t>
        </w:r>
      </w:smartTag>
      <w:r w:rsidRPr="003A4B56">
        <w:t xml:space="preserve"> de Precios vigente cada temporada y darle fluidez a las transacciones del trigo.</w:t>
      </w:r>
    </w:p>
    <w:p w:rsidR="000A1474" w:rsidRPr="003A4B56" w:rsidRDefault="000A1474" w:rsidP="00145762">
      <w:pPr>
        <w:widowControl w:val="0"/>
        <w:numPr>
          <w:ilvl w:val="0"/>
          <w:numId w:val="11"/>
        </w:numPr>
      </w:pPr>
      <w:r w:rsidRPr="003A4B56">
        <w:t>Acopiadores privados.</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De ellos, el principal agente comprador está constituido por los molinos, los que en las últimas temporadas han adquirido gran parte del trigo cosechado en el país y del importado. En la actualidad, existen en el país aproximadamente 136 molinos establecidos. </w:t>
      </w:r>
      <w:smartTag w:uri="urn:schemas-microsoft-com:office:smarttags" w:element="PersonName">
        <w:smartTagPr>
          <w:attr w:name="ProductID" w:val="la Región Metropolitana"/>
        </w:smartTagPr>
        <w:r w:rsidRPr="003A4B56">
          <w:rPr>
            <w:rFonts w:cs="Arial"/>
          </w:rPr>
          <w:t>La Región Metropolitana</w:t>
        </w:r>
      </w:smartTag>
      <w:r w:rsidRPr="003A4B56">
        <w:rPr>
          <w:rFonts w:cs="Arial"/>
        </w:rPr>
        <w:t xml:space="preserve"> absorbe alrededor del 50% de la molienda nacional, distribuyéndose la diferencia en forma más o menos uniforme entre las regiones V y </w:t>
      </w:r>
      <w:smartTag w:uri="urn:schemas-microsoft-com:office:smarttags" w:element="PersonName">
        <w:smartTagPr>
          <w:attr w:name="ProductID" w:val="la X."/>
        </w:smartTagPr>
        <w:r w:rsidRPr="003A4B56">
          <w:rPr>
            <w:rFonts w:cs="Arial"/>
          </w:rPr>
          <w:t>la X.</w:t>
        </w:r>
      </w:smartTag>
      <w:r w:rsidRPr="003A4B56">
        <w:rPr>
          <w:rFonts w:cs="Arial"/>
        </w:rPr>
        <w:t xml:space="preserve"> </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rPr>
          <w:rFonts w:cs="Arial"/>
        </w:rPr>
      </w:pPr>
      <w:r w:rsidRPr="003A4B56">
        <w:rPr>
          <w:rFonts w:cs="Arial"/>
        </w:rPr>
        <w:t xml:space="preserve">En Chile, cuando se inicia la temporada de comercialización, eventualmente tiene lugar la participación de COTRISA, evento que adquiere gran relevancia cuando el costo de importación se ubica por debajo del “piso” de </w:t>
      </w:r>
      <w:smartTag w:uri="urn:schemas-microsoft-com:office:smarttags" w:element="PersonName">
        <w:smartTagPr>
          <w:attr w:name="ProductID" w:val="la Banda"/>
        </w:smartTagPr>
        <w:r w:rsidRPr="003A4B56">
          <w:rPr>
            <w:rFonts w:cs="Arial"/>
          </w:rPr>
          <w:t>la Banda</w:t>
        </w:r>
      </w:smartTag>
      <w:r w:rsidRPr="003A4B56">
        <w:rPr>
          <w:rFonts w:cs="Arial"/>
        </w:rPr>
        <w:t xml:space="preserve"> de Precios. Aquí dicho poder comprador cumple un rol fundamental, y el precio ofrecido a los productores corresponde al piso descontando los gastos operacionales y el costo financiero de tener el producto almacenado.</w:t>
      </w:r>
    </w:p>
    <w:p w:rsidR="00E362F8" w:rsidRDefault="00E362F8" w:rsidP="00B51B51">
      <w:pPr>
        <w:widowControl w:val="0"/>
        <w:tabs>
          <w:tab w:val="left" w:pos="426"/>
        </w:tabs>
        <w:rPr>
          <w:rFonts w:cs="Arial"/>
        </w:rPr>
      </w:pPr>
    </w:p>
    <w:p w:rsidR="001A4D3D" w:rsidRPr="003A4B56" w:rsidRDefault="001A4D3D" w:rsidP="00B51B51">
      <w:pPr>
        <w:widowControl w:val="0"/>
        <w:tabs>
          <w:tab w:val="left" w:pos="426"/>
        </w:tabs>
        <w:rPr>
          <w:rFonts w:cs="Arial"/>
        </w:rPr>
      </w:pPr>
    </w:p>
    <w:p w:rsidR="000A1474" w:rsidRPr="003A4B56" w:rsidRDefault="000A1474" w:rsidP="00145762">
      <w:pPr>
        <w:widowControl w:val="0"/>
        <w:numPr>
          <w:ilvl w:val="0"/>
          <w:numId w:val="7"/>
        </w:numPr>
        <w:tabs>
          <w:tab w:val="clear" w:pos="720"/>
        </w:tabs>
        <w:ind w:hanging="720"/>
        <w:rPr>
          <w:rFonts w:cs="Arial"/>
        </w:rPr>
      </w:pPr>
      <w:r w:rsidRPr="003A4B56">
        <w:rPr>
          <w:rFonts w:cs="Arial"/>
        </w:rPr>
        <w:lastRenderedPageBreak/>
        <w:t>Ganadería Bovina</w:t>
      </w:r>
    </w:p>
    <w:p w:rsidR="001A4D3D" w:rsidRDefault="001A4D3D"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Durante las últimas décadas, las existencias de ganado bovino se situaron entre 3 millones 300 mil y 3 millones 400 mil cabezas, sufriendo las oscilaciones propias derivadas de los ciclos ganaderos, situación que se modificó a partir de 1990, año desde el cual se inició un definido aumento.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efecto, éstas pasaron de 3 millones 404 mil en </w:t>
      </w:r>
      <w:smartTag w:uri="urn:schemas-microsoft-com:office:smarttags" w:element="metricconverter">
        <w:smartTagPr>
          <w:attr w:name="ProductID" w:val="1990 a"/>
        </w:smartTagPr>
        <w:r w:rsidRPr="003A4B56">
          <w:rPr>
            <w:rFonts w:cs="Arial"/>
          </w:rPr>
          <w:t>1990 a</w:t>
        </w:r>
      </w:smartTag>
      <w:r w:rsidRPr="003A4B56">
        <w:rPr>
          <w:rFonts w:cs="Arial"/>
        </w:rPr>
        <w:t xml:space="preserve"> cerca de 4 millones 98 mil unidades en la temporada 1996/97, siendo este incremento bastante paulatino a través del tiempo (</w:t>
      </w:r>
      <w:r w:rsidRPr="003A4B56">
        <w:rPr>
          <w:rFonts w:cs="Arial"/>
        </w:rPr>
        <w:fldChar w:fldCharType="begin"/>
      </w:r>
      <w:r w:rsidRPr="003A4B56">
        <w:rPr>
          <w:rFonts w:cs="Arial"/>
        </w:rPr>
        <w:instrText xml:space="preserve"> REF _Ref336534771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Tabla </w:t>
      </w:r>
      <w:r w:rsidR="00264070" w:rsidRPr="00264070">
        <w:rPr>
          <w:noProof/>
        </w:rPr>
        <w:t>5.75</w:t>
      </w:r>
      <w:r w:rsidRPr="003A4B56">
        <w:rPr>
          <w:rFonts w:cs="Arial"/>
        </w:rPr>
        <w:fldChar w:fldCharType="end"/>
      </w:r>
      <w:r w:rsidRPr="003A4B56">
        <w:rPr>
          <w:rFonts w:cs="Arial"/>
        </w:rPr>
        <w:t>). Resulta interesante destacar que la mayor parte del crecimiento ha tenido lugar en la zona sur y austral, regiones donde se ha acentuado la importancia del rubro pecuario, en especial considerando la declinación experimentada por los cultivos tradicionales.</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3" w:name="_Ref336534771"/>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75</w:t>
      </w:r>
      <w:r w:rsidR="007F3102">
        <w:rPr>
          <w:b/>
        </w:rPr>
        <w:fldChar w:fldCharType="end"/>
      </w:r>
      <w:bookmarkEnd w:id="313"/>
    </w:p>
    <w:p w:rsidR="000A1474" w:rsidRPr="003A4B56" w:rsidRDefault="00254CE2" w:rsidP="00B51B51">
      <w:pPr>
        <w:widowControl w:val="0"/>
        <w:tabs>
          <w:tab w:val="left" w:pos="0"/>
          <w:tab w:val="left" w:pos="426"/>
          <w:tab w:val="left" w:pos="720"/>
        </w:tabs>
        <w:jc w:val="center"/>
        <w:rPr>
          <w:rFonts w:cs="Arial"/>
          <w:szCs w:val="22"/>
        </w:rPr>
      </w:pPr>
      <w:r>
        <w:rPr>
          <w:rFonts w:cs="Arial"/>
          <w:noProof/>
          <w:lang w:val="es-CL" w:eastAsia="es-CL"/>
        </w:rPr>
        <w:drawing>
          <wp:inline distT="0" distB="0" distL="0" distR="0">
            <wp:extent cx="3902075" cy="3391535"/>
            <wp:effectExtent l="0" t="0" r="3175" b="0"/>
            <wp:docPr id="12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02075" cy="3391535"/>
                    </a:xfrm>
                    <a:prstGeom prst="rect">
                      <a:avLst/>
                    </a:prstGeom>
                    <a:noFill/>
                    <a:ln>
                      <a:noFill/>
                    </a:ln>
                  </pic:spPr>
                </pic:pic>
              </a:graphicData>
            </a:graphic>
          </wp:inline>
        </w:drawing>
      </w:r>
    </w:p>
    <w:p w:rsidR="000A1474" w:rsidRPr="003A4B56" w:rsidRDefault="000A1474" w:rsidP="00B51B51">
      <w:pPr>
        <w:widowControl w:val="0"/>
        <w:tabs>
          <w:tab w:val="left" w:pos="0"/>
          <w:tab w:val="left" w:pos="426"/>
          <w:tab w:val="left" w:pos="720"/>
        </w:tabs>
        <w:jc w:val="center"/>
        <w:rPr>
          <w:rFonts w:cs="Arial"/>
          <w:sz w:val="20"/>
          <w:szCs w:val="20"/>
        </w:rPr>
      </w:pPr>
      <w:r w:rsidRPr="003A4B56">
        <w:rPr>
          <w:rFonts w:cs="Arial"/>
          <w:sz w:val="20"/>
          <w:szCs w:val="20"/>
        </w:rPr>
        <w:t>Fuente: Elaborado en base a antecedentes de ODEPA e INE</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Posteriormente, no se tiene información de estadísticas de masa ganadera, sólo en el año 2007 el INE a través del VII Censo Nacional Agropecuario informa que el ganado bovino asciende a una masa total de 3.719.507 cabezas, lo que implica un descenso de 9,3% respecto de lo censado, por la misma entidad, en la temporada 1996/97.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 acuerdo a los antecedentes recopilados del VII Censo Nacional Agropecuario, en 2007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contaba con una masa bovina del orden de 83.346 cabezas, monto que representa el 2,2% del total nacional. Al interior de </w:t>
      </w:r>
      <w:smartTag w:uri="urn:schemas-microsoft-com:office:smarttags" w:element="PersonName">
        <w:smartTagPr>
          <w:attr w:name="ProductID" w:val="la Región"/>
        </w:smartTagPr>
        <w:r w:rsidRPr="003A4B56">
          <w:rPr>
            <w:rFonts w:cs="Arial"/>
          </w:rPr>
          <w:t>la Región</w:t>
        </w:r>
      </w:smartTag>
      <w:r w:rsidRPr="003A4B56">
        <w:rPr>
          <w:rFonts w:cs="Arial"/>
        </w:rPr>
        <w:t>, ésta se distribuye en 40,2% en la provincia de Colchagua; 32,7% en Cachapoal y, el 27,1% restante en la correspondiente a Cardenal Caro.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el mercado nacional, la oferta de carne bovina está determinada por la producción doméstica y las importaciones. La producción interna ha aumentado significativamente desde 1987, lo que ha estado en estrecha relación con el beneficio de estos animales. No obstante, en </w:t>
      </w:r>
      <w:r w:rsidRPr="003A4B56">
        <w:rPr>
          <w:rFonts w:cs="Arial"/>
        </w:rPr>
        <w:lastRenderedPageBreak/>
        <w:t>1991 y 1992 se produjo una importante reducción que sería atribuible a la fase de retención de vientres del ciclo ganadero. Posteriormente, hasta el año 1997 ésta experimentó un sostenido incremento, hasta situarse en torno a 262 mil toneladas de carne en vara; luego la oferta descendió totalizando en el año 2003 algo más de 191 mil toneladas, para posteriormente aumentar hasta el año 2007 cuando se faenaron más de 241 mil toneladas. Luego, el beneficio descendió y en 2010 y 2011 se ha situado en torno a 210 mil toneladas de carne en vara.</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426"/>
        </w:tabs>
        <w:rPr>
          <w:rFonts w:cs="Arial"/>
        </w:rPr>
      </w:pPr>
      <w:r w:rsidRPr="003A4B56">
        <w:rPr>
          <w:rFonts w:cs="Arial"/>
        </w:rPr>
        <w:t xml:space="preserve">La relación kilos de carne por animal, durante la última década, ha fluctuado entre 232,3 en 1991 y 255,1 en 2003. La tendencia general fue de un descenso hasta el año 2000, lo que había estado en concordancia con las disposiciones de </w:t>
      </w:r>
      <w:smartTag w:uri="urn:schemas-microsoft-com:office:smarttags" w:element="PersonName">
        <w:smartTagPr>
          <w:attr w:name="ProductID" w:val="la Ley"/>
        </w:smartTagPr>
        <w:r w:rsidRPr="003A4B56">
          <w:rPr>
            <w:rFonts w:cs="Arial"/>
          </w:rPr>
          <w:t>la Ley</w:t>
        </w:r>
      </w:smartTag>
      <w:r w:rsidRPr="003A4B56">
        <w:rPr>
          <w:rFonts w:cs="Arial"/>
        </w:rPr>
        <w:t xml:space="preserve"> de Tipificación de </w:t>
      </w:r>
      <w:smartTag w:uri="urn:schemas-microsoft-com:office:smarttags" w:element="PersonName">
        <w:smartTagPr>
          <w:attr w:name="ProductID" w:val="la Carne"/>
        </w:smartTagPr>
        <w:r w:rsidRPr="003A4B56">
          <w:rPr>
            <w:rFonts w:cs="Arial"/>
          </w:rPr>
          <w:t>la Carne</w:t>
        </w:r>
      </w:smartTag>
      <w:r w:rsidRPr="003A4B56">
        <w:rPr>
          <w:rFonts w:cs="Arial"/>
        </w:rPr>
        <w:t>, en el sentido de favorecer el beneficio de animales de menor edad. No obstante, desde el año 2001 hasta el 2007 el rendimiento medio se ha mantenido en torno a los 250 kilos, lo que hace suponer que la ganancia de peso de los animales se ha acelerado, con el propósito de obtener animales más gordos a menor edad y con esto aprovechar el diferencial de precios que tiene lugar según las categorías más jóvenes. En 2011 esta relación 256 kilos de carne en vara por animal, lo que sería atribuible a una mayor eficiencia en la ganancia de peso.</w:t>
      </w:r>
    </w:p>
    <w:p w:rsidR="000A1474" w:rsidRPr="003A4B56" w:rsidRDefault="000A1474" w:rsidP="00B51B51">
      <w:pPr>
        <w:widowControl w:val="0"/>
        <w:tabs>
          <w:tab w:val="left" w:pos="426"/>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Es preciso tener presente que en los años en que ha tenido lugar una disminución de la producción interna, no se ha constatado un fortalecimiento de los precios, ya que el déficit resultante ha quedado cubierto a través de un importante y sostenido aumento de las importaciones. No obstante, en los años 2007 y </w:t>
      </w:r>
      <w:smartTag w:uri="urn:schemas-microsoft-com:office:smarttags" w:element="metricconverter">
        <w:smartTagPr>
          <w:attr w:name="ProductID" w:val="2008 a"/>
        </w:smartTagPr>
        <w:r w:rsidRPr="003A4B56">
          <w:rPr>
            <w:rFonts w:cs="Arial"/>
          </w:rPr>
          <w:t>2008 a</w:t>
        </w:r>
      </w:smartTag>
      <w:r w:rsidRPr="003A4B56">
        <w:rPr>
          <w:rFonts w:cs="Arial"/>
        </w:rPr>
        <w:t xml:space="preserve"> pesar del aumento de la producción doméstica, los precios nacionales aumentaron, debido a las cotizaciones del producto importado.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este contexto, cabe señalar que las internaciones hasta el año 2005  experimentaron un fuerte crecimiento. Es así como las adquisiciones de carne bovina deshuesada congelada, entre 1990 y 1997 mostraron una significativa expansión, al pasar de 1.600 toneladas a casi 27 mil toneladas, luego las compras descendieron y en el año 2011 éstas se situaron en casi 6 mil toneladas, equivalentes a US$25,5 millones CIF (</w:t>
      </w:r>
      <w:r w:rsidRPr="003A4B56">
        <w:rPr>
          <w:rFonts w:cs="Arial"/>
        </w:rPr>
        <w:fldChar w:fldCharType="begin"/>
      </w:r>
      <w:r w:rsidRPr="003A4B56">
        <w:rPr>
          <w:rFonts w:cs="Arial"/>
        </w:rPr>
        <w:instrText xml:space="preserve"> REF _Ref336586710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5.21</w:t>
      </w:r>
      <w:r w:rsidRPr="003A4B56">
        <w:rPr>
          <w:rFonts w:cs="Arial"/>
        </w:rPr>
        <w:fldChar w:fldCharType="end"/>
      </w:r>
      <w:r w:rsidRPr="003A4B56">
        <w:rPr>
          <w:rFonts w:cs="Arial"/>
        </w:rPr>
        <w:t>). Los principales oferentes fueron Brasil, Uruguay, Australia y Paraguay.</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4" w:name="_Ref336586710"/>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21</w:t>
      </w:r>
      <w:r w:rsidR="00951FEC">
        <w:rPr>
          <w:b/>
        </w:rPr>
        <w:fldChar w:fldCharType="end"/>
      </w:r>
      <w:bookmarkEnd w:id="314"/>
    </w:p>
    <w:p w:rsidR="000A1474" w:rsidRPr="003A4B56" w:rsidRDefault="00254CE2" w:rsidP="00B51B51">
      <w:pPr>
        <w:widowControl w:val="0"/>
        <w:tabs>
          <w:tab w:val="left" w:pos="0"/>
          <w:tab w:val="left" w:pos="426"/>
          <w:tab w:val="left" w:pos="720"/>
        </w:tabs>
        <w:jc w:val="center"/>
        <w:rPr>
          <w:rFonts w:cs="Arial"/>
          <w:szCs w:val="22"/>
        </w:rPr>
      </w:pPr>
      <w:r>
        <w:rPr>
          <w:rFonts w:cs="Arial"/>
          <w:noProof/>
          <w:lang w:val="es-CL" w:eastAsia="es-CL"/>
        </w:rPr>
        <w:drawing>
          <wp:inline distT="0" distB="0" distL="0" distR="0">
            <wp:extent cx="4465955" cy="2265045"/>
            <wp:effectExtent l="0" t="0" r="0" b="1905"/>
            <wp:docPr id="127"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65955" cy="2265045"/>
                    </a:xfrm>
                    <a:prstGeom prst="rect">
                      <a:avLst/>
                    </a:prstGeom>
                    <a:noFill/>
                    <a:ln>
                      <a:noFill/>
                    </a:ln>
                  </pic:spPr>
                </pic:pic>
              </a:graphicData>
            </a:graphic>
          </wp:inline>
        </w:drawing>
      </w:r>
    </w:p>
    <w:p w:rsidR="000A1474" w:rsidRPr="005842D3" w:rsidRDefault="000A1474" w:rsidP="00B51B51">
      <w:pPr>
        <w:pStyle w:val="Epgrafe"/>
        <w:widowControl w:val="0"/>
        <w:tabs>
          <w:tab w:val="left" w:pos="426"/>
          <w:tab w:val="left" w:pos="540"/>
          <w:tab w:val="left" w:pos="1276"/>
          <w:tab w:val="left" w:pos="8789"/>
        </w:tabs>
        <w:rPr>
          <w:b w:val="0"/>
          <w:noProof/>
          <w:sz w:val="20"/>
          <w:szCs w:val="20"/>
        </w:rPr>
      </w:pPr>
      <w:r w:rsidRPr="005842D3">
        <w:rPr>
          <w:b w:val="0"/>
          <w:noProof/>
          <w:sz w:val="20"/>
          <w:szCs w:val="20"/>
        </w:rPr>
        <w:t>Fuente: Elaborado en base a antecedentes de ODEPA</w:t>
      </w:r>
    </w:p>
    <w:p w:rsidR="00E362F8" w:rsidRDefault="00E362F8"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contraposición con el producto anterior, las importaciones de carne bovina deshuesada fresca o refrigerada, entre 1990 y 2011 anotaron una significativa expansión, totalizando en </w:t>
      </w:r>
      <w:r w:rsidRPr="003A4B56">
        <w:rPr>
          <w:rFonts w:cs="Arial"/>
        </w:rPr>
        <w:lastRenderedPageBreak/>
        <w:t>2011 más de 119 mil toneladas (</w:t>
      </w:r>
      <w:r w:rsidRPr="003A4B56">
        <w:rPr>
          <w:rFonts w:cs="Arial"/>
        </w:rPr>
        <w:fldChar w:fldCharType="begin"/>
      </w:r>
      <w:r w:rsidRPr="003A4B56">
        <w:rPr>
          <w:rFonts w:cs="Arial"/>
        </w:rPr>
        <w:instrText xml:space="preserve"> REF _Ref336586728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5.22</w:t>
      </w:r>
      <w:r w:rsidRPr="003A4B56">
        <w:rPr>
          <w:rFonts w:cs="Arial"/>
        </w:rPr>
        <w:fldChar w:fldCharType="end"/>
      </w:r>
      <w:r w:rsidRPr="003A4B56">
        <w:rPr>
          <w:rFonts w:cs="Arial"/>
        </w:rPr>
        <w:t xml:space="preserve">), equivalentes a US$ 753 millones CIF. Los países de origen son los señalados para el producto anterior, es decir, los que conforman el MERCOSUR, aunque se debe destacar que Australia participó con algo más del 10% de los envíos a Chile.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Cabe señalar que, en ambos productos, Argentina había liderado los envíos a Chile en años anteriores, pero durante el 2001 en adelante dicho país se ha visto afectado por brotes de fiebre aftosa, lo que tuvo como consecuencia un reordenamiento del mercado.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Sin</w:t>
      </w:r>
      <w:r w:rsidR="00922F03">
        <w:rPr>
          <w:rFonts w:cs="Arial"/>
        </w:rPr>
        <w:t xml:space="preserve"> embargo, es importante señalar</w:t>
      </w:r>
      <w:r w:rsidRPr="003A4B56">
        <w:rPr>
          <w:rFonts w:cs="Arial"/>
        </w:rPr>
        <w:t xml:space="preserve"> que la incorporación de Chile al MERCOSUR ha sido negativa para este sector, ya que se han incrementado las importaciones provenientes de ese grupo de países, los que poseen ventajas comparativas respecto de la realidad nacional.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5" w:name="_Ref336586728"/>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22</w:t>
      </w:r>
      <w:r w:rsidR="00951FEC">
        <w:rPr>
          <w:b/>
        </w:rPr>
        <w:fldChar w:fldCharType="end"/>
      </w:r>
      <w:bookmarkEnd w:id="315"/>
    </w:p>
    <w:p w:rsidR="000A1474" w:rsidRPr="003A4B56" w:rsidRDefault="00254CE2" w:rsidP="00B51B51">
      <w:pPr>
        <w:widowControl w:val="0"/>
        <w:tabs>
          <w:tab w:val="left" w:pos="0"/>
          <w:tab w:val="left" w:pos="426"/>
          <w:tab w:val="left" w:pos="720"/>
        </w:tabs>
        <w:jc w:val="center"/>
        <w:rPr>
          <w:rFonts w:cs="Arial"/>
          <w:szCs w:val="22"/>
        </w:rPr>
      </w:pPr>
      <w:r>
        <w:rPr>
          <w:rFonts w:cs="Arial"/>
          <w:noProof/>
          <w:lang w:val="es-CL" w:eastAsia="es-CL"/>
        </w:rPr>
        <w:drawing>
          <wp:inline distT="0" distB="0" distL="0" distR="0">
            <wp:extent cx="4359275" cy="2084070"/>
            <wp:effectExtent l="0" t="0" r="3175" b="0"/>
            <wp:docPr id="12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59275" cy="2084070"/>
                    </a:xfrm>
                    <a:prstGeom prst="rect">
                      <a:avLst/>
                    </a:prstGeom>
                    <a:noFill/>
                    <a:ln>
                      <a:noFill/>
                    </a:ln>
                  </pic:spPr>
                </pic:pic>
              </a:graphicData>
            </a:graphic>
          </wp:inline>
        </w:drawing>
      </w:r>
    </w:p>
    <w:p w:rsidR="000A1474" w:rsidRPr="005842D3" w:rsidRDefault="000A1474" w:rsidP="00B51B51">
      <w:pPr>
        <w:pStyle w:val="Epgrafe"/>
        <w:widowControl w:val="0"/>
        <w:tabs>
          <w:tab w:val="left" w:pos="426"/>
          <w:tab w:val="left" w:pos="540"/>
          <w:tab w:val="left" w:pos="1276"/>
          <w:tab w:val="left" w:pos="8789"/>
        </w:tabs>
        <w:rPr>
          <w:b w:val="0"/>
          <w:noProof/>
          <w:sz w:val="20"/>
          <w:szCs w:val="20"/>
        </w:rPr>
      </w:pPr>
      <w:r w:rsidRPr="005842D3">
        <w:rPr>
          <w:b w:val="0"/>
          <w:noProof/>
          <w:sz w:val="20"/>
          <w:szCs w:val="20"/>
        </w:rPr>
        <w:t>Fuente: Elaborado en base a antecedentes de ODEPA</w:t>
      </w:r>
    </w:p>
    <w:p w:rsidR="000A1474" w:rsidRPr="003A4B56" w:rsidRDefault="000A1474" w:rsidP="00B51B51">
      <w:pPr>
        <w:widowControl w:val="0"/>
        <w:tabs>
          <w:tab w:val="left" w:pos="0"/>
          <w:tab w:val="left" w:pos="426"/>
          <w:tab w:val="left" w:pos="720"/>
        </w:tabs>
        <w:ind w:firstLine="708"/>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Si bien la desgravación arancelaria sólo comenzó a partir del año 2006 y concluyó el año 2011, desde 1996 existen cupos preferenciales otorgados por Chile al MERCOSUR. Los cupos son válidos para el 50% del producto congelado y 50% para el fresco y deben emplearse en proporciones no superiores a 50% del total de cada semestre. Así, Argentina y Brasil reciben un cupo anual de 3 mil y 2 mil toneladas, respectivamente, con una preferencia de 30%, hasta el año 2007. El cupo de Uruguay asciende a 3 mil toneladas, con una preferencia de 50%, que culminó el año 2008. Por último, la preferencia otorgada a Paraguay es de 75%, y la cuota relacionada corresponde a 7 mil toneladas anuales hasta el año 2010.</w:t>
      </w:r>
    </w:p>
    <w:p w:rsidR="000A1474" w:rsidRPr="003A4B56" w:rsidRDefault="000A1474" w:rsidP="00B51B51">
      <w:pPr>
        <w:widowControl w:val="0"/>
        <w:tabs>
          <w:tab w:val="left" w:pos="0"/>
          <w:tab w:val="left" w:pos="426"/>
          <w:tab w:val="left" w:pos="720"/>
        </w:tabs>
        <w:rPr>
          <w:rFonts w:cs="Arial"/>
          <w:noProof/>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Cabe señalar que Chile había sido un importador neto de carne bovina, pero a partir del año 2001 se encuentra incursionando en las exportaciones de este producto, llegando en </w:t>
      </w:r>
      <w:smartTag w:uri="urn:schemas-microsoft-com:office:smarttags" w:element="metricconverter">
        <w:smartTagPr>
          <w:attr w:name="ProductID" w:val="2003 a"/>
        </w:smartTagPr>
        <w:r w:rsidRPr="003A4B56">
          <w:rPr>
            <w:rFonts w:cs="Arial"/>
          </w:rPr>
          <w:t>2003 a</w:t>
        </w:r>
      </w:smartTag>
      <w:r w:rsidRPr="003A4B56">
        <w:rPr>
          <w:rFonts w:cs="Arial"/>
        </w:rPr>
        <w:t xml:space="preserve"> exportar más de US$22 millones FOB y en 2011 US$26,6 millones FOB, lo que revela una expansión de 20% entre 2003 y 2011. Sin embargo, se debe tener presente que en 2005 tuvo lugar el mayor monto de envíos, totalizando casi US$52 millones FOB, debido a que para los productores nacionales era más rentable la exportación que la venta en el mercado nacional, situación que ha sido opuesta en los últimos años.</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Las principales plazas de colocación en 2011 fueron Alemania, Reino Unido, Cuba, Israel, Estados Unidos, México y Japón, entre otros. Los montos enviados a los países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se han expandido significativamente, tendencia que debería prevalecer en los próximos años. Asimismo, esta situación debiera registrarse en Estados Unidos, Japón y Corea. </w:t>
      </w: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Cabe destacar que las plazas de colocación son distintas de los orígenes de la carne importada, en donde países como los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Estados Unidos y Corea privilegian determinadas calidades y la sanidad del producto nacional.</w:t>
      </w:r>
    </w:p>
    <w:p w:rsidR="000A1474" w:rsidRPr="003A4B56" w:rsidRDefault="000A1474" w:rsidP="00B51B51">
      <w:pPr>
        <w:widowControl w:val="0"/>
        <w:tabs>
          <w:tab w:val="left" w:pos="0"/>
          <w:tab w:val="left" w:pos="426"/>
          <w:tab w:val="left" w:pos="720"/>
        </w:tabs>
        <w:rPr>
          <w:rFonts w:cs="Arial"/>
          <w:noProof/>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efecto, en los tratados de libre comercio más recientes suscritos por Chile, los envíos de carne bovina en Estados Unidos debían pagar un arancel de 26,4%, pero con ocasión del acuerdo la desgravación arancelaria total culminó en un plazo de 4 años y, además, había otorgado una preferencia a una cuota de 1.000 toneladas, con un incremento de 10% anual. En Corea la cuota alcanza a 400 toneladas, y se debe tener en consideración que antes del acuerdo el arancel de internación era de 42%.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entretanto, estableció una cuota liberada de aranceles en forma inmediata para 1.000 toneladas de carnes rojas, con una tasa de incremento anual de 100 toneladas. Entretanto, los envíos a China actualmente pagan un arancel de 12% y éste se igualará a cero en el año 10.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Japón,  para la carne bovina deshuesada, determinó para los primeros cinco años un sistema de cuotas anuales de 1.300 ton, 1.950 ton, 2.600 ton, 3.250 ton y culmina con 4.000 toneladas al quinto año; estas cantidades deben pagar un arancel de internación de 34,6% los dos primeros años y de 30,8% los tres últimos; después de ese período se deberá negociar tanto los montos de exportación como los gravámenes. La carne bovina con hueso quedó en lista de exclusión.</w:t>
      </w:r>
    </w:p>
    <w:p w:rsidR="000A1474" w:rsidRPr="003A4B56" w:rsidRDefault="000A1474" w:rsidP="00B51B51">
      <w:pPr>
        <w:widowControl w:val="0"/>
        <w:tabs>
          <w:tab w:val="left" w:pos="0"/>
          <w:tab w:val="left" w:pos="426"/>
          <w:tab w:val="left" w:pos="720"/>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Por otra parte, es necesario destacar la expansión que ha exhibido, en Chile, el consumo por habitante de carne bovina, ya que mientras en 1989 se consumían 17,5 kilos por habitante, en 2010 éste fue de 23,6 kilos, lo que implica un incremento del orden de 34,5%. Sin embargo, se debe tener presente que en ese mismo período, las carnes blancas experimentaron un crecimiento más espectacular, ya que en ese lapso el consumo de pollos y pavos se expandió fuertemente, pasando de 8  a casi 33,3 kilos por habitante.</w:t>
      </w:r>
    </w:p>
    <w:p w:rsidR="000A1474" w:rsidRPr="003A4B56" w:rsidRDefault="000A1474" w:rsidP="00B51B51">
      <w:pPr>
        <w:widowControl w:val="0"/>
        <w:tabs>
          <w:tab w:val="left" w:pos="0"/>
          <w:tab w:val="left" w:pos="426"/>
          <w:tab w:val="left" w:pos="720"/>
        </w:tabs>
        <w:rPr>
          <w:rFonts w:cs="Arial"/>
          <w:noProof/>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este ámbito, cabe señalar que a nivel mundial el consumo percápita de carne bovina es muy variable, siendo el de los países europeos levemente inferior al chileno, en tanto que en naciones como Argentina, Australia, Brasil, Canadá, Nueva Zelandia y Estados Unidos, éste es superado ampliamente. </w:t>
      </w:r>
    </w:p>
    <w:p w:rsidR="000A1474" w:rsidRPr="003A4B56" w:rsidRDefault="000A1474" w:rsidP="00B51B51">
      <w:pPr>
        <w:widowControl w:val="0"/>
        <w:tabs>
          <w:tab w:val="left" w:pos="0"/>
          <w:tab w:val="left" w:pos="426"/>
          <w:tab w:val="left" w:pos="720"/>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 su vez Japón y China han reconocido oficialmente a Chile dentro de una categoría sanitaria que nos permite acceder a sus mercados, donde ya se han establecido cupos de entrada para el producto nacional. Cabe señalar que el consumo percápita de carne bovina en esos países no supera los 10 kilos anuales,  lo que constituye un precedente del potencial que significa el ingreso de Chile a esas plazas de colocación. </w:t>
      </w:r>
    </w:p>
    <w:p w:rsidR="000A1474" w:rsidRPr="003A4B56" w:rsidRDefault="000A1474" w:rsidP="00B51B51">
      <w:pPr>
        <w:widowControl w:val="0"/>
        <w:tabs>
          <w:tab w:val="left" w:pos="0"/>
          <w:tab w:val="left" w:pos="426"/>
          <w:tab w:val="left" w:pos="720"/>
        </w:tabs>
        <w:ind w:firstLine="708"/>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De acuerdo a lo anteriormente expuesto, el sector debe readecuarse con la adopción de nuevas tecnologías de producción, que implicarán menores costos y mayores ganancias de peso, aspectos que se traducirán en una mayor rentabilidad para los ganaderos eficientes.</w:t>
      </w:r>
    </w:p>
    <w:p w:rsidR="000A1474" w:rsidRPr="003A4B56" w:rsidRDefault="000A1474" w:rsidP="00B51B51">
      <w:pPr>
        <w:widowControl w:val="0"/>
        <w:tabs>
          <w:tab w:val="left" w:pos="0"/>
          <w:tab w:val="left" w:pos="426"/>
          <w:tab w:val="left" w:pos="720"/>
        </w:tabs>
        <w:rPr>
          <w:rFonts w:cs="Arial"/>
          <w:noProof/>
        </w:rPr>
      </w:pPr>
    </w:p>
    <w:p w:rsidR="000A1474" w:rsidRDefault="000A1474" w:rsidP="00B51B51">
      <w:pPr>
        <w:widowControl w:val="0"/>
        <w:tabs>
          <w:tab w:val="left" w:pos="0"/>
          <w:tab w:val="left" w:pos="426"/>
          <w:tab w:val="left" w:pos="720"/>
        </w:tabs>
        <w:rPr>
          <w:rFonts w:cs="Arial"/>
        </w:rPr>
      </w:pPr>
      <w:r w:rsidRPr="003A4B56">
        <w:rPr>
          <w:rFonts w:cs="Arial"/>
        </w:rPr>
        <w:t xml:space="preserve">Asimismo, el cumplimiento de </w:t>
      </w:r>
      <w:smartTag w:uri="urn:schemas-microsoft-com:office:smarttags" w:element="PersonName">
        <w:smartTagPr>
          <w:attr w:name="ProductID" w:val="la Ley"/>
        </w:smartTagPr>
        <w:r w:rsidRPr="003A4B56">
          <w:rPr>
            <w:rFonts w:cs="Arial"/>
          </w:rPr>
          <w:t>la Ley</w:t>
        </w:r>
      </w:smartTag>
      <w:r w:rsidRPr="003A4B56">
        <w:rPr>
          <w:rFonts w:cs="Arial"/>
        </w:rPr>
        <w:t xml:space="preserve"> 19.162, referida a la tipificación de la carne, se traducirá en un diferencial de precios entre las distintas categorías que permitirá un producto de buena calidad (novillos, toritos y vaquillas) y desincentivará la engorda intensiva de animales viejos, lo que contribuirá a enfrentar en mejor pie a la car</w:t>
      </w:r>
      <w:r w:rsidR="00E362F8">
        <w:rPr>
          <w:rFonts w:cs="Arial"/>
        </w:rPr>
        <w:t>ne proveniente de otros países.</w:t>
      </w:r>
    </w:p>
    <w:p w:rsidR="00E362F8" w:rsidRPr="003A4B56" w:rsidRDefault="00E362F8"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el corto a mediano plazo es probable que los precios en el mercado nacional se mantengan relativamente estables debido al encarecimiento del producto importado. Asimismo, la corriente </w:t>
      </w:r>
      <w:r w:rsidRPr="003A4B56">
        <w:rPr>
          <w:rFonts w:cs="Arial"/>
        </w:rPr>
        <w:lastRenderedPageBreak/>
        <w:t xml:space="preserve">exportadora que se está constatando actualmente en Chile, tendencia que se apreciará con mayor fuerza en los próximos años, cuando el producto chileno logre consolidarse en los mercados de destinos, especialmente en aquellos con se han firmado tratados de libre comercio, debería implicar, a lo menos, una mantención de los precios internos.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 tal forma, se abre un nuevo desafío para el sector, donde el objetivo es ocupar algunos nichos en esos mercados con productos de alta calidad. Para afrontar el futuro con éxito, es preciso reorientar las estrategias de desarrollo de la ganadería nacional. Se requerirá de reglas claras para invertir y generar un cambio en el enfoque del sistema actual que vaya hacia una integración entre productores, industria procesadora-empacadora y el sector oficial así como adoptar sistemas productivos de alta competitividad.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el ámbito de los envíos al exterior, cabe señalar que los embarques a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han cumplido satisfactoriamente con los estándares exigidos por dicho bloque, y se espera aumentar los volúmenes exportados. De hecho, actualmente existen tres mataderos habilitados con dicho propósito. Uno de los mataderos es Carnes Ñuble ubicado a dos kilómetros de la entrada norte de la ciudad de Chillán, otro se ubica en Osorno.</w:t>
      </w:r>
    </w:p>
    <w:p w:rsidR="000A1474" w:rsidRPr="003A4B56" w:rsidRDefault="000A1474" w:rsidP="00B51B51">
      <w:pPr>
        <w:widowControl w:val="0"/>
        <w:tabs>
          <w:tab w:val="left" w:pos="1418"/>
        </w:tabs>
        <w:rPr>
          <w:rFonts w:cs="Arial"/>
          <w:b/>
          <w:bCs/>
        </w:rPr>
      </w:pPr>
    </w:p>
    <w:p w:rsidR="000A1474" w:rsidRPr="003A4B56" w:rsidRDefault="000A1474" w:rsidP="00145762">
      <w:pPr>
        <w:widowControl w:val="0"/>
        <w:numPr>
          <w:ilvl w:val="0"/>
          <w:numId w:val="7"/>
        </w:numPr>
        <w:tabs>
          <w:tab w:val="clear" w:pos="720"/>
        </w:tabs>
        <w:ind w:hanging="720"/>
        <w:rPr>
          <w:rFonts w:cs="Arial"/>
        </w:rPr>
      </w:pPr>
      <w:r w:rsidRPr="003A4B56">
        <w:rPr>
          <w:rFonts w:cs="Arial"/>
        </w:rPr>
        <w:t>Hortalizas</w:t>
      </w:r>
    </w:p>
    <w:p w:rsidR="000A1474" w:rsidRPr="003A4B56" w:rsidRDefault="000A1474" w:rsidP="00B51B51">
      <w:pPr>
        <w:widowControl w:val="0"/>
        <w:tabs>
          <w:tab w:val="left" w:pos="0"/>
          <w:tab w:val="left" w:pos="426"/>
          <w:tab w:val="left" w:pos="720"/>
        </w:tabs>
        <w:rPr>
          <w:rFonts w:cs="Arial"/>
        </w:rPr>
      </w:pPr>
    </w:p>
    <w:p w:rsidR="000A1474" w:rsidRPr="003A4B56" w:rsidRDefault="00A24E25" w:rsidP="00B51B51">
      <w:pPr>
        <w:widowControl w:val="0"/>
        <w:tabs>
          <w:tab w:val="left" w:pos="0"/>
          <w:tab w:val="left" w:pos="426"/>
          <w:tab w:val="left" w:pos="720"/>
        </w:tabs>
        <w:rPr>
          <w:rFonts w:cs="Arial"/>
        </w:rPr>
      </w:pPr>
      <w:r w:rsidRPr="003A4B56">
        <w:rPr>
          <w:rFonts w:cs="Arial"/>
        </w:rPr>
        <w:t>-</w:t>
      </w:r>
      <w:r w:rsidRPr="003A4B56">
        <w:rPr>
          <w:rFonts w:cs="Arial"/>
        </w:rPr>
        <w:tab/>
      </w:r>
      <w:r w:rsidR="000A1474" w:rsidRPr="003A4B56">
        <w:rPr>
          <w:rFonts w:cs="Arial"/>
        </w:rPr>
        <w:t>Ají</w:t>
      </w:r>
    </w:p>
    <w:p w:rsidR="000A1474" w:rsidRPr="003A4B56" w:rsidRDefault="000A1474" w:rsidP="00B51B51">
      <w:pPr>
        <w:widowControl w:val="0"/>
        <w:tabs>
          <w:tab w:val="left" w:pos="1418"/>
        </w:tabs>
        <w:rPr>
          <w:rFonts w:cs="Arial"/>
        </w:rPr>
      </w:pPr>
    </w:p>
    <w:p w:rsidR="000A1474" w:rsidRPr="003A4B56" w:rsidRDefault="000A1474" w:rsidP="00B51B51">
      <w:pPr>
        <w:widowControl w:val="0"/>
      </w:pPr>
      <w:r w:rsidRPr="003A4B56">
        <w:t xml:space="preserve">El ají es una hortaliza que se cultiva desde </w:t>
      </w:r>
      <w:smartTag w:uri="urn:schemas-microsoft-com:office:smarttags" w:element="PersonName">
        <w:smartTagPr>
          <w:attr w:name="ProductID" w:val="la XV"/>
        </w:smartTagPr>
        <w:r w:rsidRPr="003A4B56">
          <w:t>la XV</w:t>
        </w:r>
      </w:smartTag>
      <w:r w:rsidRPr="003A4B56">
        <w:t xml:space="preserve"> a </w:t>
      </w:r>
      <w:smartTag w:uri="urn:schemas-microsoft-com:office:smarttags" w:element="PersonName">
        <w:smartTagPr>
          <w:attr w:name="ProductID" w:val="la X Región"/>
        </w:smartTagPr>
        <w:r w:rsidRPr="003A4B56">
          <w:t>la X Región</w:t>
        </w:r>
      </w:smartTag>
      <w:r w:rsidRPr="003A4B56">
        <w:t xml:space="preserve">, pero se concentra fundamentalmente en </w:t>
      </w:r>
      <w:smartTag w:uri="urn:schemas-microsoft-com:office:smarttags" w:element="PersonName">
        <w:smartTagPr>
          <w:attr w:name="ProductID" w:val="la IV"/>
        </w:smartTagPr>
        <w:r w:rsidRPr="003A4B56">
          <w:t>la IV</w:t>
        </w:r>
      </w:smartTag>
      <w:r w:rsidRPr="003A4B56">
        <w:t xml:space="preserve">, VI y VII Región, las que en conjunto suman más del 90% del área cultivada. Esta especie en 1996/97 abarcó una superficie del orden de </w:t>
      </w:r>
      <w:smartTag w:uri="urn:schemas-microsoft-com:office:smarttags" w:element="metricconverter">
        <w:smartTagPr>
          <w:attr w:name="ProductID" w:val="1.081 ha"/>
        </w:smartTagPr>
        <w:r w:rsidRPr="003A4B56">
          <w:t>1.081 ha</w:t>
        </w:r>
      </w:smartTag>
      <w:r w:rsidRPr="003A4B56">
        <w:t xml:space="preserve"> a nivel nacional, área que en 2006/07 aumentó a </w:t>
      </w:r>
      <w:smartTag w:uri="urn:schemas-microsoft-com:office:smarttags" w:element="metricconverter">
        <w:smartTagPr>
          <w:attr w:name="ProductID" w:val="1.290,9 hectáreas"/>
        </w:smartTagPr>
        <w:r w:rsidRPr="003A4B56">
          <w:t>1.290,9 hectáreas</w:t>
        </w:r>
      </w:smartTag>
      <w:r w:rsidRPr="003A4B56">
        <w:t xml:space="preserve">. En el último período en </w:t>
      </w:r>
      <w:smartTag w:uri="urn:schemas-microsoft-com:office:smarttags" w:element="PersonName">
        <w:smartTagPr>
          <w:attr w:name="ProductID" w:val="la VI Región"/>
        </w:smartTagPr>
        <w:r w:rsidRPr="003A4B56">
          <w:t>la VI Región</w:t>
        </w:r>
      </w:smartTag>
      <w:r w:rsidRPr="003A4B56">
        <w:t xml:space="preserve"> se cultivaron </w:t>
      </w:r>
      <w:smartTag w:uri="urn:schemas-microsoft-com:office:smarttags" w:element="metricconverter">
        <w:smartTagPr>
          <w:attr w:name="ProductID" w:val="216,5 ha"/>
        </w:smartTagPr>
        <w:r w:rsidRPr="003A4B56">
          <w:t>216,5 ha</w:t>
        </w:r>
      </w:smartTag>
      <w:r w:rsidRPr="003A4B56">
        <w:t>, es decir, tuvo una representatividad del 15,9%. La información de superficies corresponde a la contenida en el VI y VII Censo Nacional Agropecuario realizado por INE en las temporadas 1996/97 y 2006/07, respectivamente.</w:t>
      </w:r>
    </w:p>
    <w:p w:rsidR="000A1474" w:rsidRPr="003A4B56" w:rsidRDefault="000A1474" w:rsidP="00B51B51">
      <w:pPr>
        <w:widowControl w:val="0"/>
      </w:pPr>
    </w:p>
    <w:p w:rsidR="000A1474" w:rsidRPr="003A4B56" w:rsidRDefault="000A1474" w:rsidP="00B51B51">
      <w:pPr>
        <w:widowControl w:val="0"/>
      </w:pPr>
      <w:r w:rsidRPr="003A4B56">
        <w:t xml:space="preserve">Al interior de la región del Libertador Bernardo O´Higgins, cabe señalar que este cultivo se distribuye en 34,5% en la provincia de Cachapoal y el 65,5% restante, en la correspondiente a Colchagua. </w:t>
      </w:r>
    </w:p>
    <w:p w:rsidR="000A1474" w:rsidRPr="003A4B56" w:rsidRDefault="000A1474" w:rsidP="00B51B51">
      <w:pPr>
        <w:widowControl w:val="0"/>
      </w:pPr>
    </w:p>
    <w:p w:rsidR="000A1474" w:rsidRPr="003A4B56" w:rsidRDefault="000A1474" w:rsidP="00B51B51">
      <w:pPr>
        <w:widowControl w:val="0"/>
      </w:pPr>
      <w:r w:rsidRPr="003A4B56">
        <w:t xml:space="preserve">En términos generales, es interesante indicar que la superficie dedicada a este rubro entre 1989/90 y 1995/96, a excepción de la temporada 1993/94, se mantuvo en el rango de </w:t>
      </w:r>
      <w:smartTag w:uri="urn:schemas-microsoft-com:office:smarttags" w:element="metricconverter">
        <w:smartTagPr>
          <w:attr w:name="ProductID" w:val="800 a"/>
        </w:smartTagPr>
        <w:r w:rsidRPr="003A4B56">
          <w:t>800 a</w:t>
        </w:r>
      </w:smartTag>
      <w:r w:rsidRPr="003A4B56">
        <w:t xml:space="preserve"> </w:t>
      </w:r>
      <w:smartTag w:uri="urn:schemas-microsoft-com:office:smarttags" w:element="metricconverter">
        <w:smartTagPr>
          <w:attr w:name="ProductID" w:val="900 hectáreas"/>
        </w:smartTagPr>
        <w:r w:rsidRPr="003A4B56">
          <w:t>900 hectáreas</w:t>
        </w:r>
      </w:smartTag>
      <w:r w:rsidRPr="003A4B56">
        <w:t xml:space="preserve">, posteriormente aumentó a alrededor de las </w:t>
      </w:r>
      <w:smartTag w:uri="urn:schemas-microsoft-com:office:smarttags" w:element="metricconverter">
        <w:smartTagPr>
          <w:attr w:name="ProductID" w:val="1.200 ha"/>
        </w:smartTagPr>
        <w:r w:rsidRPr="003A4B56">
          <w:t>1.200 ha</w:t>
        </w:r>
      </w:smartTag>
      <w:r w:rsidRPr="003A4B56">
        <w:t xml:space="preserve">, superficie que ha sido relativamente estable hasta las últimas temporadas. </w:t>
      </w:r>
    </w:p>
    <w:p w:rsidR="000A1474" w:rsidRPr="003A4B56" w:rsidRDefault="000A1474" w:rsidP="00B51B51">
      <w:pPr>
        <w:widowControl w:val="0"/>
      </w:pPr>
    </w:p>
    <w:p w:rsidR="000A1474" w:rsidRPr="003A4B56" w:rsidRDefault="000A1474" w:rsidP="00B51B51">
      <w:pPr>
        <w:widowControl w:val="0"/>
      </w:pPr>
      <w:r w:rsidRPr="003A4B56">
        <w:t>El principal mercado para el producto fresco está constituido por los mayoristas de Santiago y de grandes áreas urbanas. Ello se realiza a través de intermediarios que compran al productor directamente en el predio o a través de la venta directa en estos mercados.</w:t>
      </w:r>
    </w:p>
    <w:p w:rsidR="000A1474" w:rsidRPr="003A4B56" w:rsidRDefault="000A1474" w:rsidP="00B51B51">
      <w:pPr>
        <w:widowControl w:val="0"/>
        <w:rPr>
          <w:noProof/>
        </w:rPr>
      </w:pPr>
    </w:p>
    <w:p w:rsidR="000A1474" w:rsidRPr="003A4B56" w:rsidRDefault="00A24E25" w:rsidP="00B51B51">
      <w:pPr>
        <w:widowControl w:val="0"/>
      </w:pPr>
      <w:r w:rsidRPr="003A4B56">
        <w:t>-</w:t>
      </w:r>
      <w:r w:rsidRPr="003A4B56">
        <w:tab/>
      </w:r>
      <w:r w:rsidR="000A1474" w:rsidRPr="003A4B56">
        <w:t>Ajo</w:t>
      </w:r>
    </w:p>
    <w:p w:rsidR="000A1474" w:rsidRPr="003A4B56" w:rsidRDefault="000A1474" w:rsidP="00B51B51">
      <w:pPr>
        <w:widowControl w:val="0"/>
      </w:pPr>
    </w:p>
    <w:p w:rsidR="000A1474" w:rsidRPr="003A4B56" w:rsidRDefault="000A1474" w:rsidP="00B51B51">
      <w:pPr>
        <w:widowControl w:val="0"/>
        <w:rPr>
          <w:noProof/>
          <w:spacing w:val="-3"/>
        </w:rPr>
      </w:pPr>
      <w:r w:rsidRPr="003A4B56">
        <w:rPr>
          <w:noProof/>
          <w:spacing w:val="-3"/>
        </w:rPr>
        <w:t xml:space="preserve">El ajo es una hortaliza que se cultiva a lo largo de todo el país, concentrándose en orden de importancia en </w:t>
      </w:r>
      <w:smartTag w:uri="urn:schemas-microsoft-com:office:smarttags" w:element="PersonName">
        <w:smartTagPr>
          <w:attr w:name="ProductID" w:val="la V Región"/>
        </w:smartTagPr>
        <w:r w:rsidRPr="003A4B56">
          <w:rPr>
            <w:noProof/>
            <w:spacing w:val="-3"/>
          </w:rPr>
          <w:t>la V Región</w:t>
        </w:r>
      </w:smartTag>
      <w:r w:rsidRPr="003A4B56">
        <w:rPr>
          <w:noProof/>
          <w:spacing w:val="-3"/>
        </w:rPr>
        <w:t xml:space="preserve">, Area Metropolitana y VI Región. En la temporada 1996/97 el área dedicada a este cultivo abarcó </w:t>
      </w:r>
      <w:smartTag w:uri="urn:schemas-microsoft-com:office:smarttags" w:element="metricconverter">
        <w:smartTagPr>
          <w:attr w:name="ProductID" w:val="2.580 hectáreas"/>
        </w:smartTagPr>
        <w:r w:rsidRPr="003A4B56">
          <w:rPr>
            <w:noProof/>
            <w:spacing w:val="-3"/>
          </w:rPr>
          <w:t>2.580 hectáreas</w:t>
        </w:r>
      </w:smartTag>
      <w:r w:rsidRPr="003A4B56">
        <w:rPr>
          <w:noProof/>
          <w:spacing w:val="-3"/>
        </w:rPr>
        <w:t xml:space="preserve">, lo que revela una caída de casi 27% en relación a las </w:t>
      </w:r>
      <w:smartTag w:uri="urn:schemas-microsoft-com:office:smarttags" w:element="metricconverter">
        <w:smartTagPr>
          <w:attr w:name="ProductID" w:val="3.526 ha"/>
        </w:smartTagPr>
        <w:r w:rsidRPr="003A4B56">
          <w:rPr>
            <w:noProof/>
            <w:spacing w:val="-3"/>
          </w:rPr>
          <w:t>3.526 ha</w:t>
        </w:r>
      </w:smartTag>
      <w:r w:rsidRPr="003A4B56">
        <w:rPr>
          <w:noProof/>
          <w:spacing w:val="-3"/>
        </w:rPr>
        <w:t xml:space="preserve"> explotadas con esta especie en el período 1995/96.</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lastRenderedPageBreak/>
        <w:t xml:space="preserve">En este sentido, cabe señalar que la superficie de ajo ha fluctuado significativamente en el tiempo, variación que se ha movido entre </w:t>
      </w:r>
      <w:smartTag w:uri="urn:schemas-microsoft-com:office:smarttags" w:element="metricconverter">
        <w:smartTagPr>
          <w:attr w:name="ProductID" w:val="4.044 ha"/>
        </w:smartTagPr>
        <w:r w:rsidRPr="003A4B56">
          <w:rPr>
            <w:noProof/>
            <w:spacing w:val="-3"/>
          </w:rPr>
          <w:t>4.044 ha</w:t>
        </w:r>
      </w:smartTag>
      <w:r w:rsidRPr="003A4B56">
        <w:rPr>
          <w:noProof/>
          <w:spacing w:val="-3"/>
        </w:rPr>
        <w:t xml:space="preserve"> cultivadas en 1991/92 y las 2.373 establecidas el período inmediatamente anterior. En 2006/07 la superficie nacional de ajo fue de </w:t>
      </w:r>
      <w:smartTag w:uri="urn:schemas-microsoft-com:office:smarttags" w:element="metricconverter">
        <w:smartTagPr>
          <w:attr w:name="ProductID" w:val="1.223,5 ha"/>
        </w:smartTagPr>
        <w:r w:rsidRPr="003A4B56">
          <w:rPr>
            <w:noProof/>
            <w:spacing w:val="-3"/>
          </w:rPr>
          <w:t>1.223,5 ha</w:t>
        </w:r>
      </w:smartTag>
      <w:r w:rsidRPr="003A4B56">
        <w:rPr>
          <w:noProof/>
          <w:spacing w:val="-3"/>
        </w:rPr>
        <w:t>, lo que revela una drástica disminución respecto de las tamporadas anteriores.</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En </w:t>
      </w:r>
      <w:smartTag w:uri="urn:schemas-microsoft-com:office:smarttags" w:element="PersonName">
        <w:smartTagPr>
          <w:attr w:name="ProductID" w:val="la VI Región"/>
        </w:smartTagPr>
        <w:r w:rsidRPr="003A4B56">
          <w:rPr>
            <w:noProof/>
            <w:spacing w:val="-3"/>
          </w:rPr>
          <w:t>la VI Región</w:t>
        </w:r>
      </w:smartTag>
      <w:r w:rsidRPr="003A4B56">
        <w:rPr>
          <w:noProof/>
          <w:spacing w:val="-3"/>
        </w:rPr>
        <w:t xml:space="preserve">, durante 2006/07 se cultivó una superficie del orden de las </w:t>
      </w:r>
      <w:smartTag w:uri="urn:schemas-microsoft-com:office:smarttags" w:element="metricconverter">
        <w:smartTagPr>
          <w:attr w:name="ProductID" w:val="402,3 ha"/>
        </w:smartTagPr>
        <w:r w:rsidRPr="003A4B56">
          <w:rPr>
            <w:noProof/>
            <w:spacing w:val="-3"/>
          </w:rPr>
          <w:t>402,3 ha</w:t>
        </w:r>
      </w:smartTag>
      <w:r w:rsidRPr="003A4B56">
        <w:rPr>
          <w:noProof/>
          <w:spacing w:val="-3"/>
        </w:rPr>
        <w:t>, área 8,1% más elevada que la informada en el período 1996/97. Del total regional el 86,7% se encontraba en la provincia de Cachapoal y el 13,3% restante en Colchagua</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Es necesario tener presente que se trata de un cultivo de ciclo corto, los que se caracterizan por tener una respuesta casi inmediata del productor al comportamiento de los precios. </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El ajo se comercializa tanto en el mercado interno como en el exterior.  En el ámbito doméstico se utilizan los canales de comercialización tradicionales, constituidos por comerciantes intermediarios que compran en el predio para vender posteriormente en los mercados mayoristas de Santiago (Lo Valledor y Vega Mapocho). Los productores mayores realizan sus transacciones directamente en estos mercados vía consignación o venta directa, aunque también lo hacen a través de las centrales de acopio de los supermercados siempre que cumplan con los requisitos exigidos de calidad, higiene, entre otros.</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Entretanto, los envíos al exterior entre 1990 y 2011, si bien han mostrado una tendencia alcista, al interior del período se han constatato importantes fluctuaciones como se aprecia claramente en </w:t>
      </w:r>
      <w:smartTag w:uri="urn:schemas-microsoft-com:office:smarttags" w:element="PersonName">
        <w:smartTagPr>
          <w:attr w:name="ProductID" w:val="la ￼￼￼￼￼￼￼￼￼￼￼￼￼￼￼￼￼￼￼￼￼￼￼￼￼Figura"/>
        </w:smartTagPr>
        <w:r w:rsidRPr="003A4B56">
          <w:rPr>
            <w:noProof/>
            <w:spacing w:val="-3"/>
          </w:rPr>
          <w:t>la</w:t>
        </w:r>
        <w:r w:rsidR="00962D24" w:rsidRPr="003A4B56">
          <w:rPr>
            <w:noProof/>
            <w:spacing w:val="-3"/>
          </w:rPr>
          <w:t xml:space="preserve"> </w:t>
        </w:r>
        <w:r w:rsidR="00962D24" w:rsidRPr="003A4B56">
          <w:rPr>
            <w:noProof/>
            <w:spacing w:val="-3"/>
          </w:rPr>
          <w:fldChar w:fldCharType="begin"/>
        </w:r>
        <w:r w:rsidR="00962D24" w:rsidRPr="003A4B56">
          <w:rPr>
            <w:noProof/>
            <w:spacing w:val="-3"/>
          </w:rPr>
          <w:instrText xml:space="preserve"> REF _Ref336897663 \h </w:instrText>
        </w:r>
        <w:r w:rsidR="00ED0929" w:rsidRPr="003A4B56">
          <w:rPr>
            <w:noProof/>
            <w:spacing w:val="-3"/>
          </w:rPr>
        </w:r>
        <w:r w:rsidR="00962D24" w:rsidRPr="003A4B56">
          <w:rPr>
            <w:noProof/>
            <w:spacing w:val="-3"/>
          </w:rPr>
          <w:instrText xml:space="preserve"> \* MERGEFORMAT </w:instrText>
        </w:r>
        <w:r w:rsidR="00962D24" w:rsidRPr="003A4B56">
          <w:rPr>
            <w:noProof/>
            <w:spacing w:val="-3"/>
          </w:rPr>
          <w:fldChar w:fldCharType="separate"/>
        </w:r>
        <w:r w:rsidR="00264070" w:rsidRPr="00264070">
          <w:t>Figura</w:t>
        </w:r>
      </w:smartTag>
      <w:r w:rsidR="00264070" w:rsidRPr="00264070">
        <w:t xml:space="preserve"> </w:t>
      </w:r>
      <w:r w:rsidR="00264070" w:rsidRPr="00264070">
        <w:rPr>
          <w:noProof/>
        </w:rPr>
        <w:t>5.23</w:t>
      </w:r>
      <w:r w:rsidR="00962D24" w:rsidRPr="003A4B56">
        <w:rPr>
          <w:noProof/>
          <w:spacing w:val="-3"/>
        </w:rPr>
        <w:fldChar w:fldCharType="end"/>
      </w:r>
      <w:r w:rsidRPr="003A4B56">
        <w:rPr>
          <w:noProof/>
          <w:spacing w:val="-3"/>
        </w:rPr>
        <w:t xml:space="preserve">. Así, en 1999 se exportaron casi 12 mil toneladas y el monto más bajo se constató en 1990 con algo más de 3 mil toneladas. Las ventas al exterior durante el año 2011 totalizaron más de 10 mil toneladas, equivalentes a algo más de US$28 millones FOB. El destino de estos embarques en 2011 estuvo concentrado 58% por México, seguido a distancia por España, Holanda, Brasil y Estados Unidos, entre otros. </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Es interesante tener presente que tanto Brasil como Argentina forman parte del Mercosur, donde este producto quedó en lista de desgravación a seis años, por lo que su ingreso dejó de pagar arancel a partir de octubre de 2006. </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Asimismo, enta hortaliza dejó de pagar arancel en México, Canadá, Colombia, Venezuela y Ecuador. En Bolivia continuará gravando su entrada con un arancel de 10%. </w:t>
      </w:r>
    </w:p>
    <w:p w:rsidR="000A1474" w:rsidRDefault="000A1474" w:rsidP="00B51B51">
      <w:pPr>
        <w:widowControl w:val="0"/>
      </w:pPr>
    </w:p>
    <w:p w:rsidR="001C71B3" w:rsidRPr="003A4B56" w:rsidRDefault="001C71B3" w:rsidP="00B51B51">
      <w:pPr>
        <w:widowControl w:val="0"/>
      </w:pPr>
      <w:r w:rsidRPr="003A4B56">
        <w:t xml:space="preserve">En los acuerdos comerciales más recientes, el ajo a Estados Unidos dejó de pagar arancel de importación desde la entrada en vigencia del acuerdo, donde debía pagar un arancel de US$0,43 por kilo. Entretanto, en </w:t>
      </w:r>
      <w:smartTag w:uri="urn:schemas-microsoft-com:office:smarttags" w:element="PersonName">
        <w:smartTagPr>
          <w:attr w:name="ProductID" w:val="la Unión Europea"/>
        </w:smartTagPr>
        <w:r w:rsidRPr="003A4B56">
          <w:t>la Unión Europea</w:t>
        </w:r>
      </w:smartTag>
      <w:r w:rsidRPr="003A4B56">
        <w:t xml:space="preserve"> el arancel de internación se igualó a 0 el año 2007; antes del acuerdo las internaciones en ese bloque comercial debían pagar un arancel de 9,6% más 120 Euros por 100 kilos netos.</w:t>
      </w:r>
    </w:p>
    <w:p w:rsidR="001C71B3" w:rsidRPr="003A4B56" w:rsidRDefault="001C71B3" w:rsidP="00B51B51">
      <w:pPr>
        <w:widowControl w:val="0"/>
        <w:rPr>
          <w:noProof/>
        </w:rPr>
      </w:pPr>
    </w:p>
    <w:p w:rsidR="001C71B3" w:rsidRPr="003A4B56" w:rsidRDefault="001C71B3" w:rsidP="00B51B51">
      <w:pPr>
        <w:widowControl w:val="0"/>
      </w:pPr>
      <w:r w:rsidRPr="003A4B56">
        <w:t>A la luz de estos antecedentes, en la medida que la producción nacional sea estable, homogénea y cumpla con las exigencias de los mercados internacionales se puede pensar en un escenario favorable para las exportaciones, lo que permitiría mantener en buen nivel los precios en el mercado local.</w:t>
      </w:r>
    </w:p>
    <w:p w:rsidR="001C71B3" w:rsidRDefault="001C71B3" w:rsidP="00B51B51">
      <w:pPr>
        <w:widowControl w:val="0"/>
      </w:pPr>
    </w:p>
    <w:p w:rsidR="001C71B3" w:rsidRDefault="001C71B3" w:rsidP="00B51B51">
      <w:pPr>
        <w:widowControl w:val="0"/>
      </w:pPr>
    </w:p>
    <w:p w:rsidR="00E362F8" w:rsidRDefault="00E362F8" w:rsidP="00B51B51">
      <w:pPr>
        <w:widowControl w:val="0"/>
      </w:pPr>
    </w:p>
    <w:p w:rsidR="00E362F8" w:rsidRDefault="00E362F8" w:rsidP="00B51B51">
      <w:pPr>
        <w:widowControl w:val="0"/>
      </w:pPr>
    </w:p>
    <w:p w:rsidR="00E362F8" w:rsidRDefault="00E362F8" w:rsidP="00B51B51">
      <w:pPr>
        <w:widowControl w:val="0"/>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6" w:name="_Ref336586868"/>
      <w:bookmarkStart w:id="317" w:name="_Ref336897663"/>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23</w:t>
      </w:r>
      <w:r w:rsidR="00951FEC">
        <w:rPr>
          <w:b/>
        </w:rPr>
        <w:fldChar w:fldCharType="end"/>
      </w:r>
      <w:bookmarkEnd w:id="316"/>
      <w:bookmarkEnd w:id="317"/>
    </w:p>
    <w:p w:rsidR="000A1474" w:rsidRPr="003A4B56" w:rsidRDefault="00254CE2" w:rsidP="00B51B51">
      <w:pPr>
        <w:widowControl w:val="0"/>
        <w:tabs>
          <w:tab w:val="left" w:pos="-720"/>
          <w:tab w:val="left" w:pos="0"/>
          <w:tab w:val="left" w:pos="1440"/>
        </w:tabs>
        <w:ind w:right="290"/>
        <w:jc w:val="center"/>
        <w:rPr>
          <w:rFonts w:cs="Arial"/>
          <w:spacing w:val="-3"/>
        </w:rPr>
      </w:pPr>
      <w:r>
        <w:rPr>
          <w:noProof/>
          <w:lang w:val="es-CL" w:eastAsia="es-CL"/>
        </w:rPr>
        <w:drawing>
          <wp:inline distT="0" distB="0" distL="0" distR="0">
            <wp:extent cx="4561205" cy="2200910"/>
            <wp:effectExtent l="0" t="0" r="0" b="8890"/>
            <wp:docPr id="12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61205" cy="2200910"/>
                    </a:xfrm>
                    <a:prstGeom prst="rect">
                      <a:avLst/>
                    </a:prstGeom>
                    <a:noFill/>
                    <a:ln>
                      <a:noFill/>
                    </a:ln>
                  </pic:spPr>
                </pic:pic>
              </a:graphicData>
            </a:graphic>
          </wp:inline>
        </w:drawing>
      </w:r>
    </w:p>
    <w:p w:rsidR="000A1474" w:rsidRPr="003A4B56" w:rsidRDefault="000A1474" w:rsidP="00B51B51">
      <w:pPr>
        <w:widowControl w:val="0"/>
        <w:tabs>
          <w:tab w:val="left" w:pos="851"/>
          <w:tab w:val="left" w:pos="1440"/>
          <w:tab w:val="left" w:pos="8789"/>
          <w:tab w:val="left" w:pos="9072"/>
          <w:tab w:val="left" w:pos="9360"/>
        </w:tabs>
        <w:ind w:right="49"/>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pPr>
    </w:p>
    <w:p w:rsidR="000A1474" w:rsidRPr="003A4B56" w:rsidRDefault="00A24E25" w:rsidP="00B51B51">
      <w:pPr>
        <w:widowControl w:val="0"/>
      </w:pPr>
      <w:r w:rsidRPr="003A4B56">
        <w:t>-</w:t>
      </w:r>
      <w:r w:rsidRPr="003A4B56">
        <w:tab/>
      </w:r>
      <w:r w:rsidR="000A1474" w:rsidRPr="003A4B56">
        <w:t>Arveja Verde</w:t>
      </w:r>
    </w:p>
    <w:p w:rsidR="000A1474" w:rsidRPr="003A4B56" w:rsidRDefault="000A1474" w:rsidP="00B51B51">
      <w:pPr>
        <w:widowControl w:val="0"/>
      </w:pPr>
    </w:p>
    <w:p w:rsidR="000A1474" w:rsidRPr="003A4B56" w:rsidRDefault="000A1474" w:rsidP="00B51B51">
      <w:pPr>
        <w:widowControl w:val="0"/>
      </w:pPr>
      <w:r w:rsidRPr="003A4B56">
        <w:t xml:space="preserve">En el transcurso de la última década, la superficie dedicada al cultivo de arveja verde ha mostrado fuertes fluctuaciones, destacándose el área más baja en 2006/07 con </w:t>
      </w:r>
      <w:smartTag w:uri="urn:schemas-microsoft-com:office:smarttags" w:element="metricconverter">
        <w:smartTagPr>
          <w:attr w:name="ProductID" w:val="2.872,6 hectáreas"/>
        </w:smartTagPr>
        <w:r w:rsidRPr="003A4B56">
          <w:t>2.872,6 hectáreas</w:t>
        </w:r>
      </w:smartTag>
      <w:r w:rsidRPr="003A4B56">
        <w:t xml:space="preserve"> (INE) y la mayor en el período 1992/93 con </w:t>
      </w:r>
      <w:smartTag w:uri="urn:schemas-microsoft-com:office:smarttags" w:element="metricconverter">
        <w:smartTagPr>
          <w:attr w:name="ProductID" w:val="7.268 hectáreas"/>
        </w:smartTagPr>
        <w:r w:rsidRPr="003A4B56">
          <w:t>7.268 hectáreas</w:t>
        </w:r>
      </w:smartTag>
      <w:r w:rsidRPr="003A4B56">
        <w:t xml:space="preserve"> (ODEPA). Esta especie se cultiva en todo el país, excepto en </w:t>
      </w:r>
      <w:smartTag w:uri="urn:schemas-microsoft-com:office:smarttags" w:element="PersonName">
        <w:smartTagPr>
          <w:attr w:name="ProductID" w:val="la II Región"/>
        </w:smartTagPr>
        <w:r w:rsidRPr="003A4B56">
          <w:t>la II Región</w:t>
        </w:r>
      </w:smartTag>
      <w:r w:rsidRPr="003A4B56">
        <w:t xml:space="preserve">, pero se concentra en casi 80% entre </w:t>
      </w:r>
      <w:smartTag w:uri="urn:schemas-microsoft-com:office:smarttags" w:element="PersonName">
        <w:smartTagPr>
          <w:attr w:name="ProductID" w:val="la V"/>
        </w:smartTagPr>
        <w:r w:rsidRPr="003A4B56">
          <w:t>la V</w:t>
        </w:r>
      </w:smartTag>
      <w:r w:rsidRPr="003A4B56">
        <w:t xml:space="preserve"> y VIII Región.</w:t>
      </w:r>
    </w:p>
    <w:p w:rsidR="000A1474" w:rsidRPr="003A4B56" w:rsidRDefault="000A1474" w:rsidP="00B51B51">
      <w:pPr>
        <w:widowControl w:val="0"/>
      </w:pPr>
    </w:p>
    <w:p w:rsidR="000A1474" w:rsidRPr="003A4B56" w:rsidRDefault="000A1474" w:rsidP="00B51B51">
      <w:pPr>
        <w:widowControl w:val="0"/>
      </w:pPr>
      <w:r w:rsidRPr="003A4B56">
        <w:t xml:space="preserve">De acuerdo al VII Censo Nacional Agropecuario realizado por INE, en 2006/07 se cultivó con esta hortaliza una superficie total del orden de </w:t>
      </w:r>
      <w:smartTag w:uri="urn:schemas-microsoft-com:office:smarttags" w:element="metricconverter">
        <w:smartTagPr>
          <w:attr w:name="ProductID" w:val="2.873 ha"/>
        </w:smartTagPr>
        <w:r w:rsidRPr="003A4B56">
          <w:t>2.873 ha</w:t>
        </w:r>
      </w:smartTag>
      <w:r w:rsidRPr="003A4B56">
        <w:t xml:space="preserve"> y de ellas aproximadamente </w:t>
      </w:r>
      <w:smartTag w:uri="urn:schemas-microsoft-com:office:smarttags" w:element="metricconverter">
        <w:smartTagPr>
          <w:attr w:name="ProductID" w:val="265,8 hectáreas"/>
        </w:smartTagPr>
        <w:r w:rsidRPr="003A4B56">
          <w:t>265,8 hectáreas</w:t>
        </w:r>
      </w:smartTag>
      <w:r w:rsidRPr="003A4B56">
        <w:t xml:space="preserve"> corresponden a </w:t>
      </w:r>
      <w:smartTag w:uri="urn:schemas-microsoft-com:office:smarttags" w:element="PersonName">
        <w:smartTagPr>
          <w:attr w:name="ProductID" w:val="la VI Región"/>
        </w:smartTagPr>
        <w:r w:rsidRPr="003A4B56">
          <w:t>la VI Región</w:t>
        </w:r>
      </w:smartTag>
      <w:r w:rsidRPr="003A4B56">
        <w:t>, las que se distribuyen en 62,8% en la provincia de Cardenal Caro; 24,4% en Colchagua y el 12,8% restante en la correspondiente a Cachapoal.</w:t>
      </w:r>
    </w:p>
    <w:p w:rsidR="000A1474" w:rsidRPr="003A4B56" w:rsidRDefault="000A1474" w:rsidP="00B51B51">
      <w:pPr>
        <w:widowControl w:val="0"/>
      </w:pPr>
    </w:p>
    <w:p w:rsidR="000A1474" w:rsidRPr="003A4B56" w:rsidRDefault="000A1474" w:rsidP="00B51B51">
      <w:pPr>
        <w:widowControl w:val="0"/>
      </w:pPr>
      <w:r w:rsidRPr="003A4B56">
        <w:t>La arveja ha sido tradicionalmente un producto hortícola destinado al consumo fresco en el mercado interno y a la agroindustria de conservas. Sólo en la última década se ha abierto un poder comprador para la agroindustria</w:t>
      </w:r>
      <w:r w:rsidRPr="003A4B56">
        <w:rPr>
          <w:spacing w:val="-3"/>
        </w:rPr>
        <w:t xml:space="preserve"> del congelado.</w:t>
      </w:r>
    </w:p>
    <w:p w:rsidR="000A1474" w:rsidRPr="003A4B56" w:rsidRDefault="000A1474" w:rsidP="00B51B51">
      <w:pPr>
        <w:widowControl w:val="0"/>
      </w:pPr>
    </w:p>
    <w:p w:rsidR="000A1474" w:rsidRDefault="000A1474" w:rsidP="00B51B51">
      <w:pPr>
        <w:widowControl w:val="0"/>
      </w:pPr>
      <w:r w:rsidRPr="003A4B56">
        <w:t xml:space="preserve">En efecto, de la superficie total de cultivo, alrededor de </w:t>
      </w:r>
      <w:smartTag w:uri="urn:schemas-microsoft-com:office:smarttags" w:element="metricconverter">
        <w:smartTagPr>
          <w:attr w:name="ProductID" w:val="1.000 a"/>
        </w:smartTagPr>
        <w:r w:rsidRPr="003A4B56">
          <w:t>1.000 a</w:t>
        </w:r>
      </w:smartTag>
      <w:r w:rsidRPr="003A4B56">
        <w:t xml:space="preserve"> </w:t>
      </w:r>
      <w:smartTag w:uri="urn:schemas-microsoft-com:office:smarttags" w:element="metricconverter">
        <w:smartTagPr>
          <w:attr w:name="ProductID" w:val="1.200 hectáreas"/>
        </w:smartTagPr>
        <w:r w:rsidRPr="003A4B56">
          <w:t>1.200 hectáreas</w:t>
        </w:r>
      </w:smartTag>
      <w:r w:rsidRPr="003A4B56">
        <w:t xml:space="preserve"> se destinan a la producción de congelados, actividad que con los años se ha tornado cada vez más importante, la que no sólo se limita al abastecimiento del mercado interno, sino que se vislumbra como una alternativa real de exportación. </w:t>
      </w:r>
    </w:p>
    <w:p w:rsidR="00E362F8" w:rsidRPr="003A4B56" w:rsidRDefault="00E362F8" w:rsidP="00B51B51">
      <w:pPr>
        <w:widowControl w:val="0"/>
      </w:pPr>
    </w:p>
    <w:p w:rsidR="000A1474" w:rsidRPr="003A4B56" w:rsidRDefault="000A1474" w:rsidP="00B51B51">
      <w:pPr>
        <w:widowControl w:val="0"/>
      </w:pPr>
      <w:r w:rsidRPr="003A4B56">
        <w:t>Si bien los envíos al exterior de arvejas congeladas han mostrado fluctuaciones, la tendencia general es de un alza, lo que se aprecia con mayor claridad desde el año 2001 en adelante (</w:t>
      </w:r>
      <w:r w:rsidRPr="003A4B56">
        <w:fldChar w:fldCharType="begin"/>
      </w:r>
      <w:r w:rsidRPr="003A4B56">
        <w:instrText xml:space="preserve"> REF _Ref336586990 \h </w:instrText>
      </w:r>
      <w:r w:rsidRPr="003A4B56">
        <w:instrText xml:space="preserve"> \* MERGEFORMAT </w:instrText>
      </w:r>
      <w:r w:rsidRPr="003A4B56">
        <w:fldChar w:fldCharType="separate"/>
      </w:r>
      <w:r w:rsidR="00264070" w:rsidRPr="00264070">
        <w:t xml:space="preserve">Figura </w:t>
      </w:r>
      <w:r w:rsidR="00264070" w:rsidRPr="00264070">
        <w:rPr>
          <w:noProof/>
        </w:rPr>
        <w:t>5.24</w:t>
      </w:r>
      <w:r w:rsidRPr="003A4B56">
        <w:fldChar w:fldCharType="end"/>
      </w:r>
      <w:r w:rsidRPr="003A4B56">
        <w:t xml:space="preserve">). No obstante, en 2009 las exportaciones descendieron significativamente, comportamiento que revirtió en los años 2010 y 2011. </w:t>
      </w:r>
    </w:p>
    <w:p w:rsidR="000A1474" w:rsidRPr="003A4B56" w:rsidRDefault="000A1474" w:rsidP="00B51B51">
      <w:pPr>
        <w:widowControl w:val="0"/>
      </w:pPr>
    </w:p>
    <w:p w:rsidR="000A1474" w:rsidRPr="003A4B56" w:rsidRDefault="000A1474" w:rsidP="00B51B51">
      <w:pPr>
        <w:widowControl w:val="0"/>
      </w:pPr>
      <w:r w:rsidRPr="003A4B56">
        <w:t>Así, en 2011 las ventas al exterior de este producto sumaron 2.127 toneladas, por un valor que superó los US$2,9 millones FOB. El destino de estos embarques estuvo constituido principalmente por Venezuela, Colombia, Ecuador y Perú, entre otros.</w:t>
      </w:r>
    </w:p>
    <w:p w:rsidR="000A1474" w:rsidRDefault="000A1474" w:rsidP="00B51B51">
      <w:pPr>
        <w:widowControl w:val="0"/>
        <w:rPr>
          <w:b/>
          <w:bCs/>
          <w:noProof/>
          <w:spacing w:val="-3"/>
        </w:rPr>
      </w:pPr>
    </w:p>
    <w:p w:rsidR="001C71B3" w:rsidRDefault="001C71B3" w:rsidP="00B51B51">
      <w:pPr>
        <w:widowControl w:val="0"/>
        <w:rPr>
          <w:b/>
          <w:bCs/>
          <w:noProof/>
          <w:spacing w:val="-3"/>
        </w:rPr>
      </w:pPr>
    </w:p>
    <w:p w:rsidR="001C71B3" w:rsidRDefault="001C71B3" w:rsidP="00B51B51">
      <w:pPr>
        <w:widowControl w:val="0"/>
        <w:rPr>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8" w:name="_Ref336586990"/>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24</w:t>
      </w:r>
      <w:r w:rsidR="00951FEC">
        <w:rPr>
          <w:b/>
        </w:rPr>
        <w:fldChar w:fldCharType="end"/>
      </w:r>
      <w:bookmarkEnd w:id="318"/>
    </w:p>
    <w:p w:rsidR="000A1474" w:rsidRPr="003A4B56" w:rsidRDefault="00254CE2" w:rsidP="00B51B51">
      <w:pPr>
        <w:widowControl w:val="0"/>
        <w:tabs>
          <w:tab w:val="left" w:pos="426"/>
          <w:tab w:val="left" w:pos="1418"/>
        </w:tabs>
        <w:ind w:right="49"/>
        <w:jc w:val="center"/>
        <w:rPr>
          <w:rFonts w:cs="Arial"/>
          <w:szCs w:val="22"/>
        </w:rPr>
      </w:pPr>
      <w:r>
        <w:rPr>
          <w:noProof/>
          <w:lang w:val="es-CL" w:eastAsia="es-CL"/>
        </w:rPr>
        <w:drawing>
          <wp:inline distT="0" distB="0" distL="0" distR="0">
            <wp:extent cx="4412615" cy="2243455"/>
            <wp:effectExtent l="0" t="0" r="6985" b="4445"/>
            <wp:docPr id="13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12615" cy="2243455"/>
                    </a:xfrm>
                    <a:prstGeom prst="rect">
                      <a:avLst/>
                    </a:prstGeom>
                    <a:noFill/>
                    <a:ln>
                      <a:noFill/>
                    </a:ln>
                  </pic:spPr>
                </pic:pic>
              </a:graphicData>
            </a:graphic>
          </wp:inline>
        </w:drawing>
      </w:r>
    </w:p>
    <w:p w:rsidR="000A1474" w:rsidRPr="003A4B56" w:rsidRDefault="000A1474" w:rsidP="00B51B51">
      <w:pPr>
        <w:widowControl w:val="0"/>
        <w:tabs>
          <w:tab w:val="left" w:pos="426"/>
          <w:tab w:val="left" w:pos="1418"/>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pPr>
    </w:p>
    <w:p w:rsidR="000A1474" w:rsidRPr="003A4B56" w:rsidRDefault="000A1474" w:rsidP="00B51B51">
      <w:pPr>
        <w:widowControl w:val="0"/>
      </w:pPr>
      <w:r w:rsidRPr="003A4B56">
        <w:t xml:space="preserve">En este ámbito, cabe señalar que con motivo de la firma de distintos acuerdos comerciales, actualmente, las arvejas congeladas no pagan arancel de internación en Venezuela, Colombia, México, Perú y los países que conforman el MERCOSUR. </w:t>
      </w:r>
    </w:p>
    <w:p w:rsidR="000A1474" w:rsidRPr="003A4B56" w:rsidRDefault="000A1474" w:rsidP="00B51B51">
      <w:pPr>
        <w:widowControl w:val="0"/>
      </w:pPr>
    </w:p>
    <w:p w:rsidR="000A1474" w:rsidRPr="003A4B56" w:rsidRDefault="000A1474" w:rsidP="00B51B51">
      <w:pPr>
        <w:widowControl w:val="0"/>
        <w:rPr>
          <w:noProof/>
        </w:rPr>
      </w:pPr>
      <w:r w:rsidRPr="003A4B56">
        <w:rPr>
          <w:noProof/>
        </w:rPr>
        <w:t xml:space="preserve">En los acuerdos comerciales más recientes suscritos por Chile, este producto quedó liberado de pagar aranceles de internación en Estados Unidos, en tanto que en </w:t>
      </w:r>
      <w:smartTag w:uri="urn:schemas-microsoft-com:office:smarttags" w:element="PersonName">
        <w:smartTagPr>
          <w:attr w:name="ProductID" w:val="la Unión Europea"/>
        </w:smartTagPr>
        <w:r w:rsidRPr="003A4B56">
          <w:rPr>
            <w:noProof/>
          </w:rPr>
          <w:t>la Unión Europea</w:t>
        </w:r>
      </w:smartTag>
      <w:r w:rsidRPr="003A4B56">
        <w:rPr>
          <w:noProof/>
        </w:rPr>
        <w:t xml:space="preserve"> y Corea lo hizo al séptimo año de vigencia del acuerdo, es decir, en 2010 y 2011, respectivamente. En China este impuesto se igualó a cero al año 2, el arancel inicial era de 13%.</w:t>
      </w:r>
    </w:p>
    <w:p w:rsidR="000A1474" w:rsidRPr="003A4B56" w:rsidRDefault="000A1474" w:rsidP="00B51B51">
      <w:pPr>
        <w:widowControl w:val="0"/>
      </w:pPr>
    </w:p>
    <w:p w:rsidR="000A1474" w:rsidRPr="003A4B56" w:rsidRDefault="000A1474" w:rsidP="00B51B51">
      <w:pPr>
        <w:widowControl w:val="0"/>
        <w:rPr>
          <w:noProof/>
        </w:rPr>
      </w:pPr>
      <w:r w:rsidRPr="003A4B56">
        <w:rPr>
          <w:noProof/>
        </w:rPr>
        <w:t>Todo lo anterior debiera favorecer las exportaciones de arveja congelada hacia esos nicho comerciales, situación que mantiene optimistas a las agroindustrias, ya que planean aumentar la superfice de contrato en los próximos años.</w:t>
      </w:r>
    </w:p>
    <w:p w:rsidR="000A1474" w:rsidRPr="003A4B56" w:rsidRDefault="000A1474" w:rsidP="00B51B51">
      <w:pPr>
        <w:widowControl w:val="0"/>
      </w:pPr>
    </w:p>
    <w:p w:rsidR="000A1474" w:rsidRPr="003A4B56" w:rsidRDefault="000A1474" w:rsidP="00B51B51">
      <w:pPr>
        <w:widowControl w:val="0"/>
      </w:pPr>
      <w:r w:rsidRPr="003A4B56">
        <w:rPr>
          <w:noProof/>
        </w:rPr>
        <w:t xml:space="preserve">De esta forma, el esfuerzo </w:t>
      </w:r>
      <w:r w:rsidRPr="003A4B56">
        <w:t>de investigación ha estado centrado en el estudio de diferentes variedades, con el objetivo de obtener un producto con un grado de madurez acorde con las exigencias de los consumidores y que se adapten a los procesos de comercialización, tanto en el mercado local como en el internacional.</w:t>
      </w:r>
    </w:p>
    <w:p w:rsidR="000A1474" w:rsidRPr="003A4B56" w:rsidRDefault="000A1474" w:rsidP="00B51B51">
      <w:pPr>
        <w:widowControl w:val="0"/>
      </w:pPr>
    </w:p>
    <w:p w:rsidR="000A1474" w:rsidRPr="003A4B56" w:rsidRDefault="000A1474" w:rsidP="00B51B51">
      <w:pPr>
        <w:widowControl w:val="0"/>
      </w:pPr>
      <w:r w:rsidRPr="003A4B56">
        <w:t>En el ámbito nacional, estimaciones del consumo de congelados indican que éste es el segundo producto más demandado en Chile, después del maíz, superando al poroto verde y a las mezclas de hortalizas.</w:t>
      </w:r>
    </w:p>
    <w:p w:rsidR="000A1474" w:rsidRPr="003A4B56" w:rsidRDefault="000A1474" w:rsidP="00B51B51">
      <w:pPr>
        <w:widowControl w:val="0"/>
      </w:pPr>
    </w:p>
    <w:p w:rsidR="000A1474" w:rsidRPr="003A4B56" w:rsidRDefault="000A1474" w:rsidP="00B51B51">
      <w:pPr>
        <w:widowControl w:val="0"/>
      </w:pPr>
      <w:r w:rsidRPr="003A4B56">
        <w:t>Los precios de la arveja verde para consumo fresco presentan variaciones anuales y estacionales. Durante el año, los valores más altos se registran entre los meses de enero y julio, en tanto que los menores tienen lugar en octubre y noviembre cuando ocurre el grueso de la cosecha. Cabe destacar que dicha estacionalidad se ha ido neutralizando al avanzar el tiempo, lo que estaría asociado a una mayor disponibilidad del producto congelado en los meses invernales.</w:t>
      </w:r>
    </w:p>
    <w:p w:rsidR="000A1474" w:rsidRPr="003A4B56" w:rsidRDefault="000A1474" w:rsidP="00B51B51">
      <w:pPr>
        <w:widowControl w:val="0"/>
      </w:pPr>
    </w:p>
    <w:p w:rsidR="000A1474" w:rsidRPr="003A4B56" w:rsidRDefault="000A1474" w:rsidP="00B51B51">
      <w:pPr>
        <w:widowControl w:val="0"/>
      </w:pPr>
      <w:r w:rsidRPr="003A4B56">
        <w:t>Una forma de agregar valor al producto fresco y, por consiguiente, lograr un mayor precio sería la venta de la hortaliza desgranada en bolsas de polietileno, para lo cual es necesario disponer de una instalación con condiciones higiénicas adecuadas y un equipo mecánico, que también se puede utilizar en el desgrane de porotos y habas.</w:t>
      </w:r>
    </w:p>
    <w:p w:rsidR="000A1474" w:rsidRPr="003A4B56" w:rsidRDefault="00A24E25" w:rsidP="00B51B51">
      <w:pPr>
        <w:widowControl w:val="0"/>
        <w:rPr>
          <w:noProof/>
        </w:rPr>
      </w:pPr>
      <w:r w:rsidRPr="003A4B56">
        <w:lastRenderedPageBreak/>
        <w:t>-</w:t>
      </w:r>
      <w:r w:rsidRPr="003A4B56">
        <w:tab/>
      </w:r>
      <w:r w:rsidR="000A1474" w:rsidRPr="003A4B56">
        <w:t>Cebolla</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La cebolla es una de las principales hortalizas que se cultiva en el país, cuya superficie en las últimas temporadas disminuyó drásticamente, puesto que entre los períodos 1993/94 y 1995/96, el área anual superó las 10 mil ha, en tanto que en 1996/97 experimentó una caída de casi 50%, totalizando </w:t>
      </w:r>
      <w:smartTag w:uri="urn:schemas-microsoft-com:office:smarttags" w:element="metricconverter">
        <w:smartTagPr>
          <w:attr w:name="ProductID" w:val="5.391 ha"/>
        </w:smartTagPr>
        <w:r w:rsidRPr="003A4B56">
          <w:rPr>
            <w:noProof/>
          </w:rPr>
          <w:t>5.391 ha</w:t>
        </w:r>
      </w:smartTag>
      <w:r w:rsidRPr="003A4B56">
        <w:rPr>
          <w:noProof/>
        </w:rPr>
        <w:t xml:space="preserve">, área que según cifras del VII Censo realizado por INE, en el período 2006/07 se habría ubicado por sobre las </w:t>
      </w:r>
      <w:smartTag w:uri="urn:schemas-microsoft-com:office:smarttags" w:element="metricconverter">
        <w:smartTagPr>
          <w:attr w:name="ProductID" w:val="6.152 ha"/>
        </w:smartTagPr>
        <w:r w:rsidRPr="003A4B56">
          <w:rPr>
            <w:noProof/>
          </w:rPr>
          <w:t>6.152 ha</w:t>
        </w:r>
      </w:smartTag>
      <w:r w:rsidRPr="003A4B56">
        <w:rPr>
          <w:noProof/>
        </w:rPr>
        <w:t>, lo que revela una expansión de 14,1% en relación a la superficie cultivada en 1996/97. De éstas el 32,9% correspondió a cebolla temprana y el 67,1% restante a cebolla de guarda. La información de superficie de temporadas anteriores al año 1996, corresponde a ODEPA.</w:t>
      </w:r>
    </w:p>
    <w:p w:rsidR="000A1474" w:rsidRPr="003A4B56" w:rsidRDefault="000A1474" w:rsidP="00B51B51">
      <w:pPr>
        <w:widowControl w:val="0"/>
        <w:rPr>
          <w:noProof/>
        </w:rPr>
      </w:pPr>
    </w:p>
    <w:p w:rsidR="000A1474" w:rsidRPr="003A4B56" w:rsidRDefault="000A1474" w:rsidP="00B51B51">
      <w:pPr>
        <w:widowControl w:val="0"/>
        <w:rPr>
          <w:noProof/>
        </w:rPr>
      </w:pPr>
      <w:smartTag w:uri="urn:schemas-microsoft-com:office:smarttags" w:element="PersonName">
        <w:smartTagPr>
          <w:attr w:name="ProductID" w:val="la Región"/>
        </w:smartTagPr>
        <w:r w:rsidRPr="003A4B56">
          <w:rPr>
            <w:noProof/>
          </w:rPr>
          <w:t>La Región</w:t>
        </w:r>
      </w:smartTag>
      <w:r w:rsidRPr="003A4B56">
        <w:rPr>
          <w:noProof/>
        </w:rPr>
        <w:t xml:space="preserve"> del Libertador Bernardo O´Higgins en la temporada 2006/07 registró una superficie de cultivo del orden de </w:t>
      </w:r>
      <w:smartTag w:uri="urn:schemas-microsoft-com:office:smarttags" w:element="metricconverter">
        <w:smartTagPr>
          <w:attr w:name="ProductID" w:val="1.865,5 ha"/>
        </w:smartTagPr>
        <w:r w:rsidRPr="003A4B56">
          <w:rPr>
            <w:noProof/>
          </w:rPr>
          <w:t>1.865,5 ha</w:t>
        </w:r>
      </w:smartTag>
      <w:r w:rsidRPr="003A4B56">
        <w:rPr>
          <w:noProof/>
        </w:rPr>
        <w:t xml:space="preserve">, las que se distribuyeron en 63,5% en la provincia de Cachapoal; 36,3% en Colcahagua y el 0,2% restante en la correspondiente a Cardenal Caro.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Esta hortaliza si bien se cultiva entre </w:t>
      </w:r>
      <w:smartTag w:uri="urn:schemas-microsoft-com:office:smarttags" w:element="PersonName">
        <w:smartTagPr>
          <w:attr w:name="ProductID" w:val="la XV"/>
        </w:smartTagPr>
        <w:r w:rsidRPr="003A4B56">
          <w:rPr>
            <w:noProof/>
          </w:rPr>
          <w:t>la XV</w:t>
        </w:r>
      </w:smartTag>
      <w:r w:rsidRPr="003A4B56">
        <w:rPr>
          <w:noProof/>
        </w:rPr>
        <w:t xml:space="preserve"> y IX Región, se concentra en más de 75% entre </w:t>
      </w:r>
      <w:smartTag w:uri="urn:schemas-microsoft-com:office:smarttags" w:element="PersonName">
        <w:smartTagPr>
          <w:attr w:name="ProductID" w:val="la V"/>
        </w:smartTagPr>
        <w:r w:rsidRPr="003A4B56">
          <w:rPr>
            <w:noProof/>
          </w:rPr>
          <w:t>la V</w:t>
        </w:r>
      </w:smartTag>
      <w:r w:rsidRPr="003A4B56">
        <w:rPr>
          <w:noProof/>
        </w:rPr>
        <w:t xml:space="preserve"> y VI Región, incluída el Area Metropolitana.</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En términos generales, es preciso indicar que el destino de la producción es mayoritariamente el mercado interno, aunque también una parte se exporta y el resto se destina a la agroindustria.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Como se aprecia en </w:t>
      </w:r>
      <w:smartTag w:uri="urn:schemas-microsoft-com:office:smarttags" w:element="PersonName">
        <w:smartTagPr>
          <w:attr w:name="ProductID" w:val="la ￼￼￼￼￼￼￼￼￼￼￼￼￼￼￼￼￼￼￼￼￼￼￼￼￼Figura"/>
        </w:smartTagPr>
        <w:r w:rsidRPr="003A4B56">
          <w:rPr>
            <w:noProof/>
          </w:rPr>
          <w:t xml:space="preserve">la </w:t>
        </w:r>
        <w:r w:rsidRPr="003A4B56">
          <w:rPr>
            <w:noProof/>
          </w:rPr>
          <w:fldChar w:fldCharType="begin"/>
        </w:r>
        <w:r w:rsidRPr="003A4B56">
          <w:rPr>
            <w:noProof/>
          </w:rPr>
          <w:instrText xml:space="preserve"> REF _Ref336587383 \h </w:instrText>
        </w:r>
        <w:r w:rsidRPr="003A4B56">
          <w:rPr>
            <w:noProof/>
          </w:rPr>
        </w:r>
        <w:r w:rsidRPr="003A4B56">
          <w:rPr>
            <w:noProof/>
          </w:rPr>
          <w:instrText xml:space="preserve"> \* MERGEFORMAT </w:instrText>
        </w:r>
        <w:r w:rsidRPr="003A4B56">
          <w:rPr>
            <w:noProof/>
          </w:rPr>
          <w:fldChar w:fldCharType="separate"/>
        </w:r>
        <w:r w:rsidR="00264070" w:rsidRPr="00264070">
          <w:t>Figura</w:t>
        </w:r>
      </w:smartTag>
      <w:r w:rsidR="00264070" w:rsidRPr="00264070">
        <w:t xml:space="preserve"> </w:t>
      </w:r>
      <w:r w:rsidR="00264070" w:rsidRPr="00264070">
        <w:rPr>
          <w:noProof/>
        </w:rPr>
        <w:t>5.25</w:t>
      </w:r>
      <w:r w:rsidRPr="003A4B56">
        <w:rPr>
          <w:noProof/>
        </w:rPr>
        <w:fldChar w:fldCharType="end"/>
      </w:r>
      <w:r w:rsidRPr="003A4B56">
        <w:rPr>
          <w:noProof/>
        </w:rPr>
        <w:t xml:space="preserve"> las exportaciones de cebollas frescas o refrigeradas han sido bastante fluctuantes a través del tiempo, moviéndose entre 19 mil toneladas en 1993 y 90 mil toneladas en 2008. Si bien a partir del año 2002 se ha constatado un creciente incremento, la tendencia general en el período de análisis es de un leve aumento, como consecuencia de los importantes envíos materializados en los años 1991, 1995, 2004, 2007,  2008, 2010 y 2011.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Durante el año 2011 los envíos chilenos tuvieron como principal destino a Reino Unido, Estados Unidos,  Holanda y España, los que en conjunto adquirieron el 67% de los embarques. Otras plazas de colocación fueron Irlanda, Colombia, Brasil, Alemania, Bélgica, Alemania y Argentina, entre otras. </w:t>
      </w:r>
    </w:p>
    <w:p w:rsidR="000A1474" w:rsidRPr="003A4B56" w:rsidRDefault="000A1474" w:rsidP="00B51B51">
      <w:pPr>
        <w:widowControl w:val="0"/>
        <w:rPr>
          <w:noProof/>
        </w:rPr>
      </w:pPr>
    </w:p>
    <w:p w:rsidR="000A1474" w:rsidRPr="003A4B56" w:rsidRDefault="000A1474" w:rsidP="00B51B51">
      <w:pPr>
        <w:widowControl w:val="0"/>
        <w:rPr>
          <w:noProof/>
        </w:rPr>
      </w:pPr>
      <w:r w:rsidRPr="003A4B56">
        <w:rPr>
          <w:noProof/>
        </w:rPr>
        <w:t xml:space="preserve">En este contexto, es interesante tener presente que la firma del acuerdo comercial con </w:t>
      </w:r>
      <w:smartTag w:uri="urn:schemas-microsoft-com:office:smarttags" w:element="PersonName">
        <w:smartTagPr>
          <w:attr w:name="ProductID" w:val="la Unión Europea"/>
        </w:smartTagPr>
        <w:r w:rsidRPr="003A4B56">
          <w:rPr>
            <w:noProof/>
          </w:rPr>
          <w:t>la Unión Europea</w:t>
        </w:r>
      </w:smartTag>
      <w:r w:rsidRPr="003A4B56">
        <w:rPr>
          <w:noProof/>
        </w:rPr>
        <w:t xml:space="preserve"> y Estados Unidos sería beneficioso para este producto, ya que las exportaciones de cebollas chilenas ingresan con arancel 0 desde la entrada en vigencia de cada uno, es decir, en Febrero de 2003 y Enero de 2004, respectivamente. En otros países con que Chile ha suscrito acuerdos comerciales el arancel de internación es cero en Colombia, Venezuela, Ecuador y Bolivia, en tanto que en Perú y China este tributo se igualó a cero en el año 2008 y 2009, respectivamente. </w:t>
      </w:r>
    </w:p>
    <w:p w:rsidR="000A1474" w:rsidRDefault="000A1474" w:rsidP="00B51B51">
      <w:pPr>
        <w:widowControl w:val="0"/>
        <w:rPr>
          <w:noProof/>
        </w:rPr>
      </w:pPr>
    </w:p>
    <w:p w:rsidR="00B36772" w:rsidRPr="003A4B56" w:rsidRDefault="00B36772" w:rsidP="00B51B51">
      <w:pPr>
        <w:widowControl w:val="0"/>
        <w:rPr>
          <w:noProof/>
          <w:spacing w:val="-3"/>
        </w:rPr>
      </w:pPr>
      <w:r w:rsidRPr="003A4B56">
        <w:rPr>
          <w:noProof/>
          <w:spacing w:val="-3"/>
        </w:rPr>
        <w:t xml:space="preserve">La situación en el MERCOSUR, inicialmente fue menos ventajosa, ya que en el marco del acuerdo con los países integrantes de ese bloque, las exportaciones continuaron pagando un arancel de 10% hasta el año 2006, posteriormente según el calendario de preferencias arancelarias éste disminuyó en 20% anual, para quedar igualado a 0 en el año 2011. </w:t>
      </w:r>
    </w:p>
    <w:p w:rsidR="001C71B3" w:rsidRDefault="001C71B3" w:rsidP="00B51B51">
      <w:pPr>
        <w:widowControl w:val="0"/>
        <w:rPr>
          <w:noProof/>
        </w:rPr>
      </w:pPr>
    </w:p>
    <w:p w:rsidR="001C71B3" w:rsidRDefault="001C71B3" w:rsidP="00B51B51">
      <w:pPr>
        <w:widowControl w:val="0"/>
        <w:rPr>
          <w:noProof/>
        </w:rPr>
      </w:pPr>
    </w:p>
    <w:p w:rsidR="001C71B3" w:rsidRDefault="001C71B3" w:rsidP="00B51B51">
      <w:pPr>
        <w:widowControl w:val="0"/>
        <w:rPr>
          <w:noProof/>
        </w:rPr>
      </w:pPr>
    </w:p>
    <w:p w:rsidR="001C71B3" w:rsidRDefault="001C71B3" w:rsidP="00B51B51">
      <w:pPr>
        <w:widowControl w:val="0"/>
        <w:rPr>
          <w:noProof/>
        </w:rPr>
      </w:pPr>
    </w:p>
    <w:p w:rsidR="001C71B3" w:rsidRDefault="001C71B3" w:rsidP="00B51B51">
      <w:pPr>
        <w:widowControl w:val="0"/>
        <w:rPr>
          <w:noProof/>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19" w:name="_Ref336587383"/>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25</w:t>
      </w:r>
      <w:r w:rsidR="00951FEC">
        <w:rPr>
          <w:b/>
        </w:rPr>
        <w:fldChar w:fldCharType="end"/>
      </w:r>
      <w:bookmarkEnd w:id="319"/>
    </w:p>
    <w:p w:rsidR="000A1474" w:rsidRPr="003A4B56" w:rsidRDefault="00254CE2" w:rsidP="00B51B51">
      <w:pPr>
        <w:widowControl w:val="0"/>
        <w:tabs>
          <w:tab w:val="left" w:pos="-720"/>
          <w:tab w:val="left" w:pos="0"/>
          <w:tab w:val="left" w:pos="1418"/>
        </w:tabs>
        <w:ind w:right="49"/>
        <w:jc w:val="center"/>
        <w:rPr>
          <w:rFonts w:cs="Arial"/>
          <w:noProof/>
        </w:rPr>
      </w:pPr>
      <w:r>
        <w:rPr>
          <w:noProof/>
          <w:lang w:val="es-CL" w:eastAsia="es-CL"/>
        </w:rPr>
        <w:drawing>
          <wp:inline distT="0" distB="0" distL="0" distR="0">
            <wp:extent cx="4625340" cy="2084070"/>
            <wp:effectExtent l="0" t="0" r="3810" b="0"/>
            <wp:docPr id="131"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25340" cy="2084070"/>
                    </a:xfrm>
                    <a:prstGeom prst="rect">
                      <a:avLst/>
                    </a:prstGeom>
                    <a:noFill/>
                    <a:ln>
                      <a:noFill/>
                    </a:ln>
                  </pic:spPr>
                </pic:pic>
              </a:graphicData>
            </a:graphic>
          </wp:inline>
        </w:drawing>
      </w:r>
    </w:p>
    <w:p w:rsidR="000A1474" w:rsidRPr="003A4B56" w:rsidRDefault="000A1474" w:rsidP="00B51B51">
      <w:pPr>
        <w:pStyle w:val="Textoindependiente"/>
        <w:widowControl w:val="0"/>
        <w:tabs>
          <w:tab w:val="left" w:pos="0"/>
          <w:tab w:val="left" w:pos="1080"/>
          <w:tab w:val="left" w:pos="1418"/>
        </w:tabs>
        <w:jc w:val="center"/>
        <w:rPr>
          <w:rFonts w:ascii="Arial" w:hAnsi="Arial" w:cs="Arial"/>
          <w:sz w:val="20"/>
          <w:szCs w:val="20"/>
        </w:rPr>
      </w:pPr>
      <w:r w:rsidRPr="003A4B56">
        <w:rPr>
          <w:rFonts w:ascii="Arial" w:hAnsi="Arial" w:cs="Arial"/>
          <w:sz w:val="20"/>
          <w:szCs w:val="20"/>
        </w:rPr>
        <w:t xml:space="preserve">Fuente: Elaboración propia, </w:t>
      </w:r>
      <w:r w:rsidR="001E4FE1">
        <w:rPr>
          <w:rFonts w:ascii="Arial" w:hAnsi="Arial" w:cs="Arial"/>
          <w:sz w:val="20"/>
          <w:szCs w:val="20"/>
        </w:rPr>
        <w:t>en base a antecedentes de ODEPA</w:t>
      </w:r>
    </w:p>
    <w:p w:rsidR="000A1474" w:rsidRPr="003A4B56" w:rsidRDefault="000A1474" w:rsidP="00B51B51">
      <w:pPr>
        <w:widowControl w:val="0"/>
        <w:rPr>
          <w:noProof/>
        </w:rPr>
      </w:pPr>
    </w:p>
    <w:p w:rsidR="000A1474" w:rsidRPr="003A4B56" w:rsidRDefault="000A1474" w:rsidP="00B51B51">
      <w:pPr>
        <w:widowControl w:val="0"/>
        <w:rPr>
          <w:noProof/>
          <w:spacing w:val="-3"/>
        </w:rPr>
      </w:pPr>
      <w:r w:rsidRPr="003A4B56">
        <w:rPr>
          <w:noProof/>
          <w:spacing w:val="-3"/>
        </w:rPr>
        <w:t>En el ámbito nacional, el mercado principal está localizado en Santiago a través de sus mercados mayoristas de Lo Valledor y Vega Municipal Mapocho. Los principales canales de comercialización son los comunes a todas las hortalizas: la venta a acopiadores intermediarios que compran a nivel del predio y que luego venden en los mercados mayoristas; y la venta directa por parte de los productores en estos mercados o a las cadenas de supermercados.</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Cabe señalar que las cotizaciones de cebolla en los mercados mayoristas de Santiago presentan significativas variaciones, tanto anuales como estacionales. Las primeras son consecuencia de la disponibilidad de la hortaliza a lo largo del año y, las segundas, de la superficie de cultivo y de las exportaciones. </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De esta manera, las perspectivas para este rubro estarán en estrecha dependencia de las condiciones de cultivo en el país y de la consolidación del producto nacional en los mercados internacionales, especialmente en el caso de los países latinoamericanos y europeos. En estos últimos, se estima que los envíos debieran aumentar, ya que se trata de un mercado tradicional con compromisos establecidos y el acuerdo comercial beneficiar al producto nacional, en términos arancelarios, ya que éstos descendieron desde 14,4% a 0%. No obstante, Chile cuenta con un fuerte competidor en ese mercado, constituido por Nueva Zelandia, país con costos de transporte más bajos y está muy desarrollado en este rubro.</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En Estados Unidos, si bien ese destino actualmente concentra un importante volumen de los envíos de cebolla chilena, cuando se produjo el boom de exportaciones hacia ese país la calidad no fue la adecuada, lo que causó un desprestigio del producto nacional. De esta manera, es necesario mantener un nivel de calidad acorde con las exigencias de esos mercados, con el objeto de aprovechar la ventaja de la disminución de los aranceles.</w:t>
      </w:r>
    </w:p>
    <w:p w:rsidR="000A1474" w:rsidRPr="003A4B56" w:rsidRDefault="000A1474" w:rsidP="00B51B51">
      <w:pPr>
        <w:widowControl w:val="0"/>
        <w:rPr>
          <w:noProof/>
          <w:spacing w:val="-3"/>
        </w:rPr>
      </w:pPr>
    </w:p>
    <w:p w:rsidR="000A1474" w:rsidRPr="003A4B56" w:rsidRDefault="000A1474" w:rsidP="00B51B51">
      <w:pPr>
        <w:widowControl w:val="0"/>
        <w:rPr>
          <w:noProof/>
          <w:spacing w:val="-3"/>
        </w:rPr>
      </w:pPr>
      <w:r w:rsidRPr="003A4B56">
        <w:rPr>
          <w:noProof/>
          <w:spacing w:val="-3"/>
        </w:rPr>
        <w:t xml:space="preserve">En el ámbito de las exportaciones se debe señalar que tanto </w:t>
      </w:r>
      <w:smartTag w:uri="urn:schemas-microsoft-com:office:smarttags" w:element="PersonName">
        <w:smartTagPr>
          <w:attr w:name="ProductID" w:val="la V Región"/>
        </w:smartTagPr>
        <w:r w:rsidRPr="003A4B56">
          <w:rPr>
            <w:noProof/>
            <w:spacing w:val="-3"/>
          </w:rPr>
          <w:t>la V Región</w:t>
        </w:r>
      </w:smartTag>
      <w:r w:rsidR="000E0192">
        <w:rPr>
          <w:noProof/>
          <w:spacing w:val="-3"/>
        </w:rPr>
        <w:t xml:space="preserve"> como </w:t>
      </w:r>
      <w:smartTag w:uri="urn:schemas-microsoft-com:office:smarttags" w:element="PersonName">
        <w:smartTagPr>
          <w:attr w:name="ProductID" w:val="la Metropolitana"/>
        </w:smartTagPr>
        <w:r w:rsidR="000E0192">
          <w:rPr>
            <w:noProof/>
            <w:spacing w:val="-3"/>
          </w:rPr>
          <w:t>la</w:t>
        </w:r>
        <w:r w:rsidRPr="003A4B56">
          <w:rPr>
            <w:noProof/>
            <w:spacing w:val="-3"/>
          </w:rPr>
          <w:t xml:space="preserve"> Metropolitana</w:t>
        </w:r>
      </w:smartTag>
      <w:r w:rsidRPr="003A4B56">
        <w:rPr>
          <w:noProof/>
          <w:spacing w:val="-3"/>
        </w:rPr>
        <w:t xml:space="preserve"> poseen ventajas comparativas en términos de infraestructura y cercanía a los puertos de embarque, en relación al resto del país, lo que contribuye a dar un mayor movimiento al mercado nacional. Para el érea de estudio se propone el cultivo de cebolla temprana, la que alcanzaría mayores precios en los mercados mayoristas de Santiago.</w:t>
      </w:r>
    </w:p>
    <w:p w:rsidR="000A1474" w:rsidRDefault="000A1474" w:rsidP="00B51B51">
      <w:pPr>
        <w:widowControl w:val="0"/>
      </w:pPr>
    </w:p>
    <w:p w:rsidR="00B36772" w:rsidRPr="003A4B56" w:rsidRDefault="00B36772" w:rsidP="00B51B51">
      <w:pPr>
        <w:widowControl w:val="0"/>
      </w:pPr>
    </w:p>
    <w:p w:rsidR="000A1474" w:rsidRPr="003A4B56" w:rsidRDefault="00A24E25" w:rsidP="00B51B51">
      <w:pPr>
        <w:widowControl w:val="0"/>
      </w:pPr>
      <w:r w:rsidRPr="003A4B56">
        <w:lastRenderedPageBreak/>
        <w:t>-</w:t>
      </w:r>
      <w:r w:rsidRPr="003A4B56">
        <w:tab/>
      </w:r>
      <w:r w:rsidR="000A1474" w:rsidRPr="003A4B56">
        <w:t>Choclo</w:t>
      </w:r>
    </w:p>
    <w:p w:rsidR="000A1474" w:rsidRPr="003A4B56" w:rsidRDefault="000A1474" w:rsidP="00B51B51">
      <w:pPr>
        <w:widowControl w:val="0"/>
      </w:pPr>
    </w:p>
    <w:p w:rsidR="000A1474" w:rsidRPr="003A4B56" w:rsidRDefault="000A1474" w:rsidP="00B51B51">
      <w:pPr>
        <w:widowControl w:val="0"/>
      </w:pPr>
      <w:r w:rsidRPr="003A4B56">
        <w:t xml:space="preserve">La década de 1990 se inició con una superficie dedicada al cultivo de choclo del orden de </w:t>
      </w:r>
      <w:smartTag w:uri="urn:schemas-microsoft-com:office:smarttags" w:element="metricconverter">
        <w:smartTagPr>
          <w:attr w:name="ProductID" w:val="11.134 ha"/>
        </w:smartTagPr>
        <w:r w:rsidRPr="003A4B56">
          <w:t>11.134 ha</w:t>
        </w:r>
      </w:smartTag>
      <w:r w:rsidRPr="003A4B56">
        <w:t xml:space="preserve">, área que posteriormente aumentó hasta situarse por sobre las 13 mil ha entre los períodos 1992/93 y 1994/95. En las temporadas siguientes la superficie bordeó las </w:t>
      </w:r>
      <w:smartTag w:uri="urn:schemas-microsoft-com:office:smarttags" w:element="metricconverter">
        <w:smartTagPr>
          <w:attr w:name="ProductID" w:val="12.500 ha"/>
        </w:smartTagPr>
        <w:r w:rsidRPr="003A4B56">
          <w:t>12.500 ha</w:t>
        </w:r>
      </w:smartTag>
      <w:r w:rsidRPr="003A4B56">
        <w:t xml:space="preserve">. </w:t>
      </w:r>
    </w:p>
    <w:p w:rsidR="000A1474" w:rsidRPr="003A4B56" w:rsidRDefault="000A1474" w:rsidP="00B51B51">
      <w:pPr>
        <w:widowControl w:val="0"/>
      </w:pPr>
    </w:p>
    <w:p w:rsidR="000A1474" w:rsidRPr="003A4B56" w:rsidRDefault="000A1474" w:rsidP="00B51B51">
      <w:pPr>
        <w:widowControl w:val="0"/>
      </w:pPr>
      <w:r w:rsidRPr="003A4B56">
        <w:t xml:space="preserve">Según antecedentes proporcionados por INE a través del VII Censo Nacional Agropecuario, en la temporada 2006/07 se habrían explotado </w:t>
      </w:r>
      <w:smartTag w:uri="urn:schemas-microsoft-com:office:smarttags" w:element="metricconverter">
        <w:smartTagPr>
          <w:attr w:name="ProductID" w:val="10.500 hectáreas"/>
        </w:smartTagPr>
        <w:r w:rsidRPr="003A4B56">
          <w:t>10.500 hectáreas</w:t>
        </w:r>
      </w:smartTag>
      <w:r w:rsidRPr="003A4B56">
        <w:t xml:space="preserve"> con esta hortaliza, lo que revela una declinación en relación a lo efectivamente cultivado en temporadas anteriores.</w:t>
      </w:r>
    </w:p>
    <w:p w:rsidR="000A1474" w:rsidRPr="003A4B56" w:rsidRDefault="000A1474" w:rsidP="00B51B51">
      <w:pPr>
        <w:widowControl w:val="0"/>
      </w:pPr>
    </w:p>
    <w:p w:rsidR="000A1474" w:rsidRPr="003A4B56" w:rsidRDefault="000A1474" w:rsidP="00B51B51">
      <w:pPr>
        <w:widowControl w:val="0"/>
      </w:pPr>
      <w:r w:rsidRPr="003A4B56">
        <w:t xml:space="preserve">Cabe señalar que en 2006/07 </w:t>
      </w:r>
      <w:smartTag w:uri="urn:schemas-microsoft-com:office:smarttags" w:element="PersonName">
        <w:smartTagPr>
          <w:attr w:name="ProductID" w:val="la VI Región"/>
        </w:smartTagPr>
        <w:r w:rsidRPr="003A4B56">
          <w:t>la VI Región</w:t>
        </w:r>
      </w:smartTag>
      <w:r w:rsidRPr="003A4B56">
        <w:t xml:space="preserve"> representó 15,1% del total nacional con </w:t>
      </w:r>
      <w:smartTag w:uri="urn:schemas-microsoft-com:office:smarttags" w:element="metricconverter">
        <w:smartTagPr>
          <w:attr w:name="ProductID" w:val="1.588,6 hectáreas"/>
        </w:smartTagPr>
        <w:r w:rsidRPr="003A4B56">
          <w:t>1.588,6 hectáreas</w:t>
        </w:r>
      </w:smartTag>
      <w:r w:rsidRPr="003A4B56">
        <w:t>. La distribución al interior de la región fue de 74,8% en la provincia de Cachapoal; 22,5% en Colchagua y, por último, el 2,7% en la correspondiente a Cardenal Caro. Estas estadísticas involucran los diferentes tipos o variedades de choclos.</w:t>
      </w:r>
    </w:p>
    <w:p w:rsidR="000A1474" w:rsidRPr="003A4B56" w:rsidRDefault="000A1474" w:rsidP="00B51B51">
      <w:pPr>
        <w:widowControl w:val="0"/>
      </w:pPr>
    </w:p>
    <w:p w:rsidR="000A1474" w:rsidRPr="003A4B56" w:rsidRDefault="000A1474" w:rsidP="00B51B51">
      <w:pPr>
        <w:widowControl w:val="0"/>
      </w:pPr>
      <w:r w:rsidRPr="003A4B56">
        <w:t xml:space="preserve">Actualmente, en Chile la producción de choclo se divide en el tradicional y el maíz dulce, con todas las variantes que estos presentan. El maíz dulce cuenta con variedades tempranas que permiten salir al mercado a fines de octubre; sin embargo, cuando comienza la cosecha del choclo tradicional (“diente de caballo”), el precio del maíz dulce baja. Este último es de mazorca más pequeña que el tradicional, adaptándose menos a los hábitos culinarios y gustos del consumidor chileno. Los rendimientos de estos dos tipos de choclo, también difieren, ya que el maíz dulce posee una planta más chica que admite una mayor densidad de siembra que el tradicional. De hecho, en el choclo dulce para agroindustria se estiman rendimientos  del orden de las </w:t>
      </w:r>
      <w:smartTag w:uri="urn:schemas-microsoft-com:office:smarttags" w:element="metricconverter">
        <w:smartTagPr>
          <w:attr w:name="ProductID" w:val="50 a"/>
        </w:smartTagPr>
        <w:r w:rsidRPr="003A4B56">
          <w:t>50 a</w:t>
        </w:r>
      </w:smartTag>
      <w:r w:rsidRPr="003A4B56">
        <w:t xml:space="preserve"> 60.000 unidades/ha y para el maíz choclero tradicional, con mazorca de mayor tamaño, se ubicarían en torno a </w:t>
      </w:r>
      <w:smartTag w:uri="urn:schemas-microsoft-com:office:smarttags" w:element="metricconverter">
        <w:smartTagPr>
          <w:attr w:name="ProductID" w:val="30 a"/>
        </w:smartTagPr>
        <w:r w:rsidRPr="003A4B56">
          <w:t>30 a</w:t>
        </w:r>
      </w:smartTag>
      <w:r w:rsidRPr="003A4B56">
        <w:t xml:space="preserve"> 40.000 unidades/ha.</w:t>
      </w:r>
    </w:p>
    <w:p w:rsidR="000A1474" w:rsidRPr="003A4B56" w:rsidRDefault="000A1474" w:rsidP="00B51B51">
      <w:pPr>
        <w:widowControl w:val="0"/>
      </w:pPr>
    </w:p>
    <w:p w:rsidR="000A1474" w:rsidRPr="003A4B56" w:rsidRDefault="000A1474" w:rsidP="00B51B51">
      <w:pPr>
        <w:widowControl w:val="0"/>
      </w:pPr>
      <w:r w:rsidRPr="003A4B56">
        <w:t xml:space="preserve">Cabe señalar que las variedades dulces han cobrado especial importancia, logrando alcanzar entre el </w:t>
      </w:r>
      <w:smartTag w:uri="urn:schemas-microsoft-com:office:smarttags" w:element="metricconverter">
        <w:smartTagPr>
          <w:attr w:name="ProductID" w:val="25 a"/>
        </w:smartTagPr>
        <w:r w:rsidRPr="003A4B56">
          <w:t>25 a</w:t>
        </w:r>
      </w:smartTag>
      <w:r w:rsidRPr="003A4B56">
        <w:t xml:space="preserve"> 30% de la superficie nacional, concentrándose en las mismas regiones antes mencionadas. Dicha importancia radica en sus características fisiológicas, que lo hacen especialmente adaptado para su consumo como producto congelado y para su venta como primor para consumo fresco.</w:t>
      </w:r>
    </w:p>
    <w:p w:rsidR="000A1474" w:rsidRPr="003A4B56" w:rsidRDefault="000A1474" w:rsidP="00B51B51">
      <w:pPr>
        <w:widowControl w:val="0"/>
      </w:pPr>
      <w:r w:rsidRPr="003A4B56">
        <w:tab/>
      </w:r>
      <w:r w:rsidRPr="003A4B56">
        <w:tab/>
      </w:r>
    </w:p>
    <w:p w:rsidR="000A1474" w:rsidRPr="003A4B56" w:rsidRDefault="000A1474" w:rsidP="00B51B51">
      <w:pPr>
        <w:widowControl w:val="0"/>
      </w:pPr>
      <w:r w:rsidRPr="003A4B56">
        <w:t>En términos generales, esta hortaliza se transa durante todo el año en los mercados mayoristas, pero los volúmenes más importantes tienen lugar entre enero y abril, período que coincide con los precios más bajos. Así, en noviembre el choclo es un producto primor y su precio promedio bordea los $ 115/unidad y en enero desciende a $ 73/unidad.</w:t>
      </w:r>
    </w:p>
    <w:p w:rsidR="000A1474" w:rsidRPr="003A4B56" w:rsidRDefault="000A1474" w:rsidP="00B51B51">
      <w:pPr>
        <w:widowControl w:val="0"/>
      </w:pPr>
    </w:p>
    <w:p w:rsidR="000A1474" w:rsidRPr="003A4B56" w:rsidRDefault="000A1474" w:rsidP="00B51B51">
      <w:pPr>
        <w:widowControl w:val="0"/>
      </w:pPr>
      <w:r w:rsidRPr="003A4B56">
        <w:t>El principal mercado para este producto es el mercado mayorista Lo Valledor de Santiago y las agroindustria de congelado. La comercialización es relativamente simple debido a que no contempla costos de embalaje sino sólo de cosecha y flete, y cuando es para consumo fresco se debe considerar, además, la comisión del comerciante mayorista.</w:t>
      </w:r>
    </w:p>
    <w:p w:rsidR="000A1474" w:rsidRPr="003A4B56" w:rsidRDefault="000A1474" w:rsidP="00B51B51">
      <w:pPr>
        <w:widowControl w:val="0"/>
      </w:pPr>
    </w:p>
    <w:p w:rsidR="000A1474" w:rsidRPr="003A4B56" w:rsidRDefault="000A1474" w:rsidP="00B51B51">
      <w:pPr>
        <w:widowControl w:val="0"/>
      </w:pPr>
      <w:r w:rsidRPr="003A4B56">
        <w:t xml:space="preserve">La agroindustria, por su parte, ha aumentado su participación en este mercado, con la expansión de las empresas ya consolidadas y la emergencia de otras. Así, las exportaciones de maíz dulce congelado, desde </w:t>
      </w:r>
      <w:smartTag w:uri="urn:schemas-microsoft-com:office:smarttags" w:element="metricconverter">
        <w:smartTagPr>
          <w:attr w:name="ProductID" w:val="1990 a"/>
        </w:smartTagPr>
        <w:r w:rsidRPr="003A4B56">
          <w:t>1990 a</w:t>
        </w:r>
      </w:smartTag>
      <w:r w:rsidRPr="003A4B56">
        <w:t xml:space="preserve"> 2011, han fluctuado entre 410 toneladas en 1995 y 4.657 toneladas en el año 2011 (</w:t>
      </w:r>
      <w:r w:rsidRPr="003A4B56">
        <w:fldChar w:fldCharType="begin"/>
      </w:r>
      <w:r w:rsidRPr="003A4B56">
        <w:instrText xml:space="preserve"> REF _Ref336587586 \h </w:instrText>
      </w:r>
      <w:r w:rsidRPr="003A4B56">
        <w:instrText xml:space="preserve"> \* MERGEFORMAT </w:instrText>
      </w:r>
      <w:r w:rsidRPr="003A4B56">
        <w:fldChar w:fldCharType="separate"/>
      </w:r>
      <w:r w:rsidR="00264070" w:rsidRPr="00264070">
        <w:t xml:space="preserve">Figura </w:t>
      </w:r>
      <w:r w:rsidR="00264070" w:rsidRPr="00264070">
        <w:rPr>
          <w:noProof/>
        </w:rPr>
        <w:t>5.26</w:t>
      </w:r>
      <w:r w:rsidRPr="003A4B56">
        <w:fldChar w:fldCharType="end"/>
      </w:r>
      <w:r w:rsidRPr="003A4B56">
        <w:t>). Se debe tener presente que desde el año 2000 en adelante los envíos al exterior registraron un sostenido incremento, lo que ha significado una tendencia alcista de estas transacciones durante el período de análisis.  En 2011 el destino de los embarques estuvo constituido por Colombia, Venezuela, Alemania y Ecuador, entre otros.</w:t>
      </w:r>
    </w:p>
    <w:p w:rsidR="000A1474" w:rsidRPr="003A4B56" w:rsidRDefault="000A1474" w:rsidP="00B51B51">
      <w:pPr>
        <w:widowControl w:val="0"/>
      </w:pPr>
    </w:p>
    <w:p w:rsidR="000A1474" w:rsidRPr="003A4B56" w:rsidRDefault="000A1474" w:rsidP="00B51B51">
      <w:pPr>
        <w:widowControl w:val="0"/>
      </w:pPr>
      <w:r w:rsidRPr="003A4B56">
        <w:lastRenderedPageBreak/>
        <w:t>En este sentido, es preciso indicar que la participación de Chile en diferentes acuerdos comerciales ha sido positiva para las ventas de este producto al exterior, ya que los envíos a Canadá, Venezuela y Colombia no pagan arancel, y este tributo se igualó a cero en los países del MERCOSUR a partir de Octubre del año 2004.</w:t>
      </w:r>
    </w:p>
    <w:p w:rsidR="000A1474" w:rsidRPr="003A4B56" w:rsidRDefault="000A1474" w:rsidP="00B51B51">
      <w:pPr>
        <w:widowControl w:val="0"/>
      </w:pPr>
    </w:p>
    <w:p w:rsidR="000A1474" w:rsidRPr="003A4B56" w:rsidRDefault="000A1474" w:rsidP="00B51B51">
      <w:pPr>
        <w:widowControl w:val="0"/>
      </w:pPr>
      <w:r w:rsidRPr="003A4B56">
        <w:t>En los acuerdos más recientes, cabe señalar que las exportaciones a Estados Unidos si bien se han ampliado en los últimos años, actualmente no superan el 2%, pero con motivo del acuerdo el arancel de internación se igualará a cero en 2012; el arancel vigente era de 14%. En Corea las adquisiciones de maíz dulce congelado dejaron de pagar este tributo un año antes, es decir, en 2011; mientras que en China la desgravación fue total al año 2, es decir, en 2009,  el arancel era de 10%. Entretanto en Japón dejará de pagar arancel desde el octavo año desde la entrada en vigencia del acuerdo, el tributo inicial era de 10,6%.</w:t>
      </w:r>
    </w:p>
    <w:p w:rsidR="000A1474" w:rsidRPr="003A4B56" w:rsidRDefault="000A1474" w:rsidP="00B51B51">
      <w:pPr>
        <w:widowControl w:val="0"/>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0" w:name="_Ref336587586"/>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26</w:t>
      </w:r>
      <w:r w:rsidR="00951FEC">
        <w:rPr>
          <w:b/>
        </w:rPr>
        <w:fldChar w:fldCharType="end"/>
      </w:r>
      <w:bookmarkEnd w:id="320"/>
    </w:p>
    <w:p w:rsidR="000A1474" w:rsidRPr="003A4B56" w:rsidRDefault="00254CE2" w:rsidP="00B51B51">
      <w:pPr>
        <w:widowControl w:val="0"/>
        <w:tabs>
          <w:tab w:val="left" w:pos="0"/>
          <w:tab w:val="left" w:pos="426"/>
          <w:tab w:val="left" w:pos="720"/>
        </w:tabs>
        <w:jc w:val="center"/>
        <w:rPr>
          <w:rFonts w:cs="Arial"/>
          <w:noProof/>
          <w:szCs w:val="22"/>
        </w:rPr>
      </w:pPr>
      <w:r>
        <w:rPr>
          <w:noProof/>
          <w:lang w:val="es-CL" w:eastAsia="es-CL"/>
        </w:rPr>
        <w:drawing>
          <wp:inline distT="0" distB="0" distL="0" distR="0">
            <wp:extent cx="4625340" cy="1956435"/>
            <wp:effectExtent l="0" t="0" r="3810" b="5715"/>
            <wp:docPr id="13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625340" cy="195643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conclusión,  resulta interesante para este rubro el crecimiento que ha mostrado el consumo interno de choclo congelado, producto que se caracteriza por su facilidad y rapidez de preparación, así como también el desarrollo que han experimentado las exportaciones y su probable expansión. En este ámbito, cabe señalar que la agroindustria contratante se encuentra optimista y con expectativas de incrementar la superficie de cultivo.</w:t>
      </w:r>
    </w:p>
    <w:p w:rsidR="000A1474" w:rsidRPr="003A4B56" w:rsidRDefault="000A1474" w:rsidP="00B51B51">
      <w:pPr>
        <w:widowControl w:val="0"/>
        <w:tabs>
          <w:tab w:val="left" w:pos="0"/>
          <w:tab w:val="left" w:pos="426"/>
          <w:tab w:val="left" w:pos="720"/>
        </w:tabs>
        <w:rPr>
          <w:rFonts w:cs="Arial"/>
        </w:rPr>
      </w:pPr>
    </w:p>
    <w:p w:rsidR="000A1474" w:rsidRPr="003A4B56" w:rsidRDefault="00A24E25" w:rsidP="00B51B51">
      <w:pPr>
        <w:widowControl w:val="0"/>
      </w:pPr>
      <w:r w:rsidRPr="003A4B56">
        <w:t>-</w:t>
      </w:r>
      <w:r w:rsidRPr="003A4B56">
        <w:tab/>
      </w:r>
      <w:r w:rsidR="000A1474" w:rsidRPr="003A4B56">
        <w:t>Melón</w:t>
      </w:r>
    </w:p>
    <w:p w:rsidR="000A1474" w:rsidRPr="003A4B56" w:rsidRDefault="000A1474" w:rsidP="00B51B51">
      <w:pPr>
        <w:widowControl w:val="0"/>
        <w:tabs>
          <w:tab w:val="left" w:pos="1418"/>
        </w:tabs>
        <w:rPr>
          <w:rFonts w:cs="Arial"/>
          <w:noProof/>
        </w:rPr>
      </w:pPr>
    </w:p>
    <w:p w:rsidR="000A1474" w:rsidRPr="003A4B56" w:rsidRDefault="000A1474" w:rsidP="00B51B51">
      <w:pPr>
        <w:widowControl w:val="0"/>
        <w:tabs>
          <w:tab w:val="left" w:pos="1418"/>
        </w:tabs>
        <w:rPr>
          <w:rFonts w:cs="Arial"/>
        </w:rPr>
      </w:pPr>
      <w:r w:rsidRPr="003A4B56">
        <w:rPr>
          <w:rFonts w:cs="Arial"/>
        </w:rPr>
        <w:t>El melón es una hortaliza de cultivo estacional, cuya superficie total en las últimas dos década</w:t>
      </w:r>
      <w:r w:rsidR="00922F03">
        <w:rPr>
          <w:rFonts w:cs="Arial"/>
        </w:rPr>
        <w:t xml:space="preserve">s, según información de ODEPA, </w:t>
      </w:r>
      <w:r w:rsidRPr="003A4B56">
        <w:rPr>
          <w:rFonts w:cs="Arial"/>
        </w:rPr>
        <w:t xml:space="preserve">ha oscilado entre </w:t>
      </w:r>
      <w:smartTag w:uri="urn:schemas-microsoft-com:office:smarttags" w:element="metricconverter">
        <w:smartTagPr>
          <w:attr w:name="ProductID" w:val="3.054 hectáreas"/>
        </w:smartTagPr>
        <w:r w:rsidRPr="003A4B56">
          <w:rPr>
            <w:rFonts w:cs="Arial"/>
          </w:rPr>
          <w:t>3.054 hectáreas</w:t>
        </w:r>
      </w:smartTag>
      <w:r w:rsidRPr="003A4B56">
        <w:rPr>
          <w:rFonts w:cs="Arial"/>
        </w:rPr>
        <w:t xml:space="preserve"> sembradas en el período 2006/07 y </w:t>
      </w:r>
      <w:smartTag w:uri="urn:schemas-microsoft-com:office:smarttags" w:element="metricconverter">
        <w:smartTagPr>
          <w:attr w:name="ProductID" w:val="5.480 ha"/>
        </w:smartTagPr>
        <w:r w:rsidRPr="003A4B56">
          <w:rPr>
            <w:rFonts w:cs="Arial"/>
          </w:rPr>
          <w:t>5.480 ha</w:t>
        </w:r>
      </w:smartTag>
      <w:r w:rsidRPr="003A4B56">
        <w:rPr>
          <w:rFonts w:cs="Arial"/>
        </w:rPr>
        <w:t xml:space="preserve"> constatadas en la temporada 1994/95. De acuerdo a los antecedentes proporcionados por el VII Censo Nacional Agropecuario, realizado por INE en 2007, el área dedicada a este cultivo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abarcó del orden de </w:t>
      </w:r>
      <w:smartTag w:uri="urn:schemas-microsoft-com:office:smarttags" w:element="metricconverter">
        <w:smartTagPr>
          <w:attr w:name="ProductID" w:val="1.561,9 hectáreas"/>
        </w:smartTagPr>
        <w:r w:rsidRPr="003A4B56">
          <w:rPr>
            <w:rFonts w:cs="Arial"/>
          </w:rPr>
          <w:t>1.561,9 hectáreas</w:t>
        </w:r>
      </w:smartTag>
      <w:r w:rsidRPr="003A4B56">
        <w:rPr>
          <w:rFonts w:cs="Arial"/>
        </w:rPr>
        <w:t>, superficie equivalente al 51,2% del total nacional. Al interior de la región esta especie se distribuye en 85,9% en la provincia de Cachapoal y en 14,1% en la correspondiente a Colchagua.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Los canales normales de comercialización son las ventas directas en el predio a comerciantes intermediarios, la entrega directa a las cadenas de supermercados de los grandes centros consumidores y los mercados mayoristas regionales y de Santiago (Feria Lo Valledor, Feria Municipal de Mapocho, etc.).</w:t>
      </w:r>
    </w:p>
    <w:p w:rsidR="000A1474" w:rsidRDefault="000A1474" w:rsidP="00B51B51">
      <w:pPr>
        <w:widowControl w:val="0"/>
        <w:tabs>
          <w:tab w:val="left" w:pos="1418"/>
        </w:tabs>
        <w:rPr>
          <w:rFonts w:cs="Arial"/>
        </w:rPr>
      </w:pPr>
    </w:p>
    <w:p w:rsidR="00E362F8" w:rsidRPr="003A4B56" w:rsidRDefault="00E362F8"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lastRenderedPageBreak/>
        <w:t>Cabe señalar que la condición para obtener una buena rentabilidad y disminuir riesgos es la obtención de un producto "primor". Para sacar estas ventajas se requiere el uso de técnicas de cultivos más sofisticadas y variedades híbridas de alto costo. A ello se le puede agregar las condiciones agroclimáticas que en determinados sectores geográficos permiten una ventaja adicional.</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El buen resultado de este rubro dependerá, por una parte, de la obtención de altos rendimientos con costos de producción controlados y, por otra, de la obtención de un producto temprano en la temporada, con el objeto de obtener los precios más altos. </w:t>
      </w:r>
    </w:p>
    <w:p w:rsidR="000A1474" w:rsidRPr="003A4B56" w:rsidRDefault="000A1474" w:rsidP="00B51B51">
      <w:pPr>
        <w:widowControl w:val="0"/>
        <w:tabs>
          <w:tab w:val="left" w:pos="0"/>
          <w:tab w:val="left" w:pos="426"/>
          <w:tab w:val="left" w:pos="1418"/>
        </w:tabs>
        <w:rPr>
          <w:rFonts w:cs="Arial"/>
        </w:rPr>
      </w:pPr>
    </w:p>
    <w:p w:rsidR="000A1474" w:rsidRPr="003A4B56" w:rsidRDefault="00A24E25" w:rsidP="00B51B51">
      <w:pPr>
        <w:widowControl w:val="0"/>
      </w:pPr>
      <w:r w:rsidRPr="003A4B56">
        <w:t>-</w:t>
      </w:r>
      <w:r w:rsidRPr="003A4B56">
        <w:tab/>
      </w:r>
      <w:r w:rsidR="000A1474" w:rsidRPr="003A4B56">
        <w:t>Pimentón</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Chile el cultivo del pimentón de distribuye desde </w:t>
      </w:r>
      <w:smartTag w:uri="urn:schemas-microsoft-com:office:smarttags" w:element="PersonName">
        <w:smartTagPr>
          <w:attr w:name="ProductID" w:val="la I"/>
        </w:smartTagPr>
        <w:r w:rsidRPr="003A4B56">
          <w:rPr>
            <w:rFonts w:cs="Arial"/>
          </w:rPr>
          <w:t>la I</w:t>
        </w:r>
      </w:smartTag>
      <w:r w:rsidRPr="003A4B56">
        <w:rPr>
          <w:rFonts w:cs="Arial"/>
        </w:rPr>
        <w:t xml:space="preserve"> a </w:t>
      </w:r>
      <w:smartTag w:uri="urn:schemas-microsoft-com:office:smarttags" w:element="PersonName">
        <w:smartTagPr>
          <w:attr w:name="ProductID" w:val="la IX"/>
        </w:smartTagPr>
        <w:r w:rsidRPr="003A4B56">
          <w:rPr>
            <w:rFonts w:cs="Arial"/>
          </w:rPr>
          <w:t>la IX</w:t>
        </w:r>
      </w:smartTag>
      <w:r w:rsidRPr="003A4B56">
        <w:rPr>
          <w:rFonts w:cs="Arial"/>
        </w:rPr>
        <w:t xml:space="preserve"> región, aunque se concentra en casi 95% entre </w:t>
      </w:r>
      <w:smartTag w:uri="urn:schemas-microsoft-com:office:smarttags" w:element="PersonName">
        <w:smartTagPr>
          <w:attr w:name="ProductID" w:val="la IV"/>
        </w:smartTagPr>
        <w:r w:rsidRPr="003A4B56">
          <w:rPr>
            <w:rFonts w:cs="Arial"/>
          </w:rPr>
          <w:t>la IV</w:t>
        </w:r>
      </w:smartTag>
      <w:r w:rsidRPr="003A4B56">
        <w:rPr>
          <w:rFonts w:cs="Arial"/>
        </w:rPr>
        <w:t xml:space="preserve"> y VII Región. En 1996/97 la superficie destinada a esta hortaliza abarcó del orden de </w:t>
      </w:r>
      <w:smartTag w:uri="urn:schemas-microsoft-com:office:smarttags" w:element="metricconverter">
        <w:smartTagPr>
          <w:attr w:name="ProductID" w:val="3.475 hectáreas"/>
        </w:smartTagPr>
        <w:r w:rsidRPr="003A4B56">
          <w:rPr>
            <w:rFonts w:cs="Arial"/>
          </w:rPr>
          <w:t>3.475 hectáreas</w:t>
        </w:r>
      </w:smartTag>
      <w:r w:rsidRPr="003A4B56">
        <w:rPr>
          <w:rFonts w:cs="Arial"/>
        </w:rPr>
        <w:t xml:space="preserve">. En 2006/07 la superficie cultivada con esta especie totalizaba </w:t>
      </w:r>
      <w:smartTag w:uri="urn:schemas-microsoft-com:office:smarttags" w:element="metricconverter">
        <w:smartTagPr>
          <w:attr w:name="ProductID" w:val="1.567,1 hectáreas"/>
        </w:smartTagPr>
        <w:r w:rsidRPr="003A4B56">
          <w:rPr>
            <w:rFonts w:cs="Arial"/>
          </w:rPr>
          <w:t>1.567,1 hectáreas</w:t>
        </w:r>
      </w:smartTag>
      <w:r w:rsidRPr="003A4B56">
        <w:rPr>
          <w:rFonts w:cs="Arial"/>
        </w:rPr>
        <w:t>, lo que revela una disminución de 54,9% entre ambas temporadas. Estos antecedentes corresponden a los Censos Agropecuarios efectuados por el INE en ambos períodos agrícolas, no distingue diferencia entre pimentón y pimiento morrón.</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representa el 22,6% del total nacional, con </w:t>
      </w:r>
      <w:smartTag w:uri="urn:schemas-microsoft-com:office:smarttags" w:element="metricconverter">
        <w:smartTagPr>
          <w:attr w:name="ProductID" w:val="374,9 hectáreas"/>
        </w:smartTagPr>
        <w:r w:rsidRPr="003A4B56">
          <w:rPr>
            <w:rFonts w:cs="Arial"/>
          </w:rPr>
          <w:t>374,9 hectáreas</w:t>
        </w:r>
      </w:smartTag>
      <w:r w:rsidRPr="003A4B56">
        <w:rPr>
          <w:rFonts w:cs="Arial"/>
        </w:rPr>
        <w:t xml:space="preserve">, las que se concentran en 69,6% en la provincia de Colchagua y el 30,4% restante en Cachapoal.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En términos generales, cabe señalar que la superficie cultivada con esta hortaliza desde la temporada 1989/90 en adelante ha fluctuado entre </w:t>
      </w:r>
      <w:smartTag w:uri="urn:schemas-microsoft-com:office:smarttags" w:element="metricconverter">
        <w:smartTagPr>
          <w:attr w:name="ProductID" w:val="2.260 hectáreas"/>
        </w:smartTagPr>
        <w:r w:rsidRPr="003A4B56">
          <w:rPr>
            <w:rFonts w:cs="Arial"/>
          </w:rPr>
          <w:t>2.260 hectáreas</w:t>
        </w:r>
      </w:smartTag>
      <w:r w:rsidRPr="003A4B56">
        <w:rPr>
          <w:rFonts w:cs="Arial"/>
        </w:rPr>
        <w:t xml:space="preserve"> registradas en 1990/91 y </w:t>
      </w:r>
      <w:smartTag w:uri="urn:schemas-microsoft-com:office:smarttags" w:element="metricconverter">
        <w:smartTagPr>
          <w:attr w:name="ProductID" w:val="4.580 hectáreas"/>
        </w:smartTagPr>
        <w:r w:rsidRPr="003A4B56">
          <w:rPr>
            <w:rFonts w:cs="Arial"/>
          </w:rPr>
          <w:t>4.580 hectáreas</w:t>
        </w:r>
      </w:smartTag>
      <w:r w:rsidRPr="003A4B56">
        <w:rPr>
          <w:rFonts w:cs="Arial"/>
        </w:rPr>
        <w:t xml:space="preserve"> en 1992/93.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El principal destino de la producción de pimentones en Chile es el consumo fresco y la deshidratación, ya sea al aire libre, técnica que se utiliza en la zona norte, o en forma industrial a través de hornos de secado continuo.</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Las plantas deshidratadoras establecen un contrato de superficie con los agricultores y pactan el precio en dólares de acuerdo a la calidad del producto. Entre los servicios que ofrecen figuran la entrega de almácigos, anticipos por concepto de insumos y asesoría técnica.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El pimentón deshidratado es demandado preferentemente por la industria de alimentos, especialmente para la elaboración de sopas, productos cárnicos, comidas preparadas, salsas, condimentos, etc. El principal destino de este producto es la venta al exterior.</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Al igual que la caída experimentada por la superficie de cultivo de pimentón, las exportaciones de los distintos productos han declinado.</w:t>
      </w:r>
    </w:p>
    <w:p w:rsidR="000A1474" w:rsidRPr="003A4B56" w:rsidRDefault="000A1474" w:rsidP="00B51B51">
      <w:pPr>
        <w:widowControl w:val="0"/>
        <w:tabs>
          <w:tab w:val="left" w:pos="1418"/>
        </w:tabs>
        <w:rPr>
          <w:rFonts w:cs="Arial"/>
        </w:rPr>
      </w:pPr>
    </w:p>
    <w:p w:rsidR="000A1474" w:rsidRDefault="000A1474" w:rsidP="00B51B51">
      <w:pPr>
        <w:widowControl w:val="0"/>
        <w:tabs>
          <w:tab w:val="left" w:pos="1418"/>
        </w:tabs>
        <w:rPr>
          <w:rFonts w:cs="Arial"/>
        </w:rPr>
      </w:pPr>
      <w:r w:rsidRPr="003A4B56">
        <w:rPr>
          <w:rFonts w:cs="Arial"/>
        </w:rPr>
        <w:t>Así, entre 1990 y 2006 las exportaciones chilenas de pimentón deshidratado experimentaron una significativa expansión, al pasar de 1.316 toneladas a 6.046 toneladas, equivalente a un aumento de casi cinco veces; en términos de valor, el crecimiento fue de casi seis veces. No obstante, al interior del período la tendencia fue fluctuante, constatándose los descensos más importantes en los años 1994 y 2000  (</w:t>
      </w:r>
      <w:r w:rsidRPr="003A4B56">
        <w:rPr>
          <w:rFonts w:cs="Arial"/>
        </w:rPr>
        <w:fldChar w:fldCharType="begin"/>
      </w:r>
      <w:r w:rsidRPr="003A4B56">
        <w:rPr>
          <w:rFonts w:cs="Arial"/>
        </w:rPr>
        <w:instrText xml:space="preserve"> REF _Ref336587644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5.27</w:t>
      </w:r>
      <w:r w:rsidRPr="003A4B56">
        <w:rPr>
          <w:rFonts w:cs="Arial"/>
        </w:rPr>
        <w:fldChar w:fldCharType="end"/>
      </w:r>
      <w:r w:rsidRPr="003A4B56">
        <w:rPr>
          <w:rFonts w:cs="Arial"/>
        </w:rPr>
        <w:t>). Posteriormente, los envíos de este producto sufrieron una abrupta caída, transándose en 2011 del orden de 1.650 toneladas, equivalentes a US$9,7 millones FOB.</w:t>
      </w:r>
    </w:p>
    <w:p w:rsidR="00B36772" w:rsidRPr="003A4B56" w:rsidRDefault="00B36772" w:rsidP="00B51B51">
      <w:pPr>
        <w:widowControl w:val="0"/>
        <w:tabs>
          <w:tab w:val="left" w:pos="1418"/>
        </w:tabs>
        <w:rPr>
          <w:rFonts w:cs="Arial"/>
        </w:rPr>
      </w:pP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1" w:name="_Ref336587644"/>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27</w:t>
      </w:r>
      <w:r w:rsidR="00951FEC">
        <w:rPr>
          <w:b/>
        </w:rPr>
        <w:fldChar w:fldCharType="end"/>
      </w:r>
      <w:bookmarkEnd w:id="321"/>
    </w:p>
    <w:p w:rsidR="000A1474" w:rsidRPr="003A4B56" w:rsidRDefault="00254CE2" w:rsidP="00B51B51">
      <w:pPr>
        <w:widowControl w:val="0"/>
        <w:tabs>
          <w:tab w:val="left" w:pos="1418"/>
        </w:tabs>
        <w:jc w:val="center"/>
        <w:rPr>
          <w:rFonts w:cs="Arial"/>
        </w:rPr>
      </w:pPr>
      <w:r>
        <w:rPr>
          <w:noProof/>
          <w:lang w:val="es-CL" w:eastAsia="es-CL"/>
        </w:rPr>
        <w:drawing>
          <wp:inline distT="0" distB="0" distL="0" distR="0">
            <wp:extent cx="4688840" cy="215836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688840" cy="2158365"/>
                    </a:xfrm>
                    <a:prstGeom prst="rect">
                      <a:avLst/>
                    </a:prstGeom>
                    <a:noFill/>
                    <a:ln>
                      <a:noFill/>
                    </a:ln>
                  </pic:spPr>
                </pic:pic>
              </a:graphicData>
            </a:graphic>
          </wp:inline>
        </w:drawing>
      </w:r>
    </w:p>
    <w:p w:rsidR="000A1474" w:rsidRPr="003A4B56" w:rsidRDefault="000A1474" w:rsidP="00B51B51">
      <w:pPr>
        <w:widowControl w:val="0"/>
        <w:tabs>
          <w:tab w:val="left" w:pos="1418"/>
        </w:tabs>
        <w:jc w:val="center"/>
        <w:rPr>
          <w:rFonts w:cs="Arial"/>
          <w:sz w:val="20"/>
          <w:szCs w:val="20"/>
        </w:rPr>
      </w:pPr>
      <w:r w:rsidRPr="003A4B56">
        <w:rPr>
          <w:rFonts w:cs="Arial"/>
          <w:sz w:val="20"/>
          <w:szCs w:val="20"/>
        </w:rPr>
        <w:t>Fuente: Elaboración propia, en base a antecedentes de ODEPA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 este sentido, cabe señalar que los países que lideran el mercado internacional son México, Estados Unidos, Hungría, China, Chile, España y Turquía; el producto originario de China, en los últimos años, ha significado una fuerte competencia para el chileno, por cuanto se comercializa a bajos precios, aunque su calidad es inferior.</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Durante el año 2011 los envíos chilenos fueron colocados en casi 30% en México,  seguido por Argentina, Estados Unidos, Holanda, Uruguay y Japón, entre otros.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Cabe señalar que la participación de Chile en diferentes acuerdos comerciales ha sido positiva para las ventas de este producto al exterior, ya que los envíos a Canadá, México y Colombia no pagan arancel, y este tributo alcanza a sólo 0,5% en los países que conforman el MERCOSUR.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En los últimos acuerdos comerciales la situación del pimentón deshidratado es positiva, por cuanto consiguió desgravación total al momento de entrada en vigencia 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Corea y Estados Unidos; en China lo hizo el año 2009. Asimismo, en el producto fresco o refrigerado, el arancel es 0 en Estados Unidos y Corea, en tanto que en los países que conforma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disminuyó desde 7,4% a 0% en cuatro años, es decir, en 2008. En China, entra con arancel cero a partir de 2009.</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El pimentón fresco, por su parte, se destina principalmente al mercado interno, aunque, como se mencionó, una parte se exporta. En efecto, como se observa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_Ref336587676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5.28</w:t>
      </w:r>
      <w:r w:rsidRPr="003A4B56">
        <w:rPr>
          <w:rFonts w:cs="Arial"/>
        </w:rPr>
        <w:fldChar w:fldCharType="end"/>
      </w:r>
      <w:r w:rsidRPr="003A4B56">
        <w:rPr>
          <w:rFonts w:cs="Arial"/>
        </w:rPr>
        <w:t>, los envíos de esta hortaliza han sido más bien erráticos, tanto en vo</w:t>
      </w:r>
      <w:r w:rsidR="00922F03">
        <w:rPr>
          <w:rFonts w:cs="Arial"/>
        </w:rPr>
        <w:t>lumen como en valor, ya que los precios unitarios han fluctuado</w:t>
      </w:r>
      <w:r w:rsidRPr="003A4B56">
        <w:rPr>
          <w:rFonts w:cs="Arial"/>
        </w:rPr>
        <w:t xml:space="preserve"> entre US$0,43 y US$1,86 FOB por kilo. Desde el año 2002 las exportaciones han sido irrelevantes lo que sería atribuible a la desaparición de Argentina como demandante, país que tradicionalmente había abarcado más del 98% de los envíos chilenos. En 2011 los envíos se distribuyeron, fundamentalmente, entre Argentina y Reino Unido.</w:t>
      </w:r>
    </w:p>
    <w:p w:rsidR="000A1474" w:rsidRDefault="000A1474" w:rsidP="00B51B51">
      <w:pPr>
        <w:widowControl w:val="0"/>
        <w:tabs>
          <w:tab w:val="left" w:pos="1418"/>
        </w:tabs>
        <w:rPr>
          <w:rFonts w:cs="Arial"/>
        </w:rPr>
      </w:pPr>
    </w:p>
    <w:p w:rsidR="00B36772" w:rsidRPr="003A4B56" w:rsidRDefault="00B36772" w:rsidP="00B51B51">
      <w:pPr>
        <w:widowControl w:val="0"/>
        <w:tabs>
          <w:tab w:val="left" w:pos="1418"/>
        </w:tabs>
        <w:rPr>
          <w:rFonts w:cs="Arial"/>
        </w:rPr>
      </w:pPr>
      <w:r w:rsidRPr="003A4B56">
        <w:rPr>
          <w:rFonts w:cs="Arial"/>
        </w:rPr>
        <w:t xml:space="preserve">En el ámbito nacional, el pimentón se transa durante todo el año en los mercados mayoristas de Santiago, los valores más altos se registran entre los meses de agosto y noviembre, en tanto que los más bajos desde febrero a mayo, cuando tiene lugar una mayor disponibilidad del producto. </w:t>
      </w:r>
    </w:p>
    <w:p w:rsidR="001C71B3" w:rsidRDefault="001C71B3" w:rsidP="00B51B51">
      <w:pPr>
        <w:widowControl w:val="0"/>
        <w:tabs>
          <w:tab w:val="left" w:pos="1418"/>
        </w:tabs>
        <w:rPr>
          <w:rFonts w:cs="Arial"/>
        </w:rPr>
      </w:pPr>
    </w:p>
    <w:p w:rsidR="001C71B3" w:rsidRPr="003A4B56" w:rsidRDefault="001C71B3" w:rsidP="00B51B51">
      <w:pPr>
        <w:widowControl w:val="0"/>
        <w:tabs>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2" w:name="_Ref336587676"/>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28</w:t>
      </w:r>
      <w:r w:rsidR="00951FEC">
        <w:rPr>
          <w:b/>
        </w:rPr>
        <w:fldChar w:fldCharType="end"/>
      </w:r>
      <w:bookmarkEnd w:id="322"/>
    </w:p>
    <w:p w:rsidR="000A1474" w:rsidRPr="003A4B56" w:rsidRDefault="00254CE2" w:rsidP="00B51B51">
      <w:pPr>
        <w:widowControl w:val="0"/>
        <w:tabs>
          <w:tab w:val="left" w:pos="1418"/>
        </w:tabs>
        <w:jc w:val="center"/>
        <w:rPr>
          <w:rFonts w:cs="Arial"/>
        </w:rPr>
      </w:pPr>
      <w:r>
        <w:rPr>
          <w:noProof/>
          <w:lang w:val="es-CL" w:eastAsia="es-CL"/>
        </w:rPr>
        <w:drawing>
          <wp:inline distT="0" distB="0" distL="0" distR="0">
            <wp:extent cx="4773930" cy="2265045"/>
            <wp:effectExtent l="0" t="0" r="7620" b="190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73930" cy="2265045"/>
                    </a:xfrm>
                    <a:prstGeom prst="rect">
                      <a:avLst/>
                    </a:prstGeom>
                    <a:noFill/>
                    <a:ln>
                      <a:noFill/>
                    </a:ln>
                  </pic:spPr>
                </pic:pic>
              </a:graphicData>
            </a:graphic>
          </wp:inline>
        </w:drawing>
      </w:r>
    </w:p>
    <w:p w:rsidR="000A1474" w:rsidRPr="00B36772" w:rsidRDefault="000A1474" w:rsidP="00B51B51">
      <w:pPr>
        <w:widowControl w:val="0"/>
        <w:tabs>
          <w:tab w:val="left" w:pos="1418"/>
        </w:tabs>
        <w:jc w:val="center"/>
        <w:rPr>
          <w:rFonts w:cs="Arial"/>
          <w:sz w:val="20"/>
          <w:szCs w:val="20"/>
        </w:rPr>
      </w:pPr>
      <w:r w:rsidRPr="003A4B56">
        <w:rPr>
          <w:rFonts w:cs="Arial"/>
          <w:sz w:val="20"/>
          <w:szCs w:val="20"/>
        </w:rPr>
        <w:t>Fuente: Elaboración propia, en base a antecedentes de ODEPA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Entretanto, la comercialización del pimiento morrón, en  los mercados mayoristas de Santiago,  se concentra entre los meses de febrero y octubre, registrando los valores más altos septiembre y octubre, cuando tiene lugar los precios más altos del pimentón y existe una menor disponibilidad del producto.</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La evolución que experimente este cultivo en Chile estará estrechamente ligada a la demanda internacional por pimentón deshidratado. En la medida que los productores logren aumentar su eficiencia productiva y la agroindustria maximizar sus instalaciones, Chile podrá ser más competitivo en el contexto internacional. </w:t>
      </w:r>
    </w:p>
    <w:p w:rsidR="000A1474" w:rsidRPr="003A4B56" w:rsidRDefault="000A1474" w:rsidP="00B51B51">
      <w:pPr>
        <w:widowControl w:val="0"/>
        <w:tabs>
          <w:tab w:val="left" w:pos="1418"/>
        </w:tabs>
        <w:rPr>
          <w:rFonts w:cs="Arial"/>
        </w:rPr>
      </w:pPr>
    </w:p>
    <w:p w:rsidR="000A1474" w:rsidRPr="003A4B56" w:rsidRDefault="00A24E25" w:rsidP="00B51B51">
      <w:pPr>
        <w:widowControl w:val="0"/>
      </w:pPr>
      <w:r w:rsidRPr="003A4B56">
        <w:t>-</w:t>
      </w:r>
      <w:r w:rsidRPr="003A4B56">
        <w:tab/>
      </w:r>
      <w:r w:rsidR="000A1474" w:rsidRPr="003A4B56">
        <w:t>Poroto Granado</w:t>
      </w:r>
    </w:p>
    <w:p w:rsidR="000A1474" w:rsidRPr="003A4B56" w:rsidRDefault="000A1474" w:rsidP="00B51B51">
      <w:pPr>
        <w:widowControl w:val="0"/>
        <w:tabs>
          <w:tab w:val="left" w:pos="1418"/>
        </w:tabs>
        <w:rPr>
          <w:rFonts w:cs="Arial"/>
          <w:noProof/>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 acuerdo a información de INE, el poroto granado es una hortaliza que se cultiva desde </w:t>
      </w:r>
      <w:smartTag w:uri="urn:schemas-microsoft-com:office:smarttags" w:element="PersonName">
        <w:smartTagPr>
          <w:attr w:name="ProductID" w:val="la XV"/>
        </w:smartTagPr>
        <w:r w:rsidRPr="003A4B56">
          <w:rPr>
            <w:rFonts w:cs="Arial"/>
          </w:rPr>
          <w:t>la XV</w:t>
        </w:r>
      </w:smartTag>
      <w:r w:rsidRPr="003A4B56">
        <w:rPr>
          <w:rFonts w:cs="Arial"/>
        </w:rPr>
        <w:t xml:space="preserve"> a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pero se concentra fundamentalmente en </w:t>
      </w:r>
      <w:smartTag w:uri="urn:schemas-microsoft-com:office:smarttags" w:element="PersonName">
        <w:smartTagPr>
          <w:attr w:name="ProductID" w:val="la V Región"/>
        </w:smartTagPr>
        <w:r w:rsidRPr="003A4B56">
          <w:rPr>
            <w:rFonts w:cs="Arial"/>
          </w:rPr>
          <w:t>la V Región</w:t>
        </w:r>
      </w:smartTag>
      <w:r w:rsidRPr="003A4B56">
        <w:rPr>
          <w:rFonts w:cs="Arial"/>
        </w:rPr>
        <w:t xml:space="preserve"> y Área Metropolitana. Esta especie en 1996/97 abarcó una superficie del orden de </w:t>
      </w:r>
      <w:smartTag w:uri="urn:schemas-microsoft-com:office:smarttags" w:element="metricconverter">
        <w:smartTagPr>
          <w:attr w:name="ProductID" w:val="4.164,5 ha"/>
        </w:smartTagPr>
        <w:r w:rsidRPr="003A4B56">
          <w:rPr>
            <w:rFonts w:cs="Arial"/>
          </w:rPr>
          <w:t>4.164,5 ha</w:t>
        </w:r>
      </w:smartTag>
      <w:r w:rsidRPr="003A4B56">
        <w:rPr>
          <w:rFonts w:cs="Arial"/>
        </w:rPr>
        <w:t xml:space="preserve"> a nivel nacional, en tanto que en 2006/07 concentró </w:t>
      </w:r>
      <w:smartTag w:uri="urn:schemas-microsoft-com:office:smarttags" w:element="metricconverter">
        <w:smartTagPr>
          <w:attr w:name="ProductID" w:val="2.760,2 hectáreas"/>
        </w:smartTagPr>
        <w:r w:rsidRPr="003A4B56">
          <w:rPr>
            <w:rFonts w:cs="Arial"/>
          </w:rPr>
          <w:t>2.760,2 hectáreas</w:t>
        </w:r>
      </w:smartTag>
      <w:r w:rsidRPr="003A4B56">
        <w:rPr>
          <w:rFonts w:cs="Arial"/>
        </w:rPr>
        <w:t xml:space="preserve">, lo que revela una contracción del orden de 33%. En el último período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se cultivaron </w:t>
      </w:r>
      <w:smartTag w:uri="urn:schemas-microsoft-com:office:smarttags" w:element="metricconverter">
        <w:smartTagPr>
          <w:attr w:name="ProductID" w:val="252,6 ha"/>
        </w:smartTagPr>
        <w:r w:rsidRPr="003A4B56">
          <w:rPr>
            <w:rFonts w:cs="Arial"/>
          </w:rPr>
          <w:t>252,6 ha</w:t>
        </w:r>
      </w:smartTag>
      <w:r w:rsidRPr="003A4B56">
        <w:rPr>
          <w:rFonts w:cs="Arial"/>
        </w:rPr>
        <w:t>, es decir, tuvo una representatividad de 9%.</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Al interior de la región, cabe señalar que este cultivo se distribuye en 87,2% en la provincia de Cachapoal; 5,1% en Colchagua y el 7,7% restante en la provincia de Cardenal Caro.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 información de superficies corresponde a la contenida en el VI y VII Censo Nacional Agropecuario realizado por INE en las temporadas 1996/97 y 2006/07, respectivamente.</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En términos generales, es preciso señalar que durante la década de 1990 la superficie dedicada a este rubro había fluctuado entre </w:t>
      </w:r>
      <w:smartTag w:uri="urn:schemas-microsoft-com:office:smarttags" w:element="metricconverter">
        <w:smartTagPr>
          <w:attr w:name="ProductID" w:val="5.600 ha"/>
        </w:smartTagPr>
        <w:r w:rsidRPr="003A4B56">
          <w:rPr>
            <w:rFonts w:cs="Arial"/>
          </w:rPr>
          <w:t>5.600 ha</w:t>
        </w:r>
      </w:smartTag>
      <w:r w:rsidRPr="003A4B56">
        <w:rPr>
          <w:rFonts w:cs="Arial"/>
        </w:rPr>
        <w:t xml:space="preserve"> y </w:t>
      </w:r>
      <w:smartTag w:uri="urn:schemas-microsoft-com:office:smarttags" w:element="metricconverter">
        <w:smartTagPr>
          <w:attr w:name="ProductID" w:val="4.500 ha"/>
        </w:smartTagPr>
        <w:r w:rsidRPr="003A4B56">
          <w:rPr>
            <w:rFonts w:cs="Arial"/>
          </w:rPr>
          <w:t>4.500 ha</w:t>
        </w:r>
      </w:smartTag>
      <w:r w:rsidRPr="003A4B56">
        <w:rPr>
          <w:rFonts w:cs="Arial"/>
        </w:rPr>
        <w:t xml:space="preserve">, pero a partir de la temporada 1996/97 se manifestó una baja sostenida del área de cultivo, con una estabilización en torno a las </w:t>
      </w:r>
      <w:smartTag w:uri="urn:schemas-microsoft-com:office:smarttags" w:element="metricconverter">
        <w:smartTagPr>
          <w:attr w:name="ProductID" w:val="4.200 hectáreas"/>
        </w:smartTagPr>
        <w:r w:rsidRPr="003A4B56">
          <w:rPr>
            <w:rFonts w:cs="Arial"/>
          </w:rPr>
          <w:t>4.200 hectáreas</w:t>
        </w:r>
      </w:smartTag>
      <w:r w:rsidRPr="003A4B56">
        <w:rPr>
          <w:rFonts w:cs="Arial"/>
        </w:rPr>
        <w:t>, pero que posteriormente no superó las 3 mil has. La información de superficie de temporadas anteriores al año 1996, corresponde a ODEPA.</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Así, éstos han presentado variaciones cíclicas, de alzas y bajas, cada dos a tres años. Cabe destacar que las transacciones se inician en octubre y noviembre, con altos precios, y </w:t>
      </w:r>
      <w:r w:rsidRPr="003A4B56">
        <w:rPr>
          <w:rFonts w:cs="Arial"/>
        </w:rPr>
        <w:lastRenderedPageBreak/>
        <w:t>concluyen entre abril y mayo con los precios más bajos de la temporada, en algunas ocasiones en el último mes tiene lugar una ligera recuperación de las cotizaciones.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El producto congelado surge como una interesante alternativa para este rubro, ya que presenta ventajas culinarias respecto a la hortaliza en estado fresco y de la estacionalidad de su utilización. También existe la posibilidad de incrementar el valor de esta hortaliza, a través de la comercialización del producto desgranado, ya sea a granel o envasado, cumpliendo con las normas sanitarias pertinentes.</w:t>
      </w:r>
    </w:p>
    <w:p w:rsidR="000A1474" w:rsidRPr="003A4B56" w:rsidRDefault="000A1474" w:rsidP="00B51B51">
      <w:pPr>
        <w:widowControl w:val="0"/>
        <w:tabs>
          <w:tab w:val="left" w:pos="0"/>
          <w:tab w:val="left" w:pos="426"/>
          <w:tab w:val="left" w:pos="720"/>
        </w:tabs>
        <w:rPr>
          <w:rFonts w:cs="Arial"/>
        </w:rPr>
      </w:pPr>
    </w:p>
    <w:p w:rsidR="000A1474" w:rsidRPr="003A4B56" w:rsidRDefault="00A24E25" w:rsidP="00B51B51">
      <w:pPr>
        <w:widowControl w:val="0"/>
      </w:pPr>
      <w:r w:rsidRPr="003A4B56">
        <w:t>-</w:t>
      </w:r>
      <w:r w:rsidRPr="003A4B56">
        <w:tab/>
      </w:r>
      <w:r w:rsidR="000A1474" w:rsidRPr="003A4B56">
        <w:t>Sandía</w:t>
      </w:r>
    </w:p>
    <w:p w:rsidR="000A1474" w:rsidRPr="003A4B56" w:rsidRDefault="000A1474" w:rsidP="00B51B51">
      <w:pPr>
        <w:widowControl w:val="0"/>
        <w:tabs>
          <w:tab w:val="left" w:pos="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789"/>
          <w:tab w:val="left" w:pos="9072"/>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spacing w:line="240" w:lineRule="atLeast"/>
        <w:ind w:right="51"/>
        <w:rPr>
          <w:rFonts w:cs="Arial"/>
          <w:noProof/>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La sandía es una hortaliza de cultivo estacional, cuya superficie total en la última década ha oscilado entre </w:t>
      </w:r>
      <w:smartTag w:uri="urn:schemas-microsoft-com:office:smarttags" w:element="metricconverter">
        <w:smartTagPr>
          <w:attr w:name="ProductID" w:val="2.968 hectáreas"/>
        </w:smartTagPr>
        <w:r w:rsidRPr="003A4B56">
          <w:rPr>
            <w:rFonts w:cs="Arial"/>
          </w:rPr>
          <w:t>2.968 hectáreas</w:t>
        </w:r>
      </w:smartTag>
      <w:r w:rsidRPr="003A4B56">
        <w:rPr>
          <w:rFonts w:cs="Arial"/>
        </w:rPr>
        <w:t xml:space="preserve"> sembradas en el período 2006/07 y </w:t>
      </w:r>
      <w:smartTag w:uri="urn:schemas-microsoft-com:office:smarttags" w:element="metricconverter">
        <w:smartTagPr>
          <w:attr w:name="ProductID" w:val="5.395 ha"/>
        </w:smartTagPr>
        <w:r w:rsidRPr="003A4B56">
          <w:rPr>
            <w:rFonts w:cs="Arial"/>
          </w:rPr>
          <w:t>5.395 ha</w:t>
        </w:r>
      </w:smartTag>
      <w:r w:rsidRPr="003A4B56">
        <w:rPr>
          <w:rFonts w:cs="Arial"/>
        </w:rPr>
        <w:t xml:space="preserve"> constatadas en la temporada 1993/94. De acuerdo a los antecedentes proporcionados por el VII Censo Nacional Agropecuario, realizado por INE en 2007, el área dedicada a este cultivo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abarcó </w:t>
      </w:r>
      <w:smartTag w:uri="urn:schemas-microsoft-com:office:smarttags" w:element="metricconverter">
        <w:smartTagPr>
          <w:attr w:name="ProductID" w:val="1.232,9 hectáreas"/>
        </w:smartTagPr>
        <w:r w:rsidRPr="003A4B56">
          <w:rPr>
            <w:rFonts w:cs="Arial"/>
          </w:rPr>
          <w:t>1.232,9 hectáreas</w:t>
        </w:r>
      </w:smartTag>
      <w:r w:rsidRPr="003A4B56">
        <w:rPr>
          <w:rFonts w:cs="Arial"/>
        </w:rPr>
        <w:t>, equivalente al 41,5% del total nacional.</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Al interior de </w:t>
      </w:r>
      <w:smartTag w:uri="urn:schemas-microsoft-com:office:smarttags" w:element="PersonName">
        <w:smartTagPr>
          <w:attr w:name="ProductID" w:val="la Región"/>
        </w:smartTagPr>
        <w:r w:rsidRPr="003A4B56">
          <w:rPr>
            <w:rFonts w:cs="Arial"/>
          </w:rPr>
          <w:t>la Región</w:t>
        </w:r>
      </w:smartTag>
      <w:r w:rsidRPr="003A4B56">
        <w:rPr>
          <w:rFonts w:cs="Arial"/>
        </w:rPr>
        <w:t xml:space="preserve"> del Libertador Bernardo O´Higgins, esta especie se distribuye en 86,3% en la provincia de Cachapoal; 13,3% en Colchagua y, el 0,4% restante, en la correspondiente a Cardenal Caro.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Los canales normales de comercialización son las ventas directas en el predio a comerciantes intermediarios, la entrega directa a las cadenas de supermercados de los grandes centros consumidores y los mercados mayoristas regionales y de Santiago (Feria Lo Valledor, Feria Municipal de Mapocho, etc.).</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Los antecedentes históricos de precios permiten graficar la extrema estacionalidad del precio. En efecto, desde enero en adelante los precios son significativamente más bajos que los obtenidos a principios de la época de comercialización. Asimismo, los valores de este producto presentan fuertes variaciones anuales fenómeno asociado a la oferta disponible y a la época en que se inicie el período de comercialización.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Cabe señalar que la condición para obtener una buena rentabilidad y disminuir riesgos es la obtención de un producto "primor". Para sacar estas ventajas se requiere el uso de técnicas de cultivos más sofisticadas y variedades híbridas de alto costo. A ello se le puede agregar las condiciones agroclimáticas que en determinados sectores geográficos permiten una ventaja adicional.</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El buen resultado de este rubro dependerá, por una parte, de la obtención de altos rendimientos con costos de producción controlados y, por otra, del posicionamiento del producto en mercados ubicados más al sur, para evitar la competencia de la producción proveniente de la zona central del país. </w:t>
      </w:r>
    </w:p>
    <w:p w:rsidR="001C71B3" w:rsidRDefault="001C71B3" w:rsidP="00B51B51">
      <w:pPr>
        <w:widowControl w:val="0"/>
        <w:tabs>
          <w:tab w:val="left" w:pos="0"/>
          <w:tab w:val="left" w:pos="426"/>
          <w:tab w:val="left" w:pos="720"/>
        </w:tabs>
        <w:rPr>
          <w:rFonts w:cs="Arial"/>
        </w:rPr>
      </w:pPr>
    </w:p>
    <w:p w:rsidR="000A1474" w:rsidRPr="003A4B56" w:rsidRDefault="00A24E25" w:rsidP="00B51B51">
      <w:pPr>
        <w:widowControl w:val="0"/>
      </w:pPr>
      <w:r w:rsidRPr="003A4B56">
        <w:t>-</w:t>
      </w:r>
      <w:r w:rsidRPr="003A4B56">
        <w:tab/>
      </w:r>
      <w:r w:rsidR="000A1474" w:rsidRPr="003A4B56">
        <w:t>Tomate Consumo Fresco</w:t>
      </w:r>
    </w:p>
    <w:p w:rsidR="000A1474" w:rsidRPr="003A4B56" w:rsidRDefault="000A1474" w:rsidP="00B51B51">
      <w:pPr>
        <w:widowControl w:val="0"/>
        <w:tabs>
          <w:tab w:val="left" w:pos="1418"/>
        </w:tabs>
      </w:pPr>
    </w:p>
    <w:p w:rsidR="000A1474" w:rsidRPr="003A4B56" w:rsidRDefault="000A1474" w:rsidP="00B51B51">
      <w:pPr>
        <w:widowControl w:val="0"/>
        <w:rPr>
          <w:rFonts w:cs="Arial"/>
        </w:rPr>
      </w:pPr>
      <w:r w:rsidRPr="003A4B56">
        <w:rPr>
          <w:rFonts w:cs="Arial"/>
        </w:rPr>
        <w:t xml:space="preserve">El tomate es una de las hortalizas más importantes cultivadas en el país. Esta especie si bien se extiende desde </w:t>
      </w:r>
      <w:smartTag w:uri="urn:schemas-microsoft-com:office:smarttags" w:element="PersonName">
        <w:smartTagPr>
          <w:attr w:name="ProductID" w:val="la I"/>
        </w:smartTagPr>
        <w:r w:rsidRPr="003A4B56">
          <w:rPr>
            <w:rFonts w:cs="Arial"/>
          </w:rPr>
          <w:t>la I</w:t>
        </w:r>
      </w:smartTag>
      <w:r w:rsidRPr="003A4B56">
        <w:rPr>
          <w:rFonts w:cs="Arial"/>
        </w:rPr>
        <w:t xml:space="preserve"> a </w:t>
      </w:r>
      <w:smartTag w:uri="urn:schemas-microsoft-com:office:smarttags" w:element="PersonName">
        <w:smartTagPr>
          <w:attr w:name="ProductID" w:val="la XII Región"/>
        </w:smartTagPr>
        <w:r w:rsidRPr="003A4B56">
          <w:rPr>
            <w:rFonts w:cs="Arial"/>
          </w:rPr>
          <w:t>la XII Región</w:t>
        </w:r>
      </w:smartTag>
      <w:r w:rsidRPr="003A4B56">
        <w:rPr>
          <w:rFonts w:cs="Arial"/>
        </w:rPr>
        <w:t xml:space="preserve">, se concentra en forma importante entre </w:t>
      </w:r>
      <w:smartTag w:uri="urn:schemas-microsoft-com:office:smarttags" w:element="PersonName">
        <w:smartTagPr>
          <w:attr w:name="ProductID" w:val="la V"/>
        </w:smartTagPr>
        <w:r w:rsidRPr="003A4B56">
          <w:rPr>
            <w:rFonts w:cs="Arial"/>
          </w:rPr>
          <w:t>la V</w:t>
        </w:r>
      </w:smartTag>
      <w:r w:rsidRPr="003A4B56">
        <w:rPr>
          <w:rFonts w:cs="Arial"/>
        </w:rPr>
        <w:t xml:space="preserve"> y </w:t>
      </w:r>
      <w:smartTag w:uri="urn:schemas-microsoft-com:office:smarttags" w:element="PersonName">
        <w:smartTagPr>
          <w:attr w:name="ProductID" w:val="la VII Región."/>
        </w:smartTagPr>
        <w:r w:rsidRPr="003A4B56">
          <w:rPr>
            <w:rFonts w:cs="Arial"/>
          </w:rPr>
          <w:t>la VII Región.</w:t>
        </w:r>
      </w:smartTag>
      <w:r w:rsidRPr="003A4B56">
        <w:rPr>
          <w:rFonts w:cs="Arial"/>
        </w:rPr>
        <w:t xml:space="preserve"> </w:t>
      </w:r>
    </w:p>
    <w:p w:rsidR="000A1474" w:rsidRDefault="000A1474" w:rsidP="00B51B51">
      <w:pPr>
        <w:widowControl w:val="0"/>
        <w:rPr>
          <w:rFonts w:cs="Arial"/>
        </w:rPr>
      </w:pPr>
    </w:p>
    <w:p w:rsidR="00E362F8" w:rsidRPr="003A4B56" w:rsidRDefault="00E362F8" w:rsidP="00B51B51">
      <w:pPr>
        <w:widowControl w:val="0"/>
        <w:rPr>
          <w:rFonts w:cs="Arial"/>
        </w:rPr>
      </w:pPr>
    </w:p>
    <w:p w:rsidR="000A1474" w:rsidRPr="003A4B56" w:rsidRDefault="000A1474" w:rsidP="00B51B51">
      <w:pPr>
        <w:widowControl w:val="0"/>
        <w:rPr>
          <w:rFonts w:cs="Arial"/>
        </w:rPr>
      </w:pPr>
      <w:r w:rsidRPr="003A4B56">
        <w:rPr>
          <w:rFonts w:cs="Arial"/>
        </w:rPr>
        <w:lastRenderedPageBreak/>
        <w:t xml:space="preserve">En la temporada 2006/07 el tomate para consumo fresco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abarcó una superficie de </w:t>
      </w:r>
      <w:smartTag w:uri="urn:schemas-microsoft-com:office:smarttags" w:element="metricconverter">
        <w:smartTagPr>
          <w:attr w:name="ProductID" w:val="1.065,5 ha"/>
        </w:smartTagPr>
        <w:r w:rsidRPr="003A4B56">
          <w:rPr>
            <w:rFonts w:cs="Arial"/>
          </w:rPr>
          <w:t>1.065,5 ha</w:t>
        </w:r>
      </w:smartTag>
      <w:r w:rsidRPr="003A4B56">
        <w:rPr>
          <w:rFonts w:cs="Arial"/>
        </w:rPr>
        <w:t xml:space="preserve">, de las cuales el 8,2% se cultivó en invernadero. Del total regional el 89,9% se encontraba en la provincia de Cachapoal, el 9,2% en Colchagua y el 0,9% restante en Cardenal Caro. </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En general, el crecimiento experimentado por esta especie a nivel nacional ha sido consecuencia de las buenas perspectivas de exportación derivadas del cultivo de nuevas variedades aptas para ese propósito y, fundamentalmente, por la sostenida demanda interna que favorece a esta hortaliza durante todo el año.</w:t>
      </w:r>
    </w:p>
    <w:p w:rsidR="000A1474" w:rsidRPr="003A4B56" w:rsidRDefault="000A1474" w:rsidP="00B51B51">
      <w:pPr>
        <w:widowControl w:val="0"/>
        <w:tabs>
          <w:tab w:val="left" w:pos="426"/>
        </w:tabs>
        <w:rPr>
          <w:rFonts w:cs="Arial"/>
          <w:lang w:val="es-CL"/>
        </w:rPr>
      </w:pPr>
      <w:r w:rsidRPr="003A4B56">
        <w:rPr>
          <w:rFonts w:cs="Arial"/>
          <w:lang w:val="es-CL"/>
        </w:rPr>
        <w:t xml:space="preserve"> </w:t>
      </w:r>
    </w:p>
    <w:p w:rsidR="000A1474" w:rsidRPr="003A4B56" w:rsidRDefault="000A1474" w:rsidP="00B51B51">
      <w:pPr>
        <w:widowControl w:val="0"/>
        <w:rPr>
          <w:rFonts w:cs="Arial"/>
        </w:rPr>
      </w:pPr>
      <w:r w:rsidRPr="003A4B56">
        <w:rPr>
          <w:rFonts w:cs="Arial"/>
        </w:rPr>
        <w:t>Si bien los envíos al exterior de tomate fresco entre 1990 y 2011 han exhibido alzas y bajas, la tendencia hasta el año 1996 fue de una importante expansión, al pasar de 2.491 toneladas a un volumen de 5.304 toneladas. Posteriormente, los embarques descendieron hasta 1998 y luego éstos se recuperaron sostenidamente hasta registrar en el curso del año 2001 del orden de 6.530 toneladas equivalentes a casi US$3,8 millones FOB. A partir de ese año las exportaciones han sido marginales, experimentando en 2004 y 2010 una expansión, hasta situarse en torno a mil toneladas, pero que en 2011 experimentó un retroceso al exportarse del orden de 16 toneladas (</w:t>
      </w:r>
      <w:r w:rsidRPr="003A4B56">
        <w:rPr>
          <w:rFonts w:cs="Arial"/>
        </w:rPr>
        <w:fldChar w:fldCharType="begin"/>
      </w:r>
      <w:r w:rsidRPr="003A4B56">
        <w:rPr>
          <w:rFonts w:cs="Arial"/>
        </w:rPr>
        <w:instrText xml:space="preserve"> REF _Ref336588017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5.29</w:t>
      </w:r>
      <w:r w:rsidRPr="003A4B56">
        <w:rPr>
          <w:rFonts w:cs="Arial"/>
        </w:rPr>
        <w:fldChar w:fldCharType="end"/>
      </w:r>
      <w:r w:rsidRPr="003A4B56">
        <w:rPr>
          <w:rFonts w:cs="Arial"/>
        </w:rPr>
        <w:t>).</w:t>
      </w:r>
    </w:p>
    <w:p w:rsidR="000A1474" w:rsidRPr="003A4B56" w:rsidRDefault="000A1474" w:rsidP="00B51B51">
      <w:pPr>
        <w:widowControl w:val="0"/>
        <w:tabs>
          <w:tab w:val="left" w:pos="426"/>
        </w:tabs>
        <w:jc w:val="center"/>
        <w:rPr>
          <w:rFonts w:cs="Arial"/>
          <w:b/>
          <w:bCs/>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3" w:name="_Ref336588017"/>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29</w:t>
      </w:r>
      <w:r w:rsidR="00951FEC">
        <w:rPr>
          <w:b/>
        </w:rPr>
        <w:fldChar w:fldCharType="end"/>
      </w:r>
      <w:bookmarkEnd w:id="323"/>
    </w:p>
    <w:p w:rsidR="000A1474" w:rsidRPr="003A4B56" w:rsidRDefault="00254CE2" w:rsidP="00B51B51">
      <w:pPr>
        <w:widowControl w:val="0"/>
        <w:tabs>
          <w:tab w:val="left" w:pos="426"/>
        </w:tabs>
        <w:jc w:val="center"/>
        <w:rPr>
          <w:rFonts w:cs="Arial"/>
          <w:szCs w:val="22"/>
          <w:lang w:val="es-CL"/>
        </w:rPr>
      </w:pPr>
      <w:r>
        <w:rPr>
          <w:rFonts w:cs="Arial"/>
          <w:noProof/>
          <w:lang w:val="es-CL" w:eastAsia="es-CL"/>
        </w:rPr>
        <w:drawing>
          <wp:inline distT="0" distB="0" distL="0" distR="0">
            <wp:extent cx="4561205" cy="1903095"/>
            <wp:effectExtent l="0" t="0" r="0" b="1905"/>
            <wp:docPr id="13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61205" cy="190309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426"/>
        </w:tabs>
        <w:rPr>
          <w:rFonts w:cs="Arial"/>
          <w:szCs w:val="22"/>
        </w:rPr>
      </w:pPr>
    </w:p>
    <w:p w:rsidR="000A1474" w:rsidRPr="003A4B56" w:rsidRDefault="000A1474" w:rsidP="00B51B51">
      <w:pPr>
        <w:widowControl w:val="0"/>
        <w:rPr>
          <w:rFonts w:cs="Arial"/>
        </w:rPr>
      </w:pPr>
      <w:r w:rsidRPr="003A4B56">
        <w:rPr>
          <w:rFonts w:cs="Arial"/>
        </w:rPr>
        <w:t xml:space="preserve">Cabe destacar que tradicionalmente Argentina había liderado las colocaciones de tomates chilenos, pero estas transacciones se encuentran estrechamente ligadas al resultado de la producción interna de ese país y a sus problemas financieros. Durante el año 2003, Estados Unidos abarcó más del 55% de los envíos, seguido por México, Reino Unido y Japón, entre otros. En 2004, los envíos se ubicaron en más del 76% en el mercado argentino, seguido por Estados Unidos, Brasil, Japón y Reino Unido; en tanto que en 2005 además de Argentina y Estados Unidos, aparecen países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demandando el producto chileno, como España y Reino Unido. En 2011 los principales  puntos de colocación fueron  Reino Unido  y Argentina. </w:t>
      </w:r>
    </w:p>
    <w:p w:rsidR="000A1474" w:rsidRPr="003A4B56" w:rsidRDefault="000A1474" w:rsidP="00B51B51">
      <w:pPr>
        <w:widowControl w:val="0"/>
        <w:tabs>
          <w:tab w:val="left" w:pos="426"/>
        </w:tabs>
        <w:rPr>
          <w:rFonts w:cs="Arial"/>
        </w:rPr>
      </w:pPr>
    </w:p>
    <w:p w:rsidR="000A1474" w:rsidRDefault="000A1474" w:rsidP="00B51B51">
      <w:pPr>
        <w:widowControl w:val="0"/>
        <w:tabs>
          <w:tab w:val="left" w:pos="426"/>
        </w:tabs>
        <w:rPr>
          <w:rFonts w:cs="Arial"/>
        </w:rPr>
      </w:pPr>
      <w:r w:rsidRPr="003A4B56">
        <w:rPr>
          <w:rFonts w:cs="Arial"/>
        </w:rPr>
        <w:t xml:space="preserve">En este contexto, cabe destacar que la incorporación de Chile al MERCOSUR tendría efectos positivos en las exportaciones de este producto a ese bloque, por cuanto en las negociaciones los tomates fueron incluidos en las listas de productos sensibles especiales, aunque la desgravación arancelaria presenta diferencias entre los distintos países. </w:t>
      </w:r>
    </w:p>
    <w:p w:rsidR="00E362F8" w:rsidRPr="003A4B56" w:rsidRDefault="00E362F8" w:rsidP="00B51B51">
      <w:pPr>
        <w:widowControl w:val="0"/>
        <w:tabs>
          <w:tab w:val="left" w:pos="426"/>
        </w:tabs>
        <w:rPr>
          <w:rFonts w:cs="Arial"/>
        </w:rPr>
      </w:pPr>
    </w:p>
    <w:p w:rsidR="000A1474" w:rsidRPr="003A4B56" w:rsidRDefault="000A1474" w:rsidP="00B51B51">
      <w:pPr>
        <w:widowControl w:val="0"/>
        <w:tabs>
          <w:tab w:val="left" w:pos="426"/>
        </w:tabs>
        <w:rPr>
          <w:rFonts w:cs="Arial"/>
          <w:lang w:val="es-CL"/>
        </w:rPr>
      </w:pPr>
    </w:p>
    <w:p w:rsidR="000A1474" w:rsidRPr="003A4B56" w:rsidRDefault="000A1474" w:rsidP="00B51B51">
      <w:pPr>
        <w:widowControl w:val="0"/>
        <w:tabs>
          <w:tab w:val="left" w:pos="426"/>
        </w:tabs>
        <w:rPr>
          <w:rFonts w:cs="Arial"/>
        </w:rPr>
      </w:pPr>
      <w:r w:rsidRPr="003A4B56">
        <w:rPr>
          <w:rFonts w:cs="Arial"/>
        </w:rPr>
        <w:lastRenderedPageBreak/>
        <w:t xml:space="preserve">Así, el producto exportado a Argentina y Paraguay, entre 1997 y 1999, no tuvo preferencias arancelarias y por lo tanto debió pagar el arancel vigente de 10%; desde el año 2000 al 2005 el arancel disminuyó de acuerdo al calendario de preferencias acordadas, para quedar con arancel 0 en 2006. No obstante, desde el año 1997 Argentina concedió una preferencia de 33% a un cupo de 1.300 toneladas anuales, las que se distribuyen en 100 toneladas en mayo, 200 toneladas en junio, 400 toneladas en agosto y 300 toneladas en septiembre; la fecha de término del cupo es el 1/1/2000, cuando el programa de liberación del producto supera a la preferencia dentro del cupo.  En el caso de Brasil, las preferencias arancelarias son de 30% para los tres primeros años, éstas posteriormente se incrementan en un 10% anual, para llegar a 100% en el año 2006. </w:t>
      </w:r>
    </w:p>
    <w:p w:rsidR="000A1474" w:rsidRPr="003A4B56" w:rsidRDefault="000A1474" w:rsidP="00B51B51">
      <w:pPr>
        <w:widowControl w:val="0"/>
        <w:tabs>
          <w:tab w:val="left" w:pos="426"/>
        </w:tabs>
        <w:ind w:firstLine="708"/>
        <w:rPr>
          <w:rFonts w:cs="Arial"/>
        </w:rPr>
      </w:pPr>
    </w:p>
    <w:p w:rsidR="000A1474" w:rsidRPr="003A4B56" w:rsidRDefault="000A1474" w:rsidP="00B51B51">
      <w:pPr>
        <w:widowControl w:val="0"/>
        <w:tabs>
          <w:tab w:val="left" w:pos="426"/>
        </w:tabs>
        <w:rPr>
          <w:rFonts w:cs="Arial"/>
        </w:rPr>
      </w:pPr>
      <w:r w:rsidRPr="003A4B56">
        <w:rPr>
          <w:rFonts w:cs="Arial"/>
        </w:rPr>
        <w:t xml:space="preserve">En los acuerdos firmados con Bolivia, Ecuador y Perú, actualmente el tomate chileno no paga arancel al entrar a esos mercados. En los tratados de libre comercio más recientes, si bien el tomate chileno no pagará arancel de internación al año 10 en Corea (2014), en los otros la situación es más ventajosa. </w:t>
      </w:r>
    </w:p>
    <w:p w:rsidR="000A1474" w:rsidRPr="003A4B56" w:rsidRDefault="000A1474" w:rsidP="00B51B51">
      <w:pPr>
        <w:widowControl w:val="0"/>
        <w:tabs>
          <w:tab w:val="left" w:pos="426"/>
        </w:tabs>
        <w:rPr>
          <w:rFonts w:cs="Arial"/>
          <w:lang w:val="es-CL"/>
        </w:rPr>
      </w:pPr>
    </w:p>
    <w:p w:rsidR="000A1474" w:rsidRPr="003A4B56" w:rsidRDefault="000A1474" w:rsidP="00B51B51">
      <w:pPr>
        <w:widowControl w:val="0"/>
        <w:tabs>
          <w:tab w:val="left" w:pos="426"/>
        </w:tabs>
        <w:rPr>
          <w:rFonts w:cs="Arial"/>
        </w:rPr>
      </w:pPr>
      <w:r w:rsidRPr="003A4B56">
        <w:rPr>
          <w:rFonts w:cs="Arial"/>
        </w:rPr>
        <w:t xml:space="preserve">Así, los envíos a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antes del acuerdo pagaban un tributo de entrada de 8,8% y 14,4% según la fecha, y con ocasión del acuerdo los embarques que tengan lugar entre 1º de Noviembre y 14 de Mayo no gravan su entrada desde 2007 y, durante el resto del año, desde el 2010. En Estados Unidos, las internaciones de tomates chilenos, entre el 1º de Marzo y 14 de Noviembre, debían pagar entre </w:t>
      </w:r>
      <w:smartTag w:uri="urn:schemas-microsoft-com:office:smarttags" w:element="metricconverter">
        <w:smartTagPr>
          <w:attr w:name="ProductID" w:val="2,8 a"/>
        </w:smartTagPr>
        <w:r w:rsidRPr="003A4B56">
          <w:rPr>
            <w:rFonts w:cs="Arial"/>
          </w:rPr>
          <w:t>2,8 a</w:t>
        </w:r>
      </w:smartTag>
      <w:r w:rsidRPr="003A4B56">
        <w:rPr>
          <w:rFonts w:cs="Arial"/>
        </w:rPr>
        <w:t xml:space="preserve"> 3,9 centavos de dólar por kilo  y, el resto del año, 2,8 centavos de dólar por kilo; a partir de Enero de 2004 los envíos a dicho país no pagan arancel de internación entre el 15 de Noviembre y 28 de Febrero y, en el resto del año, lo harán a partir del año 8. En China, la desgravación total se llevó a cabo al año 2 de entrada en vigencia del acuerdo, es decir, en 2009; el arancel era de 12%.</w:t>
      </w:r>
    </w:p>
    <w:p w:rsidR="000A1474" w:rsidRPr="003A4B56" w:rsidRDefault="000A1474" w:rsidP="00B51B51">
      <w:pPr>
        <w:widowControl w:val="0"/>
        <w:tabs>
          <w:tab w:val="left" w:pos="426"/>
        </w:tabs>
        <w:ind w:firstLine="708"/>
        <w:rPr>
          <w:rFonts w:cs="Arial"/>
        </w:rPr>
      </w:pPr>
    </w:p>
    <w:p w:rsidR="000A1474" w:rsidRPr="003A4B56" w:rsidRDefault="000A1474" w:rsidP="00B51B51">
      <w:pPr>
        <w:widowControl w:val="0"/>
        <w:tabs>
          <w:tab w:val="left" w:pos="426"/>
        </w:tabs>
        <w:rPr>
          <w:rFonts w:cs="Arial"/>
        </w:rPr>
      </w:pPr>
      <w:r w:rsidRPr="003A4B56">
        <w:rPr>
          <w:rFonts w:cs="Arial"/>
        </w:rPr>
        <w:t xml:space="preserve">De lo anterior se desprende que tanto en </w:t>
      </w:r>
      <w:smartTag w:uri="urn:schemas-microsoft-com:office:smarttags" w:element="PersonName">
        <w:smartTagPr>
          <w:attr w:name="ProductID" w:val="la Unión Europea"/>
        </w:smartTagPr>
        <w:r w:rsidRPr="003A4B56">
          <w:rPr>
            <w:rFonts w:cs="Arial"/>
          </w:rPr>
          <w:t>la Unión Europea</w:t>
        </w:r>
      </w:smartTag>
      <w:r w:rsidR="00922F03">
        <w:rPr>
          <w:rFonts w:cs="Arial"/>
        </w:rPr>
        <w:t xml:space="preserve"> como en Estados Unidos y China</w:t>
      </w:r>
      <w:r w:rsidRPr="003A4B56">
        <w:rPr>
          <w:rFonts w:cs="Arial"/>
        </w:rPr>
        <w:t xml:space="preserve"> la situación es muy ventajosa para los envíos chilenos, por cuanto es en esa fecha donde se produce el grueso de la cosecha doméstica.</w:t>
      </w:r>
    </w:p>
    <w:p w:rsidR="000A1474" w:rsidRPr="003A4B56" w:rsidRDefault="000A1474" w:rsidP="00B51B51">
      <w:pPr>
        <w:widowControl w:val="0"/>
        <w:tabs>
          <w:tab w:val="left" w:pos="426"/>
        </w:tabs>
        <w:ind w:firstLine="708"/>
        <w:rPr>
          <w:rFonts w:cs="Arial"/>
        </w:rPr>
      </w:pPr>
    </w:p>
    <w:p w:rsidR="000A1474" w:rsidRPr="003A4B56" w:rsidRDefault="000A1474" w:rsidP="00B51B51">
      <w:pPr>
        <w:widowControl w:val="0"/>
        <w:tabs>
          <w:tab w:val="left" w:pos="426"/>
        </w:tabs>
        <w:rPr>
          <w:rFonts w:cs="Arial"/>
        </w:rPr>
      </w:pPr>
      <w:r w:rsidRPr="003A4B56">
        <w:rPr>
          <w:rFonts w:cs="Arial"/>
        </w:rPr>
        <w:t>En este contexto, se debe cabe señalar que Estados Unidos el 22/7/98 autorizó la importación de tomates desde Chile y otros países, en la medida que se cumplan ciertas exigencias, como la fumigación del producto en Chile con bromuro de metilo, el tratamiento y el embalaje se deben efectuar antes de que el producto cumpla 24 horas de cosechado y, finalmente, el SAG debe establecer un convenio de provisión o depósito de fondos con el APHIS para la temporada de envíos.</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De esta manera, resulta necesario identificar las ventanas en los mercados de exportación, en relación a precios y a la disponibilidad de los volúmenes locales. En efecto, la cosecha en Estados Unidos tiene lugar en mayor magnitud entre junio y octubre; las importaciones se realizan durante todo el año, pero los mayores volúmenes se concentran entre enero y mayo, lo que coincide con la oferta más importante de tomate chileno y los precios en el mercado doméstico son los más bajos.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Para lograr estos objetivos, es prioritario identificar variedades aptas para este propósito, desarrollar toda una tecnología de conservación y de postcosecha, con el propósito de lograr una adecuada condición de llegada.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Entretanto, en el ámbito nacional, el abastecimiento a los centros de comercialización ha tenido una evolución creciente y en la actualidad los canales más utilizados por los productores son </w:t>
      </w:r>
      <w:r w:rsidRPr="003A4B56">
        <w:rPr>
          <w:rFonts w:cs="Arial"/>
        </w:rPr>
        <w:lastRenderedPageBreak/>
        <w:t xml:space="preserve">los mercados mayoristas, especialmente de Santiago. Los supermercados, a su vez, están adquiriendo importancia a través de una relación directa con el productor. </w:t>
      </w:r>
    </w:p>
    <w:p w:rsidR="000A1474" w:rsidRPr="003A4B56" w:rsidRDefault="000A1474" w:rsidP="00B51B51">
      <w:pPr>
        <w:widowControl w:val="0"/>
        <w:tabs>
          <w:tab w:val="left" w:pos="426"/>
        </w:tabs>
        <w:ind w:firstLine="708"/>
        <w:rPr>
          <w:rFonts w:cs="Arial"/>
        </w:rPr>
      </w:pPr>
    </w:p>
    <w:p w:rsidR="000A1474" w:rsidRPr="003A4B56" w:rsidRDefault="000A1474" w:rsidP="00B51B51">
      <w:pPr>
        <w:widowControl w:val="0"/>
        <w:tabs>
          <w:tab w:val="left" w:pos="426"/>
        </w:tabs>
        <w:rPr>
          <w:rFonts w:cs="Arial"/>
        </w:rPr>
      </w:pPr>
      <w:r w:rsidRPr="003A4B56">
        <w:rPr>
          <w:rFonts w:cs="Arial"/>
        </w:rPr>
        <w:t>En este contexto, las perspectivas de este cultivo son promisorias, especialmente para aquellos agricultores que logren un producto sano y con altos rendimientos, situación que en la actualidad no es difícil de conseguir con la utilización de las modernas tecnologías de producción.</w:t>
      </w:r>
    </w:p>
    <w:p w:rsidR="000A1474" w:rsidRPr="003A4B56" w:rsidRDefault="000A1474" w:rsidP="00B51B51">
      <w:pPr>
        <w:pStyle w:val="Piedepgina"/>
        <w:widowControl w:val="0"/>
        <w:tabs>
          <w:tab w:val="clear" w:pos="4252"/>
          <w:tab w:val="clear" w:pos="8504"/>
          <w:tab w:val="left" w:pos="426"/>
        </w:tabs>
        <w:rPr>
          <w:rFonts w:cs="Arial"/>
        </w:rPr>
      </w:pPr>
    </w:p>
    <w:p w:rsidR="000A1474" w:rsidRPr="003A4B56" w:rsidRDefault="000A1474" w:rsidP="00B51B51">
      <w:pPr>
        <w:widowControl w:val="0"/>
        <w:rPr>
          <w:rFonts w:cs="Arial"/>
        </w:rPr>
      </w:pPr>
      <w:r w:rsidRPr="003A4B56">
        <w:rPr>
          <w:rFonts w:cs="Arial"/>
        </w:rPr>
        <w:t>En este rubro la alternativa más rentable para la zona del presente proyecto sería la producción de una cosecha con altos rendimientos y buena calidad que pueda transarse en época estival en regiones ubicadas más al sur donde este producto es escaso.</w:t>
      </w:r>
    </w:p>
    <w:p w:rsidR="000A1474" w:rsidRPr="003A4B56" w:rsidRDefault="000A1474" w:rsidP="00B51B51">
      <w:pPr>
        <w:pStyle w:val="Piedepgina"/>
        <w:widowControl w:val="0"/>
        <w:tabs>
          <w:tab w:val="clear" w:pos="4252"/>
          <w:tab w:val="clear" w:pos="8504"/>
          <w:tab w:val="left" w:pos="426"/>
        </w:tabs>
        <w:rPr>
          <w:rFonts w:cs="Arial"/>
          <w:szCs w:val="22"/>
        </w:rPr>
      </w:pPr>
    </w:p>
    <w:p w:rsidR="000A1474" w:rsidRPr="003A4B56" w:rsidRDefault="00A24E25" w:rsidP="00B51B51">
      <w:pPr>
        <w:widowControl w:val="0"/>
      </w:pPr>
      <w:r w:rsidRPr="003A4B56">
        <w:t>-</w:t>
      </w:r>
      <w:r w:rsidRPr="003A4B56">
        <w:tab/>
      </w:r>
      <w:r w:rsidR="000A1474" w:rsidRPr="003A4B56">
        <w:t>Tomate Industrial</w:t>
      </w:r>
    </w:p>
    <w:p w:rsidR="000A1474" w:rsidRPr="003A4B56" w:rsidRDefault="000A1474" w:rsidP="00B51B51">
      <w:pPr>
        <w:widowControl w:val="0"/>
        <w:tabs>
          <w:tab w:val="left" w:pos="0"/>
          <w:tab w:val="left" w:pos="720"/>
          <w:tab w:val="left" w:pos="851"/>
          <w:tab w:val="left" w:pos="8789"/>
        </w:tabs>
        <w:rPr>
          <w:rFonts w:cs="Arial"/>
          <w:noProof/>
          <w:szCs w:val="22"/>
        </w:rPr>
      </w:pPr>
    </w:p>
    <w:p w:rsidR="000A1474" w:rsidRPr="003A4B56" w:rsidRDefault="000A1474" w:rsidP="00B51B51">
      <w:pPr>
        <w:widowControl w:val="0"/>
        <w:tabs>
          <w:tab w:val="left" w:pos="426"/>
        </w:tabs>
        <w:rPr>
          <w:rFonts w:cs="Arial"/>
        </w:rPr>
      </w:pPr>
      <w:r w:rsidRPr="003A4B56">
        <w:rPr>
          <w:rFonts w:cs="Arial"/>
        </w:rPr>
        <w:t xml:space="preserve">En Chile el cultivo de tomate industrial se extiende desde </w:t>
      </w:r>
      <w:smartTag w:uri="urn:schemas-microsoft-com:office:smarttags" w:element="PersonName">
        <w:smartTagPr>
          <w:attr w:name="ProductID" w:val="la IV"/>
        </w:smartTagPr>
        <w:r w:rsidRPr="003A4B56">
          <w:rPr>
            <w:rFonts w:cs="Arial"/>
          </w:rPr>
          <w:t>la IV</w:t>
        </w:r>
      </w:smartTag>
      <w:r w:rsidRPr="003A4B56">
        <w:rPr>
          <w:rFonts w:cs="Arial"/>
        </w:rPr>
        <w:t xml:space="preserve"> a </w:t>
      </w:r>
      <w:smartTag w:uri="urn:schemas-microsoft-com:office:smarttags" w:element="PersonName">
        <w:smartTagPr>
          <w:attr w:name="ProductID" w:val="la VIII Región"/>
        </w:smartTagPr>
        <w:r w:rsidRPr="003A4B56">
          <w:rPr>
            <w:rFonts w:cs="Arial"/>
          </w:rPr>
          <w:t>la VIII Región</w:t>
        </w:r>
      </w:smartTag>
      <w:r w:rsidRPr="003A4B56">
        <w:rPr>
          <w:rFonts w:cs="Arial"/>
        </w:rPr>
        <w:t xml:space="preserve">, aunque se concentra en </w:t>
      </w:r>
      <w:smartTag w:uri="urn:schemas-microsoft-com:office:smarttags" w:element="PersonName">
        <w:smartTagPr>
          <w:attr w:name="ProductID" w:val="la VI"/>
        </w:smartTagPr>
        <w:r w:rsidRPr="003A4B56">
          <w:rPr>
            <w:rFonts w:cs="Arial"/>
          </w:rPr>
          <w:t>la VI</w:t>
        </w:r>
      </w:smartTag>
      <w:r w:rsidRPr="003A4B56">
        <w:rPr>
          <w:rFonts w:cs="Arial"/>
        </w:rPr>
        <w:t xml:space="preserve"> y VII Región. En la temporada 1996/97, de acuerdo al INE, esta especie abarcó un área de </w:t>
      </w:r>
      <w:smartTag w:uri="urn:schemas-microsoft-com:office:smarttags" w:element="metricconverter">
        <w:smartTagPr>
          <w:attr w:name="ProductID" w:val="10.241 hectáreas"/>
        </w:smartTagPr>
        <w:r w:rsidRPr="003A4B56">
          <w:rPr>
            <w:rFonts w:cs="Arial"/>
          </w:rPr>
          <w:t>10.241 hectáreas</w:t>
        </w:r>
      </w:smartTag>
      <w:r w:rsidRPr="003A4B56">
        <w:rPr>
          <w:rFonts w:cs="Arial"/>
        </w:rPr>
        <w:t xml:space="preserve">, constatándose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una superficie del orden de </w:t>
      </w:r>
      <w:smartTag w:uri="urn:schemas-microsoft-com:office:smarttags" w:element="metricconverter">
        <w:smartTagPr>
          <w:attr w:name="ProductID" w:val="3.387,9 hectáreas"/>
        </w:smartTagPr>
        <w:r w:rsidRPr="003A4B56">
          <w:rPr>
            <w:rFonts w:cs="Arial"/>
          </w:rPr>
          <w:t>3.387,9 hectáreas</w:t>
        </w:r>
      </w:smartTag>
      <w:r w:rsidRPr="003A4B56">
        <w:rPr>
          <w:rFonts w:cs="Arial"/>
        </w:rPr>
        <w:t xml:space="preserve">. Según la misma entidad, en la temporada 2006/07 el tomate industrial abarcó un área equivalente a 7.278 has, los que revela una caída de 28,9% entre ambos períodos.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en 2006/07 se cultivaron </w:t>
      </w:r>
      <w:smartTag w:uri="urn:schemas-microsoft-com:office:smarttags" w:element="metricconverter">
        <w:smartTagPr>
          <w:attr w:name="ProductID" w:val="2.630,4 ha"/>
        </w:smartTagPr>
        <w:r w:rsidRPr="003A4B56">
          <w:rPr>
            <w:rFonts w:cs="Arial"/>
          </w:rPr>
          <w:t>2.630,4 ha</w:t>
        </w:r>
      </w:smartTag>
      <w:r w:rsidRPr="003A4B56">
        <w:rPr>
          <w:rFonts w:cs="Arial"/>
        </w:rPr>
        <w:t xml:space="preserve">, monto que representa el 36,2% del total nacional.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w:t>
      </w:r>
      <w:smartTag w:uri="urn:schemas-microsoft-com:office:smarttags" w:element="PersonName">
        <w:smartTagPr>
          <w:attr w:name="ProductID" w:val="la Región"/>
        </w:smartTagPr>
        <w:r w:rsidRPr="003A4B56">
          <w:rPr>
            <w:rFonts w:cs="Arial"/>
          </w:rPr>
          <w:t>la Región</w:t>
        </w:r>
      </w:smartTag>
      <w:r w:rsidRPr="003A4B56">
        <w:rPr>
          <w:rFonts w:cs="Arial"/>
        </w:rPr>
        <w:t xml:space="preserve"> de Ber</w:t>
      </w:r>
      <w:r w:rsidR="00922F03">
        <w:rPr>
          <w:rFonts w:cs="Arial"/>
        </w:rPr>
        <w:t>nardo O´Higg</w:t>
      </w:r>
      <w:r w:rsidRPr="003A4B56">
        <w:rPr>
          <w:rFonts w:cs="Arial"/>
        </w:rPr>
        <w:t xml:space="preserve">ins el tomate industrial se distribuye en 56,7% en la provincia de Cachapoal y el 43,3% restante en Colchagua.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Cabe señalar que este tipo de tomate se cultiva en zonas cercanas a las plantas de procesamiento, las que se distribuyen principalmente desde </w:t>
      </w:r>
      <w:smartTag w:uri="urn:schemas-microsoft-com:office:smarttags" w:element="PersonName">
        <w:smartTagPr>
          <w:attr w:name="ProductID" w:val="la V"/>
        </w:smartTagPr>
        <w:r w:rsidRPr="003A4B56">
          <w:rPr>
            <w:rFonts w:cs="Arial"/>
          </w:rPr>
          <w:t>la V</w:t>
        </w:r>
      </w:smartTag>
      <w:r w:rsidRPr="003A4B56">
        <w:rPr>
          <w:rFonts w:cs="Arial"/>
        </w:rPr>
        <w:t xml:space="preserve"> a </w:t>
      </w:r>
      <w:smartTag w:uri="urn:schemas-microsoft-com:office:smarttags" w:element="PersonName">
        <w:smartTagPr>
          <w:attr w:name="ProductID" w:val="la VII Región."/>
        </w:smartTagPr>
        <w:r w:rsidRPr="003A4B56">
          <w:rPr>
            <w:rFonts w:cs="Arial"/>
          </w:rPr>
          <w:t>la VII Región.</w:t>
        </w:r>
      </w:smartTag>
      <w:r w:rsidRPr="003A4B56">
        <w:rPr>
          <w:rFonts w:cs="Arial"/>
        </w:rPr>
        <w:t xml:space="preserve"> Entre éstas se destacan Iansafrut, Malloa, Agrozzi, Nieto, Pentzke y Bozzolo, entre otras.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A nivel nacional, alrededor de unos 750 agricultores participan en la producción de este rubro y Chile se ha transformado en un oferente importante de productos derivados del tomate, tales como pastas, pulpas, conservas y deshidratados, liderando las exportaciones del hemisferio sur. No obstante, su participación a nivel mundial no supera el 4% de la producción total de tomate industrial.</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general, es interesante destacar que el crecimiento experimentado por esta especie ha sido consecuencia de las buenas perspectivas de exportación de los productos procesados. De hecho, la producción en la zona central del país obtiene muy buen color, lo que significa un mayor contenido de licopeno, pigmento que evitaría el cáncer gástrico y el de próstata. Este atributo está siendo utilizado en campañas de marketing en países como Japón.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Asimismo, la agroindustria ha adoptado tecnología de avanzada, la que es traspasada a los productores a través de asistencia técnica. Entre las acciones implementadas destaca la utilización de semilla híbrida de alto potencial, almácigos, insumos químicos y acciones para elevar la eficiencia productiva del agricultor. Las empresas establecen un contrato especificando la superficie a cultivar y el precio puesto en la planta.</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De esta manera las exportaciones chilenas de purés y jugos de tomate en el transcurso de la década de 1990 experimentaron un importante incremento, aunque al interior del período se han constatado alzas y bajas. En efecto,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_Ref336588170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5.30</w:t>
      </w:r>
      <w:r w:rsidRPr="003A4B56">
        <w:rPr>
          <w:rFonts w:cs="Arial"/>
        </w:rPr>
        <w:fldChar w:fldCharType="end"/>
      </w:r>
      <w:r w:rsidRPr="003A4B56">
        <w:rPr>
          <w:rFonts w:cs="Arial"/>
        </w:rPr>
        <w:t>, en 1990 los envíos</w:t>
      </w:r>
      <w:r w:rsidR="00922F03">
        <w:rPr>
          <w:rFonts w:cs="Arial"/>
        </w:rPr>
        <w:t xml:space="preserve"> </w:t>
      </w:r>
      <w:r w:rsidR="00922F03">
        <w:rPr>
          <w:rFonts w:cs="Arial"/>
        </w:rPr>
        <w:lastRenderedPageBreak/>
        <w:t>totalizaron 51.313 toneladas y</w:t>
      </w:r>
      <w:r w:rsidRPr="003A4B56">
        <w:rPr>
          <w:rFonts w:cs="Arial"/>
        </w:rPr>
        <w:t xml:space="preserve"> en 1999 se logró el mayor nivel de exportaciones, con 112 mil toneladas. </w:t>
      </w:r>
    </w:p>
    <w:p w:rsidR="000A1474" w:rsidRPr="003A4B56" w:rsidRDefault="000A1474" w:rsidP="00B51B51">
      <w:pPr>
        <w:widowControl w:val="0"/>
        <w:tabs>
          <w:tab w:val="left" w:pos="0"/>
          <w:tab w:val="left" w:pos="720"/>
          <w:tab w:val="left" w:pos="851"/>
          <w:tab w:val="left" w:pos="8789"/>
        </w:tabs>
        <w:ind w:right="49"/>
        <w:jc w:val="center"/>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4" w:name="_Ref336588170"/>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30</w:t>
      </w:r>
      <w:r w:rsidR="00951FEC">
        <w:rPr>
          <w:b/>
        </w:rPr>
        <w:fldChar w:fldCharType="end"/>
      </w:r>
      <w:bookmarkEnd w:id="324"/>
    </w:p>
    <w:p w:rsidR="000A1474" w:rsidRPr="003A4B56" w:rsidRDefault="00254CE2" w:rsidP="00B51B51">
      <w:pPr>
        <w:widowControl w:val="0"/>
        <w:tabs>
          <w:tab w:val="left" w:pos="720"/>
          <w:tab w:val="left" w:pos="851"/>
          <w:tab w:val="left" w:pos="8789"/>
        </w:tabs>
        <w:jc w:val="center"/>
        <w:rPr>
          <w:rFonts w:cs="Arial"/>
          <w:noProof/>
          <w:spacing w:val="-3"/>
        </w:rPr>
      </w:pPr>
      <w:r>
        <w:rPr>
          <w:noProof/>
          <w:lang w:val="es-CL" w:eastAsia="es-CL"/>
        </w:rPr>
        <w:drawing>
          <wp:inline distT="0" distB="0" distL="0" distR="0">
            <wp:extent cx="4880610" cy="2094865"/>
            <wp:effectExtent l="0" t="0" r="0" b="63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80610" cy="2094865"/>
                    </a:xfrm>
                    <a:prstGeom prst="rect">
                      <a:avLst/>
                    </a:prstGeom>
                    <a:noFill/>
                    <a:ln>
                      <a:noFill/>
                    </a:ln>
                  </pic:spPr>
                </pic:pic>
              </a:graphicData>
            </a:graphic>
          </wp:inline>
        </w:drawing>
      </w:r>
    </w:p>
    <w:p w:rsidR="000A1474" w:rsidRPr="003A4B56" w:rsidRDefault="000A1474" w:rsidP="00B51B51">
      <w:pPr>
        <w:widowControl w:val="0"/>
        <w:tabs>
          <w:tab w:val="left" w:pos="720"/>
          <w:tab w:val="left" w:pos="851"/>
          <w:tab w:val="left" w:pos="8789"/>
        </w:tabs>
        <w:jc w:val="center"/>
        <w:rPr>
          <w:rFonts w:cs="Arial"/>
          <w:noProof/>
          <w:sz w:val="20"/>
          <w:szCs w:val="20"/>
        </w:rPr>
      </w:pPr>
      <w:r w:rsidRPr="003A4B56">
        <w:rPr>
          <w:rFonts w:cs="Arial"/>
          <w:noProof/>
          <w:sz w:val="20"/>
          <w:szCs w:val="20"/>
        </w:rPr>
        <w:t>Fuente: Elaboración propia, en base a antecedentes de ODEPA</w:t>
      </w:r>
    </w:p>
    <w:p w:rsidR="000A1474" w:rsidRPr="003A4B56" w:rsidRDefault="000A1474" w:rsidP="00B51B51">
      <w:pPr>
        <w:widowControl w:val="0"/>
        <w:tabs>
          <w:tab w:val="left" w:pos="720"/>
          <w:tab w:val="left" w:pos="851"/>
          <w:tab w:val="left" w:pos="8789"/>
        </w:tabs>
        <w:rPr>
          <w:rFonts w:cs="Arial"/>
          <w:noProof/>
          <w:spacing w:val="-3"/>
          <w:szCs w:val="22"/>
          <w:lang w:val="es-CL"/>
        </w:rPr>
      </w:pPr>
    </w:p>
    <w:p w:rsidR="000A1474" w:rsidRPr="003A4B56" w:rsidRDefault="000A1474" w:rsidP="00B51B51">
      <w:pPr>
        <w:widowControl w:val="0"/>
        <w:tabs>
          <w:tab w:val="left" w:pos="426"/>
        </w:tabs>
        <w:rPr>
          <w:rFonts w:cs="Arial"/>
        </w:rPr>
      </w:pPr>
      <w:r w:rsidRPr="003A4B56">
        <w:rPr>
          <w:rFonts w:cs="Arial"/>
        </w:rPr>
        <w:t xml:space="preserve">Posteriormente la situación fue a la baja y desde 2009 éstos repuntaron, exportándose en 2011 del orden de 92 mil toneladas equivalentes a casi US$92 millones FOB. Las principales plazas de colocación de las ventas de purés y jugos de tomate estuvieron constituidas por Venezuela, Argentina, Japón, Colombia, Brasil, Uruguay, México y Ecuador, entre otros. En años anteriores Estados Unidos había adquirido importantes volúmenes del producto chileno. </w:t>
      </w:r>
    </w:p>
    <w:p w:rsidR="000A1474" w:rsidRPr="003A4B56" w:rsidRDefault="000A1474" w:rsidP="00B51B51">
      <w:pPr>
        <w:widowControl w:val="0"/>
        <w:tabs>
          <w:tab w:val="left" w:pos="720"/>
          <w:tab w:val="left" w:pos="851"/>
          <w:tab w:val="left" w:pos="8789"/>
        </w:tabs>
        <w:rPr>
          <w:rFonts w:cs="Arial"/>
          <w:noProof/>
          <w:spacing w:val="-3"/>
          <w:szCs w:val="22"/>
          <w:lang w:val="es-CL"/>
        </w:rPr>
      </w:pPr>
    </w:p>
    <w:p w:rsidR="000A1474" w:rsidRPr="003A4B56" w:rsidRDefault="000A1474" w:rsidP="00B51B51">
      <w:pPr>
        <w:widowControl w:val="0"/>
        <w:tabs>
          <w:tab w:val="left" w:pos="426"/>
        </w:tabs>
        <w:rPr>
          <w:rFonts w:cs="Arial"/>
        </w:rPr>
      </w:pPr>
      <w:r w:rsidRPr="003A4B56">
        <w:rPr>
          <w:rFonts w:cs="Arial"/>
        </w:rPr>
        <w:t xml:space="preserve">De acuerdo a la composición recién señalada, la incorporación de Chile al MERCOSUR fue positiva para el sector en análisis, ya que la pulpa de tomate en Brasil mantiene una preferencia arancelaria de 70% para un cupo de 35 mil toneladas; en el caso de Argentina se amplió la preferencia desde 20% a 70% para un cupo de 10 mil toneladas anuales. En dicho bloque comercial el arancel de importación se igualó a cero el año 2006.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En el acuerdo con Canadá este producto fue incluido en la lista de desgravación a siete años, por lo que la preferencia arancelaria alcanzó a 100% el año 2003, en tanto que en Perú lo hizo el año 2008. Actualmente los envíos chilenos de purés y jugos de tomate no pagan arancel de internación en Colombia, Ecuador, México y Venezuela. Por el contrario, en Bolivia continuarán cancelando un tributo de 10%.</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 xml:space="preserve">En los acuerdos comerciales más recientes la situación más ventajosa ocurre con Corea, ya que el arancel se igualó a cero al momento de entrada en vigencia del acuerdo, mientras que en China y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este tributo se igualó a cero en los años 5 (2009) y 7 (2010), respectivamente. En Estados Unidos se igualará a cero el año12, es decir, en 2016. </w:t>
      </w:r>
    </w:p>
    <w:p w:rsidR="000A1474" w:rsidRPr="003A4B56" w:rsidRDefault="000A1474" w:rsidP="00B51B51">
      <w:pPr>
        <w:widowControl w:val="0"/>
        <w:tabs>
          <w:tab w:val="left" w:pos="426"/>
        </w:tabs>
        <w:rPr>
          <w:rFonts w:cs="Arial"/>
        </w:rPr>
      </w:pPr>
    </w:p>
    <w:p w:rsidR="000A1474" w:rsidRPr="003A4B56" w:rsidRDefault="000A1474" w:rsidP="00B51B51">
      <w:pPr>
        <w:widowControl w:val="0"/>
        <w:tabs>
          <w:tab w:val="left" w:pos="426"/>
        </w:tabs>
        <w:rPr>
          <w:rFonts w:cs="Arial"/>
        </w:rPr>
      </w:pPr>
      <w:r w:rsidRPr="003A4B56">
        <w:rPr>
          <w:rFonts w:cs="Arial"/>
        </w:rPr>
        <w:t>En este contexto, las perspectivas para este cultivo son promisorias en la medida que se obtengan altos rendimientos y se aprovechen las ventajas climáticas y tecnológicas que posee Chile respecto de otros países competidores.</w:t>
      </w:r>
    </w:p>
    <w:p w:rsidR="000A1474" w:rsidRPr="003A4B56" w:rsidRDefault="000A1474" w:rsidP="00B51B51">
      <w:pPr>
        <w:widowControl w:val="0"/>
        <w:tabs>
          <w:tab w:val="left" w:pos="426"/>
        </w:tabs>
        <w:rPr>
          <w:rFonts w:cs="Arial"/>
        </w:rPr>
      </w:pPr>
    </w:p>
    <w:p w:rsidR="000A1474" w:rsidRPr="003A4B56" w:rsidRDefault="000A1474" w:rsidP="00E362F8">
      <w:pPr>
        <w:widowControl w:val="0"/>
        <w:tabs>
          <w:tab w:val="left" w:pos="426"/>
        </w:tabs>
        <w:rPr>
          <w:szCs w:val="22"/>
        </w:rPr>
      </w:pPr>
      <w:r w:rsidRPr="003A4B56">
        <w:t>No obstante, el resultado final estará en estrecha dependencia de la oferta de productos derivados de tomate en el hemisferio norte y de la consolidación de inversiones de empresas chilenas en países como Perú y Argentina, que a futuro será competencia para la producción nacional.</w:t>
      </w:r>
    </w:p>
    <w:p w:rsidR="000A1474" w:rsidRPr="003A4B56" w:rsidRDefault="00A24E25" w:rsidP="00B51B51">
      <w:pPr>
        <w:widowControl w:val="0"/>
      </w:pPr>
      <w:r w:rsidRPr="003A4B56">
        <w:lastRenderedPageBreak/>
        <w:t>-</w:t>
      </w:r>
      <w:r w:rsidRPr="003A4B56">
        <w:tab/>
      </w:r>
      <w:r w:rsidR="000A1474" w:rsidRPr="003A4B56">
        <w:t>Zapallo de Guarda</w:t>
      </w:r>
    </w:p>
    <w:p w:rsidR="000A1474" w:rsidRPr="003A4B56" w:rsidRDefault="000A1474" w:rsidP="00B51B51">
      <w:pPr>
        <w:widowControl w:val="0"/>
      </w:pPr>
    </w:p>
    <w:p w:rsidR="000A1474" w:rsidRPr="003A4B56" w:rsidRDefault="000A1474" w:rsidP="00B51B51">
      <w:pPr>
        <w:widowControl w:val="0"/>
        <w:rPr>
          <w:spacing w:val="-3"/>
          <w:lang w:val="es-CL"/>
        </w:rPr>
      </w:pPr>
      <w:r w:rsidRPr="003A4B56">
        <w:rPr>
          <w:spacing w:val="-3"/>
          <w:lang w:val="es-CL"/>
        </w:rPr>
        <w:t xml:space="preserve">El cultivo del zapallo en Chile se extiende desde </w:t>
      </w:r>
      <w:smartTag w:uri="urn:schemas-microsoft-com:office:smarttags" w:element="PersonName">
        <w:smartTagPr>
          <w:attr w:name="ProductID" w:val="la I"/>
        </w:smartTagPr>
        <w:r w:rsidRPr="003A4B56">
          <w:rPr>
            <w:spacing w:val="-3"/>
            <w:lang w:val="es-CL"/>
          </w:rPr>
          <w:t>la I</w:t>
        </w:r>
      </w:smartTag>
      <w:r w:rsidRPr="003A4B56">
        <w:rPr>
          <w:spacing w:val="-3"/>
          <w:lang w:val="es-CL"/>
        </w:rPr>
        <w:t xml:space="preserve"> a </w:t>
      </w:r>
      <w:smartTag w:uri="urn:schemas-microsoft-com:office:smarttags" w:element="PersonName">
        <w:smartTagPr>
          <w:attr w:name="ProductID" w:val="la X Región"/>
        </w:smartTagPr>
        <w:r w:rsidRPr="003A4B56">
          <w:rPr>
            <w:spacing w:val="-3"/>
            <w:lang w:val="es-CL"/>
          </w:rPr>
          <w:t>la X Región</w:t>
        </w:r>
      </w:smartTag>
      <w:r w:rsidRPr="003A4B56">
        <w:rPr>
          <w:spacing w:val="-3"/>
          <w:lang w:val="es-CL"/>
        </w:rPr>
        <w:t xml:space="preserve">, pero se concentra en más de un 90% desde el Área Metropolitana hasta </w:t>
      </w:r>
      <w:smartTag w:uri="urn:schemas-microsoft-com:office:smarttags" w:element="PersonName">
        <w:smartTagPr>
          <w:attr w:name="ProductID" w:val="la VII Región"/>
        </w:smartTagPr>
        <w:r w:rsidRPr="003A4B56">
          <w:rPr>
            <w:spacing w:val="-3"/>
            <w:lang w:val="es-CL"/>
          </w:rPr>
          <w:t>la VII Región</w:t>
        </w:r>
      </w:smartTag>
      <w:r w:rsidRPr="003A4B56">
        <w:rPr>
          <w:spacing w:val="-3"/>
          <w:lang w:val="es-CL"/>
        </w:rPr>
        <w:t xml:space="preserve">, siendo </w:t>
      </w:r>
      <w:smartTag w:uri="urn:schemas-microsoft-com:office:smarttags" w:element="PersonName">
        <w:smartTagPr>
          <w:attr w:name="ProductID" w:val="la Región Metropolitana"/>
        </w:smartTagPr>
        <w:r w:rsidRPr="003A4B56">
          <w:rPr>
            <w:spacing w:val="-3"/>
            <w:lang w:val="es-CL"/>
          </w:rPr>
          <w:t>la Región Metropolitana</w:t>
        </w:r>
      </w:smartTag>
      <w:r w:rsidRPr="003A4B56">
        <w:rPr>
          <w:spacing w:val="-3"/>
          <w:lang w:val="es-CL"/>
        </w:rPr>
        <w:t xml:space="preserve"> la más importante con alrededor del 60% de la superficie. Al</w:t>
      </w:r>
      <w:r w:rsidR="00922F03">
        <w:rPr>
          <w:spacing w:val="-3"/>
          <w:lang w:val="es-CL"/>
        </w:rPr>
        <w:t xml:space="preserve"> interior de </w:t>
      </w:r>
      <w:smartTag w:uri="urn:schemas-microsoft-com:office:smarttags" w:element="PersonName">
        <w:smartTagPr>
          <w:attr w:name="ProductID" w:val="la VI Región"/>
        </w:smartTagPr>
        <w:r w:rsidR="00922F03">
          <w:rPr>
            <w:spacing w:val="-3"/>
            <w:lang w:val="es-CL"/>
          </w:rPr>
          <w:t xml:space="preserve">la VI </w:t>
        </w:r>
        <w:r w:rsidRPr="003A4B56">
          <w:rPr>
            <w:spacing w:val="-3"/>
            <w:lang w:val="es-CL"/>
          </w:rPr>
          <w:t>Región</w:t>
        </w:r>
      </w:smartTag>
      <w:r w:rsidRPr="003A4B56">
        <w:rPr>
          <w:spacing w:val="-3"/>
          <w:lang w:val="es-CL"/>
        </w:rPr>
        <w:t xml:space="preserve"> esta especie se distribuye en 51,4% en Colchagua; 48,3% en Cachapoal y el 0,3% restante en la correspondiente a Cardenal Caro. </w:t>
      </w:r>
    </w:p>
    <w:p w:rsidR="000A1474" w:rsidRPr="003A4B56" w:rsidRDefault="000A1474" w:rsidP="00B51B51">
      <w:pPr>
        <w:widowControl w:val="0"/>
        <w:rPr>
          <w:spacing w:val="-3"/>
          <w:lang w:val="es-CL"/>
        </w:rPr>
      </w:pPr>
    </w:p>
    <w:p w:rsidR="000A1474" w:rsidRPr="003A4B56" w:rsidRDefault="000A1474" w:rsidP="00B51B51">
      <w:pPr>
        <w:widowControl w:val="0"/>
        <w:rPr>
          <w:spacing w:val="-3"/>
          <w:lang w:val="es-CL"/>
        </w:rPr>
      </w:pPr>
      <w:r w:rsidRPr="003A4B56">
        <w:rPr>
          <w:spacing w:val="-3"/>
          <w:lang w:val="es-CL"/>
        </w:rPr>
        <w:t xml:space="preserve">En la década de 1990 el área destinada a zapallo, a nivel nacional, mostró fuertes fluctuaciones, destacándose la mayor superficie en la temporada 1990/91 cuando se sembraron </w:t>
      </w:r>
      <w:smartTag w:uri="urn:schemas-microsoft-com:office:smarttags" w:element="metricconverter">
        <w:smartTagPr>
          <w:attr w:name="ProductID" w:val="7.196 hectáreas"/>
        </w:smartTagPr>
        <w:r w:rsidRPr="003A4B56">
          <w:rPr>
            <w:spacing w:val="-3"/>
            <w:lang w:val="es-CL"/>
          </w:rPr>
          <w:t>7.196 hectáreas</w:t>
        </w:r>
      </w:smartTag>
      <w:r w:rsidRPr="003A4B56">
        <w:rPr>
          <w:spacing w:val="-3"/>
          <w:lang w:val="es-CL"/>
        </w:rPr>
        <w:t xml:space="preserve"> y la menor en la temporada inmediatamente anterior a ella con </w:t>
      </w:r>
      <w:smartTag w:uri="urn:schemas-microsoft-com:office:smarttags" w:element="metricconverter">
        <w:smartTagPr>
          <w:attr w:name="ProductID" w:val="3.886 hectáreas"/>
        </w:smartTagPr>
        <w:r w:rsidRPr="003A4B56">
          <w:rPr>
            <w:spacing w:val="-3"/>
            <w:lang w:val="es-CL"/>
          </w:rPr>
          <w:t>3.886 hectáreas</w:t>
        </w:r>
      </w:smartTag>
      <w:r w:rsidRPr="003A4B56">
        <w:rPr>
          <w:spacing w:val="-3"/>
          <w:lang w:val="es-CL"/>
        </w:rPr>
        <w:t xml:space="preserve">. Posteriormente, la superficie fluctuó en torno a </w:t>
      </w:r>
      <w:smartTag w:uri="urn:schemas-microsoft-com:office:smarttags" w:element="metricconverter">
        <w:smartTagPr>
          <w:attr w:name="ProductID" w:val="4.500 hectáreas"/>
        </w:smartTagPr>
        <w:r w:rsidRPr="003A4B56">
          <w:rPr>
            <w:spacing w:val="-3"/>
            <w:lang w:val="es-CL"/>
          </w:rPr>
          <w:t>4.500 hectáreas</w:t>
        </w:r>
      </w:smartTag>
      <w:r w:rsidRPr="003A4B56">
        <w:rPr>
          <w:spacing w:val="-3"/>
          <w:lang w:val="es-CL"/>
        </w:rPr>
        <w:t xml:space="preserve">, pero  el INE a través del VII Censo Nacional Agropecuario, informó que en 2006/07 la superficie dedicada a este rubro alcanzó a </w:t>
      </w:r>
      <w:smartTag w:uri="urn:schemas-microsoft-com:office:smarttags" w:element="metricconverter">
        <w:smartTagPr>
          <w:attr w:name="ProductID" w:val="5.212,4 hectáreas"/>
        </w:smartTagPr>
        <w:r w:rsidRPr="003A4B56">
          <w:rPr>
            <w:spacing w:val="-3"/>
            <w:lang w:val="es-CL"/>
          </w:rPr>
          <w:t>5.212,4 hectáreas</w:t>
        </w:r>
      </w:smartTag>
      <w:r w:rsidRPr="003A4B56">
        <w:rPr>
          <w:spacing w:val="-3"/>
          <w:lang w:val="es-CL"/>
        </w:rPr>
        <w:t xml:space="preserve">, lo que revela una expansión en el área cultivada. </w:t>
      </w:r>
    </w:p>
    <w:p w:rsidR="000A1474" w:rsidRPr="003A4B56" w:rsidRDefault="000A1474" w:rsidP="00B51B51">
      <w:pPr>
        <w:widowControl w:val="0"/>
        <w:rPr>
          <w:spacing w:val="-3"/>
          <w:szCs w:val="22"/>
          <w:lang w:val="es-CL"/>
        </w:rPr>
      </w:pPr>
    </w:p>
    <w:p w:rsidR="000A1474" w:rsidRPr="003A4B56" w:rsidRDefault="000A1474" w:rsidP="00B51B51">
      <w:pPr>
        <w:widowControl w:val="0"/>
      </w:pPr>
      <w:r w:rsidRPr="003A4B56">
        <w:rPr>
          <w:spacing w:val="-3"/>
          <w:lang w:val="es-CL"/>
        </w:rPr>
        <w:t xml:space="preserve">El principal destino de la producción de zapallo es el consumo del producto fresco en el mercado interno, a través de los </w:t>
      </w:r>
      <w:r w:rsidRPr="003A4B56">
        <w:t>canales normales de comercialización caracterizados por la venta directa en el predio a comerciantes intermediarios, la  comercialización directa en las cadenas de supermercados de los grandes centros consumidores y los mercados mayoristas regionales y de Santiago (Feria Lo Valledor, Feria Municipal de Mapocho, etc.).</w:t>
      </w:r>
    </w:p>
    <w:p w:rsidR="000A1474" w:rsidRPr="003A4B56" w:rsidRDefault="000A1474" w:rsidP="00B51B51">
      <w:pPr>
        <w:widowControl w:val="0"/>
        <w:rPr>
          <w:spacing w:val="-3"/>
          <w:lang w:val="es-CL"/>
        </w:rPr>
      </w:pPr>
    </w:p>
    <w:p w:rsidR="000A1474" w:rsidRPr="003A4B56" w:rsidRDefault="000A1474" w:rsidP="00B51B51">
      <w:pPr>
        <w:widowControl w:val="0"/>
        <w:rPr>
          <w:spacing w:val="-3"/>
          <w:lang w:val="es-CL"/>
        </w:rPr>
      </w:pPr>
      <w:r w:rsidRPr="003A4B56">
        <w:rPr>
          <w:spacing w:val="-3"/>
          <w:lang w:val="es-CL"/>
        </w:rPr>
        <w:t xml:space="preserve">En este ámbito, cabe señalar que los precios del zapallo en los mercados mayoristas de Santiago presentan una marcada variación estacional, registrándose los valores más altos en octubre y noviembre cuando aparecen en el mercado los primeros zapallos de la temporada provenientes de la zona norte. Es así como en esos meses el precio promedio supera al anual en casi 100%, constatándose los valores más bajos entre febrero y abril cuando se comercializa el producto de la zona central del país. </w:t>
      </w:r>
    </w:p>
    <w:p w:rsidR="000A1474" w:rsidRPr="003A4B56" w:rsidRDefault="000A1474" w:rsidP="00B51B51">
      <w:pPr>
        <w:widowControl w:val="0"/>
        <w:rPr>
          <w:spacing w:val="-3"/>
          <w:lang w:val="es-CL"/>
        </w:rPr>
      </w:pPr>
    </w:p>
    <w:p w:rsidR="000A1474" w:rsidRPr="003A4B56" w:rsidRDefault="000A1474" w:rsidP="00B51B51">
      <w:pPr>
        <w:widowControl w:val="0"/>
        <w:rPr>
          <w:spacing w:val="-3"/>
          <w:lang w:val="es-CL"/>
        </w:rPr>
      </w:pPr>
      <w:r w:rsidRPr="003A4B56">
        <w:rPr>
          <w:spacing w:val="-3"/>
          <w:lang w:val="es-CL"/>
        </w:rPr>
        <w:t>De lo anterior se desprende que se trata de un producto con una alta fluctuación de precios, y una forma de estabilizar el mercado sería buscar otras alternativas de comercialización.</w:t>
      </w:r>
    </w:p>
    <w:p w:rsidR="000A1474" w:rsidRPr="003A4B56" w:rsidRDefault="000A1474" w:rsidP="00B51B51">
      <w:pPr>
        <w:widowControl w:val="0"/>
        <w:rPr>
          <w:spacing w:val="-3"/>
          <w:lang w:val="es-CL"/>
        </w:rPr>
      </w:pPr>
    </w:p>
    <w:p w:rsidR="000A1474" w:rsidRPr="003A4B56" w:rsidRDefault="000A1474" w:rsidP="00B51B51">
      <w:pPr>
        <w:widowControl w:val="0"/>
        <w:rPr>
          <w:spacing w:val="-3"/>
          <w:lang w:val="es-CL"/>
        </w:rPr>
      </w:pPr>
      <w:r w:rsidRPr="003A4B56">
        <w:rPr>
          <w:spacing w:val="-3"/>
          <w:lang w:val="es-CL"/>
        </w:rPr>
        <w:t xml:space="preserve">En este sentido, cabe señalar que otra alternativa que está emergiendo es la agroindustria, ya sea para el producto congelado combinado con otras hortalizas y el denominado “fresh cut”. En este último, el producto es lavado, pelado, trozado y envasado al vacío. Estas opciones son válidas para la zona central, ya que la producción de </w:t>
      </w:r>
      <w:smartTag w:uri="urn:schemas-microsoft-com:office:smarttags" w:element="PersonName">
        <w:smartTagPr>
          <w:attr w:name="ProductID" w:val="la IV"/>
        </w:smartTagPr>
        <w:r w:rsidRPr="003A4B56">
          <w:rPr>
            <w:spacing w:val="-3"/>
            <w:lang w:val="es-CL"/>
          </w:rPr>
          <w:t>la IV</w:t>
        </w:r>
      </w:smartTag>
      <w:r w:rsidRPr="003A4B56">
        <w:rPr>
          <w:spacing w:val="-3"/>
          <w:lang w:val="es-CL"/>
        </w:rPr>
        <w:t xml:space="preserve"> y V Región conviene comercializarla en estado fresco, debido a la ventaja de estacionalidad de producción.</w:t>
      </w:r>
    </w:p>
    <w:p w:rsidR="000A1474" w:rsidRDefault="000A1474" w:rsidP="00B51B51">
      <w:pPr>
        <w:widowControl w:val="0"/>
        <w:rPr>
          <w:spacing w:val="-3"/>
          <w:lang w:val="es-CL"/>
        </w:rPr>
      </w:pPr>
    </w:p>
    <w:p w:rsidR="000A1474" w:rsidRPr="003A4B56" w:rsidRDefault="000A1474" w:rsidP="00145762">
      <w:pPr>
        <w:widowControl w:val="0"/>
        <w:numPr>
          <w:ilvl w:val="0"/>
          <w:numId w:val="7"/>
        </w:numPr>
        <w:tabs>
          <w:tab w:val="clear" w:pos="720"/>
        </w:tabs>
        <w:ind w:hanging="720"/>
      </w:pPr>
      <w:r w:rsidRPr="003A4B56">
        <w:t>Frutales</w:t>
      </w:r>
    </w:p>
    <w:p w:rsidR="000A1474" w:rsidRPr="003A4B56" w:rsidRDefault="000A1474" w:rsidP="00B51B51">
      <w:pPr>
        <w:widowControl w:val="0"/>
        <w:tabs>
          <w:tab w:val="left" w:pos="1418"/>
        </w:tabs>
      </w:pPr>
    </w:p>
    <w:p w:rsidR="000A1474" w:rsidRPr="003A4B56" w:rsidRDefault="00A24E25" w:rsidP="00B51B51">
      <w:pPr>
        <w:widowControl w:val="0"/>
      </w:pPr>
      <w:r w:rsidRPr="003A4B56">
        <w:t>-</w:t>
      </w:r>
      <w:r w:rsidRPr="003A4B56">
        <w:tab/>
      </w:r>
      <w:r w:rsidR="00F36FC3" w:rsidRPr="003A4B56">
        <w:t>Almendro</w:t>
      </w:r>
    </w:p>
    <w:p w:rsidR="000A1474" w:rsidRPr="003A4B56" w:rsidRDefault="000A1474" w:rsidP="00B51B51">
      <w:pPr>
        <w:widowControl w:val="0"/>
        <w:tabs>
          <w:tab w:val="left" w:pos="0"/>
          <w:tab w:val="left" w:pos="720"/>
        </w:tabs>
        <w:rPr>
          <w:rFonts w:cs="Arial"/>
          <w:lang w:val="es-CL"/>
        </w:rPr>
      </w:pPr>
    </w:p>
    <w:p w:rsidR="000A1474" w:rsidRPr="003A4B56" w:rsidRDefault="000A1474" w:rsidP="00B51B51">
      <w:pPr>
        <w:widowControl w:val="0"/>
        <w:tabs>
          <w:tab w:val="left" w:pos="0"/>
          <w:tab w:val="left" w:pos="720"/>
        </w:tabs>
        <w:rPr>
          <w:rFonts w:cs="Arial"/>
        </w:rPr>
      </w:pPr>
      <w:r w:rsidRPr="003A4B56">
        <w:rPr>
          <w:rFonts w:cs="Arial"/>
        </w:rPr>
        <w:t xml:space="preserve">Las plantaciones de almendros en los últimos años han exhibido una significativa dinámica, evolución que entre principios de la década de 1990 y 1997 superó al 45%. Así, de acuerdo con la información proporcionada por el VI Censo Nacional Agropecuario realizado por INE en 1997, la superficie ocupada con esta especie alcanzaba a </w:t>
      </w:r>
      <w:smartTag w:uri="urn:schemas-microsoft-com:office:smarttags" w:element="metricconverter">
        <w:smartTagPr>
          <w:attr w:name="ProductID" w:val="5.752 hectáreas"/>
        </w:smartTagPr>
        <w:r w:rsidRPr="003A4B56">
          <w:rPr>
            <w:rFonts w:cs="Arial"/>
          </w:rPr>
          <w:t>5.752 hectáreas</w:t>
        </w:r>
      </w:smartTag>
      <w:r w:rsidRPr="003A4B56">
        <w:rPr>
          <w:rFonts w:cs="Arial"/>
        </w:rPr>
        <w:t xml:space="preserve">. Posteriormente, el área dedicada a esta especie continuó incrementándose y en el año 2004 alcanzó a </w:t>
      </w:r>
      <w:smartTag w:uri="urn:schemas-microsoft-com:office:smarttags" w:element="metricconverter">
        <w:smartTagPr>
          <w:attr w:name="ProductID" w:val="6.200 ha"/>
        </w:smartTagPr>
        <w:r w:rsidRPr="003A4B56">
          <w:rPr>
            <w:rFonts w:cs="Arial"/>
          </w:rPr>
          <w:t>6.200 ha</w:t>
        </w:r>
      </w:smartTag>
      <w:r w:rsidRPr="003A4B56">
        <w:rPr>
          <w:rFonts w:cs="Arial"/>
        </w:rPr>
        <w:t xml:space="preserve">.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La superficie informada por el VII Censo Nacional Agropecuario en </w:t>
      </w:r>
      <w:smartTag w:uri="urn:schemas-microsoft-com:office:smarttags" w:element="metricconverter">
        <w:smartTagPr>
          <w:attr w:name="ProductID" w:val="2007, a"/>
        </w:smartTagPr>
        <w:r w:rsidRPr="003A4B56">
          <w:rPr>
            <w:rFonts w:cs="Arial"/>
          </w:rPr>
          <w:t>2007, a</w:t>
        </w:r>
      </w:smartTag>
      <w:r w:rsidRPr="003A4B56">
        <w:rPr>
          <w:rFonts w:cs="Arial"/>
        </w:rPr>
        <w:t xml:space="preserve"> nivel nacional ocupada con almendros ascendía a </w:t>
      </w:r>
      <w:smartTag w:uri="urn:schemas-microsoft-com:office:smarttags" w:element="metricconverter">
        <w:smartTagPr>
          <w:attr w:name="ProductID" w:val="7.716,6 hectáreas"/>
        </w:smartTagPr>
        <w:r w:rsidRPr="003A4B56">
          <w:rPr>
            <w:rFonts w:cs="Arial"/>
          </w:rPr>
          <w:t>7.716,6 hectáreas</w:t>
        </w:r>
      </w:smartTag>
      <w:r w:rsidRPr="003A4B56">
        <w:rPr>
          <w:rFonts w:cs="Arial"/>
        </w:rPr>
        <w:t xml:space="preserve">, área 24,5% más elevada que la registrada en 2004. En 2007 el 28% se encontraba en formación y el 72% en producción. Cabe </w:t>
      </w:r>
      <w:r w:rsidRPr="003A4B56">
        <w:rPr>
          <w:rFonts w:cs="Arial"/>
        </w:rPr>
        <w:lastRenderedPageBreak/>
        <w:t xml:space="preserve">señalar que en 2007 se plantaron </w:t>
      </w:r>
      <w:smartTag w:uri="urn:schemas-microsoft-com:office:smarttags" w:element="metricconverter">
        <w:smartTagPr>
          <w:attr w:name="ProductID" w:val="1.334,7 hectáreas"/>
        </w:smartTagPr>
        <w:r w:rsidRPr="003A4B56">
          <w:rPr>
            <w:rFonts w:cs="Arial"/>
          </w:rPr>
          <w:t>1.334,7 hectáreas</w:t>
        </w:r>
      </w:smartTag>
      <w:r w:rsidRPr="003A4B56">
        <w:rPr>
          <w:rFonts w:cs="Arial"/>
        </w:rPr>
        <w:t>, equivalentes al 61,7% de las clasificadas como “en formación”.</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Este incremento de la superficie se ha constatado en todas las regiones donde se cultiva esta especie y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alcanzó a 32,8%, entre los años 1997 y 2007. Al interior de la región el almendro se distribuye en 85,2% en la provincia de Cachapoal; 7,4% en Cardenal Caro y el 7,3% restante en la correspondiente a Colchagua.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Asimismo, las exportaciones de almendras sin cáscara han experimentado un sostenido aumento en los últimos años, situación que se observa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_Ref336588246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5.31</w:t>
      </w:r>
      <w:r w:rsidRPr="003A4B56">
        <w:rPr>
          <w:rFonts w:cs="Arial"/>
        </w:rPr>
        <w:fldChar w:fldCharType="end"/>
      </w:r>
      <w:r w:rsidRPr="003A4B56">
        <w:rPr>
          <w:rFonts w:cs="Arial"/>
        </w:rPr>
        <w:t>, cuando entre 1990 y 2011 éstas se expandieron en casi 16 veces, al pasar desde 555 toneladas a 8.800 toneladas, montos equivalentes a US$2,1 millones y US$54,35 millones FOB, respectivamente.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Las principales plazas de colocación de este producto en el curso del año 2011 fueron Brasil, Argentina, México, Venezuela y Colombia, los que en conjunto adquirieron más del 82% de los envíos. Otros países demandantes fueron Emiratos Árabes, Ecuador, Italia, España, Alemania y Corea del Sur, entre otros.</w:t>
      </w:r>
    </w:p>
    <w:p w:rsidR="000A1474" w:rsidRPr="003A4B56" w:rsidRDefault="000A1474" w:rsidP="00B51B51">
      <w:pPr>
        <w:widowControl w:val="0"/>
        <w:tabs>
          <w:tab w:val="left" w:pos="0"/>
          <w:tab w:val="left" w:pos="720"/>
          <w:tab w:val="left" w:pos="851"/>
          <w:tab w:val="left" w:pos="8789"/>
        </w:tabs>
        <w:ind w:right="49"/>
        <w:jc w:val="center"/>
        <w:rPr>
          <w:rFonts w:cs="Arial"/>
          <w:b/>
          <w:bCs/>
          <w:noProof/>
          <w:spacing w:val="-3"/>
          <w:sz w:val="18"/>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5" w:name="_Ref336588246"/>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31</w:t>
      </w:r>
      <w:r w:rsidR="00951FEC">
        <w:rPr>
          <w:b/>
        </w:rPr>
        <w:fldChar w:fldCharType="end"/>
      </w:r>
      <w:bookmarkEnd w:id="325"/>
    </w:p>
    <w:p w:rsidR="000A1474" w:rsidRPr="003A4B56" w:rsidRDefault="00254CE2" w:rsidP="00B51B51">
      <w:pPr>
        <w:widowControl w:val="0"/>
        <w:tabs>
          <w:tab w:val="left" w:pos="0"/>
          <w:tab w:val="left" w:pos="720"/>
        </w:tabs>
        <w:jc w:val="center"/>
        <w:rPr>
          <w:rFonts w:cs="Arial"/>
        </w:rPr>
      </w:pPr>
      <w:r>
        <w:rPr>
          <w:noProof/>
          <w:lang w:val="es-CL" w:eastAsia="es-CL"/>
        </w:rPr>
        <w:drawing>
          <wp:inline distT="0" distB="0" distL="0" distR="0">
            <wp:extent cx="4667885" cy="215836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667885" cy="2158365"/>
                    </a:xfrm>
                    <a:prstGeom prst="rect">
                      <a:avLst/>
                    </a:prstGeom>
                    <a:noFill/>
                    <a:ln>
                      <a:noFill/>
                    </a:ln>
                  </pic:spPr>
                </pic:pic>
              </a:graphicData>
            </a:graphic>
          </wp:inline>
        </w:drawing>
      </w:r>
    </w:p>
    <w:p w:rsidR="000A1474" w:rsidRPr="003A4B56" w:rsidRDefault="000A1474" w:rsidP="00B51B51">
      <w:pPr>
        <w:widowControl w:val="0"/>
        <w:tabs>
          <w:tab w:val="left" w:pos="0"/>
          <w:tab w:val="left" w:pos="720"/>
        </w:tabs>
        <w:jc w:val="center"/>
        <w:rPr>
          <w:rFonts w:cs="Arial"/>
          <w:sz w:val="20"/>
          <w:szCs w:val="20"/>
          <w:lang w:val="es-CL"/>
        </w:rPr>
      </w:pPr>
      <w:r w:rsidRPr="003A4B56">
        <w:rPr>
          <w:rFonts w:cs="Arial"/>
          <w:sz w:val="20"/>
          <w:szCs w:val="20"/>
          <w:lang w:val="es-CL"/>
        </w:rPr>
        <w:t>Fuente: Elaboración propia, en base a antecedentes de ODEPA</w:t>
      </w:r>
    </w:p>
    <w:p w:rsidR="001C71B3" w:rsidRDefault="001C71B3"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Si bien las exportaciones de almendras con cáscara han sido más erráticas que las anteriores, la tendencia ha sido al alza,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_Ref336588312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5.32</w:t>
      </w:r>
      <w:r w:rsidRPr="003A4B56">
        <w:rPr>
          <w:rFonts w:cs="Arial"/>
        </w:rPr>
        <w:fldChar w:fldCharType="end"/>
      </w:r>
      <w:r w:rsidRPr="003A4B56">
        <w:rPr>
          <w:rFonts w:cs="Arial"/>
        </w:rPr>
        <w:t>. Hasta el año 1999 Brasil fue la principal plaza de colocación, a partir del 2000 India emerge como un importante demandante, situación que se estima se incrementará en los próximos años. En el año 2011, el principal destino de las ventas estuvo constituido por España, Emiratos Árabes, Vietnam, Italia y Estados Unidos, entre otros.</w:t>
      </w:r>
    </w:p>
    <w:p w:rsidR="000A1474" w:rsidRDefault="000A1474"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Pr="003A4B56" w:rsidRDefault="00E362F8"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6" w:name="_Ref336588312"/>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32</w:t>
      </w:r>
      <w:r w:rsidR="00951FEC">
        <w:rPr>
          <w:b/>
        </w:rPr>
        <w:fldChar w:fldCharType="end"/>
      </w:r>
      <w:bookmarkEnd w:id="326"/>
    </w:p>
    <w:p w:rsidR="000A1474" w:rsidRPr="003A4B56" w:rsidRDefault="00254CE2" w:rsidP="00B51B51">
      <w:pPr>
        <w:widowControl w:val="0"/>
        <w:tabs>
          <w:tab w:val="left" w:pos="0"/>
          <w:tab w:val="left" w:pos="720"/>
        </w:tabs>
        <w:jc w:val="center"/>
        <w:rPr>
          <w:rFonts w:cs="Arial"/>
          <w:sz w:val="20"/>
          <w:szCs w:val="20"/>
          <w:lang w:val="es-CL"/>
        </w:rPr>
      </w:pPr>
      <w:r>
        <w:rPr>
          <w:noProof/>
          <w:lang w:val="es-CL" w:eastAsia="es-CL"/>
        </w:rPr>
        <w:drawing>
          <wp:inline distT="0" distB="0" distL="0" distR="0">
            <wp:extent cx="4603750" cy="1892300"/>
            <wp:effectExtent l="0" t="0" r="635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603750" cy="1892300"/>
                    </a:xfrm>
                    <a:prstGeom prst="rect">
                      <a:avLst/>
                    </a:prstGeom>
                    <a:noFill/>
                    <a:ln>
                      <a:noFill/>
                    </a:ln>
                  </pic:spPr>
                </pic:pic>
              </a:graphicData>
            </a:graphic>
          </wp:inline>
        </w:drawing>
      </w:r>
    </w:p>
    <w:p w:rsidR="000A1474" w:rsidRPr="003A4B56" w:rsidRDefault="000A1474" w:rsidP="00B51B51">
      <w:pPr>
        <w:widowControl w:val="0"/>
        <w:tabs>
          <w:tab w:val="left" w:pos="0"/>
          <w:tab w:val="left" w:pos="720"/>
        </w:tabs>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tabs>
          <w:tab w:val="left" w:pos="0"/>
          <w:tab w:val="left" w:pos="720"/>
        </w:tabs>
        <w:ind w:firstLine="708"/>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Los diferentes acuerdos comerciales suscritos por Chile han sido beneficiosos para este producto, por cuanto en varios al momento de entrada en vigencia las exportaciones chilenas han dejado de pagar arancel de internación. Este es el caso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uno de los principales nichos de colocación en la actualidad, Colombia, Venezuela, Ecuador, Bolivia y Perú. En Corea dejaron de cancelar este tributo en el año 5, es decir, en 2009; en tanto que en Estados Unidos lo hacen desde el año 2008. En China, el arancel se igualará a cero en 2017. En Japón dejó de pagar arancel de internación al momento de entrada en vigencia el acuerdo.</w:t>
      </w:r>
    </w:p>
    <w:p w:rsidR="000A1474" w:rsidRPr="003A4B56" w:rsidRDefault="000A1474" w:rsidP="00B51B51">
      <w:pPr>
        <w:widowControl w:val="0"/>
        <w:tabs>
          <w:tab w:val="left" w:pos="0"/>
          <w:tab w:val="left" w:pos="720"/>
        </w:tabs>
        <w:ind w:firstLine="708"/>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este ámbito, se debe tener presente que Estados Unidos es el principal productor y exportador a nivel mundial y presenta ventajas comparativas respecto de Chile. No obstante, los envíos chilenos a los países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han mostrado un gran dinamismo en los últimos años, lo que se vio favorecido con la firma del tratado de libre comercio.</w:t>
      </w:r>
    </w:p>
    <w:p w:rsidR="000A1474" w:rsidRPr="003A4B56" w:rsidRDefault="000A1474" w:rsidP="00B51B51">
      <w:pPr>
        <w:widowControl w:val="0"/>
        <w:tabs>
          <w:tab w:val="left" w:pos="0"/>
          <w:tab w:val="left" w:pos="720"/>
        </w:tabs>
        <w:ind w:firstLine="708"/>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Se debe señalar que el almendro es una especie muy interesante cuando se desarrolla en condiciones climáticas adecuadas, ya que se trata de un frutal rentable que consume poca mano de obra y en condiciones de buen manejo y clima, el almendro es tan productivo como en California.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Los precios a productor, entretanto, han experimentado un aumento en los últimos años, como consecuencia del buen resultado de las exportaciones. De esta manera, agentes ligados al sector señalan precios que fluctúan entre US$4 y US$6 por kilo de semilla, lo que equivale a US$1 y US$1,5 por kilo de almendra con cáscara y pelón. Estos últimos valores son los que se consideran a productor en el mercado interno.</w:t>
      </w:r>
    </w:p>
    <w:p w:rsidR="000A1474" w:rsidRDefault="000A1474" w:rsidP="00B51B51">
      <w:pPr>
        <w:widowControl w:val="0"/>
        <w:tabs>
          <w:tab w:val="left" w:pos="0"/>
          <w:tab w:val="left" w:pos="720"/>
        </w:tabs>
        <w:rPr>
          <w:rFonts w:cs="Arial"/>
        </w:rPr>
      </w:pPr>
    </w:p>
    <w:p w:rsidR="000A1474" w:rsidRPr="003A4B56" w:rsidRDefault="00F36FC3" w:rsidP="00B51B51">
      <w:pPr>
        <w:widowControl w:val="0"/>
      </w:pPr>
      <w:r w:rsidRPr="003A4B56">
        <w:t>-</w:t>
      </w:r>
      <w:r w:rsidRPr="003A4B56">
        <w:tab/>
      </w:r>
      <w:r w:rsidR="000A1474" w:rsidRPr="003A4B56">
        <w:t>Arándano</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Chile, los primeros arándanos fueron introducidos en 1979 por el INIA con fines de investigación. Las plantaciones comerciales se iniciaron a partir de 1985 y en la temporada 1996/97 la superficie total alcanzaba a </w:t>
      </w:r>
      <w:smartTag w:uri="urn:schemas-microsoft-com:office:smarttags" w:element="metricconverter">
        <w:smartTagPr>
          <w:attr w:name="ProductID" w:val="1.172 ha"/>
        </w:smartTagPr>
        <w:r w:rsidRPr="003A4B56">
          <w:rPr>
            <w:rFonts w:cs="Arial"/>
          </w:rPr>
          <w:t>1.172 ha</w:t>
        </w:r>
      </w:smartTag>
      <w:r w:rsidRPr="003A4B56">
        <w:rPr>
          <w:rFonts w:cs="Arial"/>
        </w:rPr>
        <w:t xml:space="preserve">. En el año 2002, según cifras de ODEPA, la superficie nacional de arándanos sumaba </w:t>
      </w:r>
      <w:smartTag w:uri="urn:schemas-microsoft-com:office:smarttags" w:element="metricconverter">
        <w:smartTagPr>
          <w:attr w:name="ProductID" w:val="1.324 ha"/>
        </w:smartTagPr>
        <w:r w:rsidRPr="003A4B56">
          <w:rPr>
            <w:rFonts w:cs="Arial"/>
          </w:rPr>
          <w:t>1.324 ha</w:t>
        </w:r>
      </w:smartTag>
      <w:r w:rsidRPr="003A4B56">
        <w:rPr>
          <w:rFonts w:cs="Arial"/>
        </w:rPr>
        <w:t>, área casi 13% más elevada que la registrada en el período 1996/97.</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Entretanto, la superficie informada por el VII Censo Nacional Agropecuario en </w:t>
      </w:r>
      <w:smartTag w:uri="urn:schemas-microsoft-com:office:smarttags" w:element="metricconverter">
        <w:smartTagPr>
          <w:attr w:name="ProductID" w:val="2007, a"/>
        </w:smartTagPr>
        <w:r w:rsidRPr="003A4B56">
          <w:rPr>
            <w:rFonts w:cs="Arial"/>
          </w:rPr>
          <w:t>2007, a</w:t>
        </w:r>
      </w:smartTag>
      <w:r w:rsidRPr="003A4B56">
        <w:rPr>
          <w:rFonts w:cs="Arial"/>
        </w:rPr>
        <w:t xml:space="preserve"> nivel nacional ocupada con arándanos ascendía a </w:t>
      </w:r>
      <w:smartTag w:uri="urn:schemas-microsoft-com:office:smarttags" w:element="metricconverter">
        <w:smartTagPr>
          <w:attr w:name="ProductID" w:val="10.762,7 hectáreas"/>
        </w:smartTagPr>
        <w:r w:rsidRPr="003A4B56">
          <w:rPr>
            <w:rFonts w:cs="Arial"/>
          </w:rPr>
          <w:t>10.762,7 hectáreas</w:t>
        </w:r>
      </w:smartTag>
      <w:r w:rsidRPr="003A4B56">
        <w:rPr>
          <w:rFonts w:cs="Arial"/>
        </w:rPr>
        <w:t xml:space="preserve">, área ocho veces más elevada </w:t>
      </w:r>
      <w:r w:rsidRPr="003A4B56">
        <w:rPr>
          <w:rFonts w:cs="Arial"/>
        </w:rPr>
        <w:lastRenderedPageBreak/>
        <w:t xml:space="preserve">que la registrada en 2002. En 2007 el 55,7% se encontraba en formación y el 44,3% en producción. Cabe señalar que en 2007 se plantaron </w:t>
      </w:r>
      <w:smartTag w:uri="urn:schemas-microsoft-com:office:smarttags" w:element="metricconverter">
        <w:smartTagPr>
          <w:attr w:name="ProductID" w:val="4.333 hectáreas"/>
        </w:smartTagPr>
        <w:r w:rsidRPr="003A4B56">
          <w:rPr>
            <w:rFonts w:cs="Arial"/>
          </w:rPr>
          <w:t>4.333 hectáreas</w:t>
        </w:r>
      </w:smartTag>
      <w:r w:rsidRPr="003A4B56">
        <w:rPr>
          <w:rFonts w:cs="Arial"/>
        </w:rPr>
        <w:t>, equivalentes al 70,6% de las clasificadas como “en formación”.</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Este incremento de la superficie se ha constatado en todas las regiones donde se cultiva esta especie y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alcanzó a 36 veces, entre los años 1997 y 2007, al pasar de </w:t>
      </w:r>
      <w:smartTag w:uri="urn:schemas-microsoft-com:office:smarttags" w:element="metricconverter">
        <w:smartTagPr>
          <w:attr w:name="ProductID" w:val="25,5 ha"/>
        </w:smartTagPr>
        <w:r w:rsidRPr="003A4B56">
          <w:rPr>
            <w:rFonts w:cs="Arial"/>
          </w:rPr>
          <w:t>25,5 ha</w:t>
        </w:r>
      </w:smartTag>
      <w:r w:rsidRPr="003A4B56">
        <w:rPr>
          <w:rFonts w:cs="Arial"/>
        </w:rPr>
        <w:t xml:space="preserve"> a </w:t>
      </w:r>
      <w:smartTag w:uri="urn:schemas-microsoft-com:office:smarttags" w:element="metricconverter">
        <w:smartTagPr>
          <w:attr w:name="ProductID" w:val="929,3 hectáreas"/>
        </w:smartTagPr>
        <w:r w:rsidRPr="003A4B56">
          <w:rPr>
            <w:rFonts w:cs="Arial"/>
          </w:rPr>
          <w:t>929,3 hectáreas</w:t>
        </w:r>
      </w:smartTag>
      <w:r w:rsidRPr="003A4B56">
        <w:rPr>
          <w:rFonts w:cs="Arial"/>
        </w:rPr>
        <w:t>. Al interior de la región el arándano se distribuye en 44% en la provincia de Cachapoal; 49,6% en Colchagua y el 6,4% restante en Cardenal Caro.</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Las características climáticas de la zona sur (VII a X Región) permitieron un exitoso establecimiento de esta especie, que se convirtió en una excelente alternativa agrícola para usar suelos comúnmente ocupados con cultivos extensivos. En los últimos años esta expansión se ha constatado desde </w:t>
      </w:r>
      <w:smartTag w:uri="urn:schemas-microsoft-com:office:smarttags" w:element="PersonName">
        <w:smartTagPr>
          <w:attr w:name="ProductID" w:val="la V Región"/>
        </w:smartTagPr>
        <w:r w:rsidRPr="003A4B56">
          <w:rPr>
            <w:rFonts w:cs="Arial"/>
          </w:rPr>
          <w:t>la V Región</w:t>
        </w:r>
      </w:smartTag>
      <w:r w:rsidRPr="003A4B56">
        <w:rPr>
          <w:rFonts w:cs="Arial"/>
        </w:rPr>
        <w:t xml:space="preserve"> al sur.</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Cabe destacar que las exportaciones de esta fruta, entre 1990 y 2011, experimentaron un importante crecimiento, al pasar de </w:t>
      </w:r>
      <w:smartTag w:uri="urn:schemas-microsoft-com:office:smarttags" w:element="metricconverter">
        <w:smartTagPr>
          <w:attr w:name="ProductID" w:val="33 a"/>
        </w:smartTagPr>
        <w:r w:rsidRPr="003A4B56">
          <w:rPr>
            <w:rFonts w:cs="Arial"/>
          </w:rPr>
          <w:t>33 a</w:t>
        </w:r>
      </w:smartTag>
      <w:r w:rsidRPr="003A4B56">
        <w:rPr>
          <w:rFonts w:cs="Arial"/>
        </w:rPr>
        <w:t xml:space="preserve"> casi 74 mil toneladas, éstas últimas equivalentes a aproximadamente US$342 millones FOB, lo que explica la marcada tendencia alcista registrada por estos envíos (</w:t>
      </w:r>
      <w:r w:rsidRPr="003A4B56">
        <w:rPr>
          <w:rFonts w:cs="Arial"/>
        </w:rPr>
        <w:fldChar w:fldCharType="begin"/>
      </w:r>
      <w:r w:rsidRPr="003A4B56">
        <w:rPr>
          <w:rFonts w:cs="Arial"/>
        </w:rPr>
        <w:instrText xml:space="preserve"> REF _Ref336588362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5.33</w:t>
      </w:r>
      <w:r w:rsidRPr="003A4B56">
        <w:rPr>
          <w:rFonts w:cs="Arial"/>
        </w:rPr>
        <w:fldChar w:fldCharType="end"/>
      </w:r>
      <w:r w:rsidRPr="003A4B56">
        <w:rPr>
          <w:rFonts w:cs="Arial"/>
        </w:rPr>
        <w:t xml:space="preserve">).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El destino de estos embarques en 2011 estuvo constituido principalmente por Estados Unidos, país que absorbió más del 82% de los envíos. Otras plazas de colocación fueron Holanda, Reino Unido, Japón, H</w:t>
      </w:r>
      <w:r w:rsidR="006C2722">
        <w:rPr>
          <w:rFonts w:cs="Arial"/>
        </w:rPr>
        <w:t xml:space="preserve">ong Kong, China, Taiwán </w:t>
      </w:r>
      <w:r w:rsidRPr="003A4B56">
        <w:rPr>
          <w:rFonts w:cs="Arial"/>
        </w:rPr>
        <w:t>y Canadá, entre otros.</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7" w:name="_Ref336588362"/>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33</w:t>
      </w:r>
      <w:r w:rsidR="00951FEC">
        <w:rPr>
          <w:b/>
        </w:rPr>
        <w:fldChar w:fldCharType="end"/>
      </w:r>
      <w:bookmarkEnd w:id="327"/>
    </w:p>
    <w:p w:rsidR="000A1474" w:rsidRPr="003A4B56" w:rsidRDefault="00254CE2" w:rsidP="00B51B51">
      <w:pPr>
        <w:widowControl w:val="0"/>
        <w:tabs>
          <w:tab w:val="left" w:pos="-720"/>
          <w:tab w:val="left" w:pos="0"/>
          <w:tab w:val="left" w:pos="426"/>
          <w:tab w:val="left" w:pos="720"/>
          <w:tab w:val="left" w:pos="851"/>
          <w:tab w:val="left" w:pos="1440"/>
          <w:tab w:val="left" w:pos="8789"/>
        </w:tabs>
        <w:jc w:val="center"/>
        <w:rPr>
          <w:rFonts w:cs="Arial"/>
          <w:noProof/>
          <w:spacing w:val="-3"/>
          <w:szCs w:val="22"/>
        </w:rPr>
      </w:pPr>
      <w:r>
        <w:rPr>
          <w:rFonts w:cs="Arial"/>
          <w:noProof/>
          <w:lang w:val="es-CL" w:eastAsia="es-CL"/>
        </w:rPr>
        <w:drawing>
          <wp:inline distT="0" distB="0" distL="0" distR="0">
            <wp:extent cx="4625340" cy="2126615"/>
            <wp:effectExtent l="0" t="0" r="3810" b="6985"/>
            <wp:docPr id="13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25340" cy="212661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Esta fruta registra elevados precios unitarios por lo que sus demandantes y potenciales compradores, por el momento, deben ser países solventes y dispuestos a pagar esos valores. Cabe destacar que en la última temporada tuvo lugar un descenso en los retornos chilenos, lo que sería atribuible tanto a la expansión de las exportaciones desde nuestro país como a la coincidencia del arándano chileno con el argentino en el mercado estadounidense.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Es probable que Estados Unidos continúe siendo el comprador más importante de arándano chileno, puesto que la demanda es mayor a la oferta, no se pagan aranceles u otro tipo de gravámenes y las restricciones de calidad, fitosanitarias y de residuos de pesticidas, son relativamente fáciles de cumplir.</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lastRenderedPageBreak/>
        <w:t xml:space="preserve">En este contexto, es preciso señalar que esta fruta no paga arancel de entrada en Canadá, México y los países que conforman el MERCOSUR; en tanto que en Japón debían cancelar un impuesto del orden de 7,3%, pero con ocasión del acuerdo este tributo es cero desde su entrada en vigencia.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El bajo porcentaje embarcado a Europa se debe al alto costo del flete, lo que en definitiva se traduce en un encarecimiento del producto. No obstante, también se evidencia una demanda creciente, que se visualiza en el notable aumento de los volúmenes importados por países como España, Francia, Reino Unido, Suiza y Alemania. Antes del tratado de libre comercio con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el arándano chileno debía pagar un arancel de internación de 3,2%, con ocasión del acuerdo este producto quedó en lista de liberación inmediata y actualmente no paga este tributo.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el tratado suscrito con Corea, la entrada de esta fruta concluirá su desgravación arancelaria en el año 10, es decir, en 2014. No obstante, desde el 1º de abril de 2004, entrada en vigencia del acuerdo, el tributo disminuirá en 9,1%. En China desde un arancel de 30%, éste disminuirá a cero al año 10 de vigencia del acuerdo.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este contexto, se debe destacar los envíos de arándanos chilenos también se realizan por vía marítima, lo que permite reducir el costo de flete y, por lo tanto, ser más competitivos en el ámbito internacional. Esto, unido a la rebaja arancelaria y a que Chile es un productor de contraestación respecto de sus principales </w:t>
      </w:r>
      <w:r w:rsidR="006C2722">
        <w:rPr>
          <w:rFonts w:cs="Arial"/>
        </w:rPr>
        <w:t>nichos de colocación, hace pre</w:t>
      </w:r>
      <w:r w:rsidRPr="003A4B56">
        <w:rPr>
          <w:rFonts w:cs="Arial"/>
        </w:rPr>
        <w:t>ver inmejorables perspectivas para esta especie.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Otro producto que ha ampliado sus colocaciones en el exterior es el arándano congelado, cuyos envíos entre 2002 y 2011 se expandieron en más de setenta veces, al pasar de 387 toneladas a 27.407 toneladas (</w:t>
      </w:r>
      <w:r w:rsidRPr="003A4B56">
        <w:rPr>
          <w:rFonts w:cs="Arial"/>
        </w:rPr>
        <w:fldChar w:fldCharType="begin"/>
      </w:r>
      <w:r w:rsidRPr="003A4B56">
        <w:rPr>
          <w:rFonts w:cs="Arial"/>
        </w:rPr>
        <w:instrText xml:space="preserve"> REF _Ref336588430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5.34</w:t>
      </w:r>
      <w:r w:rsidRPr="003A4B56">
        <w:rPr>
          <w:rFonts w:cs="Arial"/>
        </w:rPr>
        <w:fldChar w:fldCharType="end"/>
      </w:r>
      <w:r w:rsidRPr="003A4B56">
        <w:rPr>
          <w:rFonts w:cs="Arial"/>
        </w:rPr>
        <w:t xml:space="preserve">), éstas últimas equivalentes a más de US$91 millones FOB.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El destino de estas ventas estuvo liderado por Estados Unidos, el que absorbió casi el 52% de las ventas, seguido a distancia por Canadá, Australia, China y Rusia, entre otros.</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Chile, respecto de otros competidores del hemisferio sur, como Nueva Zelandia, obtiene menores precios promedios. Esto se debe a que comercializa mayores volúmenes y los productores y exportadores están menos organizados.</w:t>
      </w:r>
    </w:p>
    <w:p w:rsidR="000A1474" w:rsidRPr="003A4B56" w:rsidRDefault="000A1474" w:rsidP="00B51B51">
      <w:pPr>
        <w:widowControl w:val="0"/>
        <w:tabs>
          <w:tab w:val="left" w:pos="0"/>
          <w:tab w:val="left" w:pos="720"/>
        </w:tabs>
        <w:rPr>
          <w:rFonts w:cs="Arial"/>
        </w:rPr>
      </w:pPr>
    </w:p>
    <w:p w:rsidR="000A1474" w:rsidRDefault="000A1474" w:rsidP="00B51B51">
      <w:pPr>
        <w:widowControl w:val="0"/>
        <w:tabs>
          <w:tab w:val="left" w:pos="0"/>
          <w:tab w:val="left" w:pos="720"/>
        </w:tabs>
        <w:rPr>
          <w:rFonts w:cs="Arial"/>
        </w:rPr>
      </w:pPr>
      <w:r w:rsidRPr="003A4B56">
        <w:rPr>
          <w:rFonts w:cs="Arial"/>
        </w:rPr>
        <w:t xml:space="preserve">Una alternativa para mejorar el margen de comercialización sería utilizar flete marítimo, para lo cual se deben desarrollar técnicas de conservación adecuadas que permitan mantener las exigencias de calidad de los mercados compradores. </w:t>
      </w: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E362F8" w:rsidRDefault="00E362F8" w:rsidP="00B51B51">
      <w:pPr>
        <w:widowControl w:val="0"/>
        <w:tabs>
          <w:tab w:val="left" w:pos="0"/>
          <w:tab w:val="left" w:pos="720"/>
        </w:tabs>
        <w:rPr>
          <w:rFonts w:cs="Arial"/>
        </w:rPr>
      </w:pPr>
    </w:p>
    <w:p w:rsidR="001C71B3" w:rsidRPr="003A4B56" w:rsidRDefault="001C71B3"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8" w:name="_Ref336588430"/>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34</w:t>
      </w:r>
      <w:r w:rsidR="00951FEC">
        <w:rPr>
          <w:b/>
        </w:rPr>
        <w:fldChar w:fldCharType="end"/>
      </w:r>
      <w:bookmarkEnd w:id="328"/>
    </w:p>
    <w:p w:rsidR="000A1474" w:rsidRPr="003A4B56" w:rsidRDefault="00254CE2" w:rsidP="00B51B51">
      <w:pPr>
        <w:widowControl w:val="0"/>
        <w:tabs>
          <w:tab w:val="left" w:pos="-720"/>
          <w:tab w:val="left" w:pos="0"/>
          <w:tab w:val="left" w:pos="426"/>
          <w:tab w:val="left" w:pos="720"/>
          <w:tab w:val="left" w:pos="851"/>
          <w:tab w:val="left" w:pos="1440"/>
          <w:tab w:val="left" w:pos="8789"/>
        </w:tabs>
        <w:jc w:val="center"/>
        <w:rPr>
          <w:rFonts w:cs="Arial"/>
          <w:szCs w:val="22"/>
        </w:rPr>
      </w:pPr>
      <w:r>
        <w:rPr>
          <w:rFonts w:cs="Arial"/>
          <w:noProof/>
          <w:lang w:val="es-CL" w:eastAsia="es-CL"/>
        </w:rPr>
        <w:drawing>
          <wp:inline distT="0" distB="0" distL="0" distR="0">
            <wp:extent cx="3753485" cy="1882140"/>
            <wp:effectExtent l="0" t="0" r="0" b="3810"/>
            <wp:docPr id="140"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53485" cy="1882140"/>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720"/>
        </w:tabs>
        <w:rPr>
          <w:rFonts w:cs="Arial"/>
        </w:rPr>
      </w:pPr>
    </w:p>
    <w:p w:rsidR="000A1474" w:rsidRPr="003A4B56" w:rsidRDefault="00F36FC3" w:rsidP="00B51B51">
      <w:pPr>
        <w:widowControl w:val="0"/>
      </w:pPr>
      <w:r w:rsidRPr="003A4B56">
        <w:t>-</w:t>
      </w:r>
      <w:r w:rsidRPr="003A4B56">
        <w:tab/>
      </w:r>
      <w:r w:rsidR="000A1474" w:rsidRPr="003A4B56">
        <w:t>Cerezo</w:t>
      </w:r>
    </w:p>
    <w:p w:rsidR="000A1474" w:rsidRPr="003A4B56" w:rsidRDefault="000A1474" w:rsidP="00B51B51">
      <w:pPr>
        <w:widowControl w:val="0"/>
        <w:tabs>
          <w:tab w:val="left" w:pos="0"/>
          <w:tab w:val="left" w:pos="426"/>
          <w:tab w:val="left" w:pos="720"/>
          <w:tab w:val="left" w:pos="1418"/>
        </w:tabs>
        <w:ind w:right="49"/>
        <w:rPr>
          <w:rFonts w:cs="Arial"/>
          <w:szCs w:val="22"/>
        </w:rPr>
      </w:pPr>
    </w:p>
    <w:p w:rsidR="000A1474" w:rsidRPr="003A4B56" w:rsidRDefault="000A1474" w:rsidP="00B51B51">
      <w:pPr>
        <w:widowControl w:val="0"/>
        <w:tabs>
          <w:tab w:val="left" w:pos="0"/>
          <w:tab w:val="left" w:pos="720"/>
        </w:tabs>
        <w:rPr>
          <w:rFonts w:cs="Arial"/>
        </w:rPr>
      </w:pPr>
      <w:r w:rsidRPr="003A4B56">
        <w:rPr>
          <w:rFonts w:cs="Arial"/>
        </w:rPr>
        <w:t xml:space="preserve">En Chile, el cultivo del cerezo se distribuye entre </w:t>
      </w:r>
      <w:smartTag w:uri="urn:schemas-microsoft-com:office:smarttags" w:element="PersonName">
        <w:smartTagPr>
          <w:attr w:name="ProductID" w:val="la IV"/>
        </w:smartTagPr>
        <w:r w:rsidRPr="003A4B56">
          <w:rPr>
            <w:rFonts w:cs="Arial"/>
          </w:rPr>
          <w:t>la IV</w:t>
        </w:r>
      </w:smartTag>
      <w:r w:rsidRPr="003A4B56">
        <w:rPr>
          <w:rFonts w:cs="Arial"/>
        </w:rPr>
        <w:t xml:space="preserve"> y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del país, pero se concentra en más de 90% entre </w:t>
      </w:r>
      <w:smartTag w:uri="urn:schemas-microsoft-com:office:smarttags" w:element="PersonName">
        <w:smartTagPr>
          <w:attr w:name="ProductID" w:val="la VI"/>
        </w:smartTagPr>
        <w:r w:rsidRPr="003A4B56">
          <w:rPr>
            <w:rFonts w:cs="Arial"/>
          </w:rPr>
          <w:t>la VI</w:t>
        </w:r>
      </w:smartTag>
      <w:r w:rsidRPr="003A4B56">
        <w:rPr>
          <w:rFonts w:cs="Arial"/>
        </w:rPr>
        <w:t xml:space="preserve"> y VIII Región. Cabe señalar que la superficie dedicada a este frutal experimentó un incremento del orden de 72,9%, al pasar desde aproximadamente </w:t>
      </w:r>
      <w:smartTag w:uri="urn:schemas-microsoft-com:office:smarttags" w:element="metricconverter">
        <w:smartTagPr>
          <w:attr w:name="ProductID" w:val="2.800 hectáreas"/>
        </w:smartTagPr>
        <w:r w:rsidRPr="003A4B56">
          <w:rPr>
            <w:rFonts w:cs="Arial"/>
          </w:rPr>
          <w:t>2.800 hectáreas</w:t>
        </w:r>
      </w:smartTag>
      <w:r w:rsidRPr="003A4B56">
        <w:rPr>
          <w:rFonts w:cs="Arial"/>
        </w:rPr>
        <w:t xml:space="preserve"> a fines de la década de </w:t>
      </w:r>
      <w:smartTag w:uri="urn:schemas-microsoft-com:office:smarttags" w:element="metricconverter">
        <w:smartTagPr>
          <w:attr w:name="ProductID" w:val="1980 a"/>
        </w:smartTagPr>
        <w:r w:rsidRPr="003A4B56">
          <w:rPr>
            <w:rFonts w:cs="Arial"/>
          </w:rPr>
          <w:t>1980 a</w:t>
        </w:r>
      </w:smartTag>
      <w:r w:rsidRPr="003A4B56">
        <w:rPr>
          <w:rFonts w:cs="Arial"/>
        </w:rPr>
        <w:t xml:space="preserve"> </w:t>
      </w:r>
      <w:smartTag w:uri="urn:schemas-microsoft-com:office:smarttags" w:element="metricconverter">
        <w:smartTagPr>
          <w:attr w:name="ProductID" w:val="4.830,4 hectáreas"/>
        </w:smartTagPr>
        <w:r w:rsidRPr="003A4B56">
          <w:rPr>
            <w:rFonts w:cs="Arial"/>
          </w:rPr>
          <w:t>4.830,4 hectáreas</w:t>
        </w:r>
      </w:smartTag>
      <w:r w:rsidRPr="003A4B56">
        <w:rPr>
          <w:rFonts w:cs="Arial"/>
        </w:rPr>
        <w:t xml:space="preserve"> en 1996/97. Posteriormente, al área continuó aumentando y en 2007 totalizó </w:t>
      </w:r>
      <w:smartTag w:uri="urn:schemas-microsoft-com:office:smarttags" w:element="metricconverter">
        <w:smartTagPr>
          <w:attr w:name="ProductID" w:val="13.461,1 hectáreas"/>
        </w:smartTagPr>
        <w:r w:rsidRPr="003A4B56">
          <w:rPr>
            <w:rFonts w:cs="Arial"/>
          </w:rPr>
          <w:t>13.461,1 hectáreas</w:t>
        </w:r>
      </w:smartTag>
      <w:r w:rsidRPr="003A4B56">
        <w:rPr>
          <w:rFonts w:cs="Arial"/>
        </w:rPr>
        <w:t xml:space="preserve">, de las cuales el 31,8% se encontraba en etapa de formación y el 68,2% restante en producción. De las </w:t>
      </w:r>
      <w:smartTag w:uri="urn:schemas-microsoft-com:office:smarttags" w:element="metricconverter">
        <w:smartTagPr>
          <w:attr w:name="ProductID" w:val="2.163 hectáreas"/>
        </w:smartTagPr>
        <w:r w:rsidRPr="003A4B56">
          <w:rPr>
            <w:rFonts w:cs="Arial"/>
          </w:rPr>
          <w:t>2.163 hectáreas</w:t>
        </w:r>
      </w:smartTag>
      <w:r w:rsidRPr="003A4B56">
        <w:rPr>
          <w:rFonts w:cs="Arial"/>
        </w:rPr>
        <w:t xml:space="preserve"> en formación, el 42,5% se habían plantado en 2007.</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Cabe señalar que en 1997 existían </w:t>
      </w:r>
      <w:smartTag w:uri="urn:schemas-microsoft-com:office:smarttags" w:element="metricconverter">
        <w:smartTagPr>
          <w:attr w:name="ProductID" w:val="896,1 hectáreas"/>
        </w:smartTagPr>
        <w:r w:rsidRPr="003A4B56">
          <w:rPr>
            <w:rFonts w:cs="Arial"/>
          </w:rPr>
          <w:t>896,1</w:t>
        </w:r>
        <w:r w:rsidR="006C2722">
          <w:rPr>
            <w:rFonts w:cs="Arial"/>
          </w:rPr>
          <w:t xml:space="preserve"> </w:t>
        </w:r>
        <w:r w:rsidRPr="003A4B56">
          <w:rPr>
            <w:rFonts w:cs="Arial"/>
          </w:rPr>
          <w:t>hectáreas</w:t>
        </w:r>
      </w:smartTag>
      <w:r w:rsidRPr="003A4B56">
        <w:rPr>
          <w:rFonts w:cs="Arial"/>
        </w:rPr>
        <w:t xml:space="preserve"> de cerezos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y en 2007 las plantaciones se elevaron por sobre las </w:t>
      </w:r>
      <w:smartTag w:uri="urn:schemas-microsoft-com:office:smarttags" w:element="metricconverter">
        <w:smartTagPr>
          <w:attr w:name="ProductID" w:val="4.184 hectáreas"/>
        </w:smartTagPr>
        <w:r w:rsidRPr="003A4B56">
          <w:rPr>
            <w:rFonts w:cs="Arial"/>
          </w:rPr>
          <w:t>4.184 hectáreas</w:t>
        </w:r>
      </w:smartTag>
      <w:r w:rsidRPr="003A4B56">
        <w:rPr>
          <w:rFonts w:cs="Arial"/>
        </w:rPr>
        <w:t>, lo que revela una expansión de casi cinco veces. Al interior de la región esta especie se distribuye en 66,1% en la provincia de Cachapoal; 33,8% en Colchagua y el 0,1% restante en la correspondiente a Cardenal Caro.</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Si bien esta fruta se destina al consumo interno, su destino principal es la exportación. </w:t>
      </w:r>
    </w:p>
    <w:p w:rsidR="000A1474" w:rsidRPr="0006493D" w:rsidRDefault="000A1474" w:rsidP="00B51B51">
      <w:pPr>
        <w:widowControl w:val="0"/>
        <w:tabs>
          <w:tab w:val="left" w:pos="0"/>
          <w:tab w:val="left" w:pos="720"/>
        </w:tabs>
        <w:rPr>
          <w:rFonts w:cs="Arial"/>
          <w:highlight w:val="yellow"/>
        </w:rPr>
      </w:pPr>
    </w:p>
    <w:p w:rsidR="000A1474" w:rsidRPr="003A4B56" w:rsidRDefault="000A1474" w:rsidP="00B51B51">
      <w:pPr>
        <w:widowControl w:val="0"/>
        <w:tabs>
          <w:tab w:val="left" w:pos="0"/>
          <w:tab w:val="left" w:pos="720"/>
        </w:tabs>
        <w:rPr>
          <w:rFonts w:cs="Arial"/>
        </w:rPr>
      </w:pPr>
      <w:r w:rsidRPr="003A4B56">
        <w:rPr>
          <w:rFonts w:cs="Arial"/>
        </w:rPr>
        <w:t xml:space="preserve">En efecto, las exportaciones de cereza,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_Ref336588475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5.35</w:t>
      </w:r>
      <w:r w:rsidRPr="003A4B56">
        <w:rPr>
          <w:rFonts w:cs="Arial"/>
        </w:rPr>
        <w:fldChar w:fldCharType="end"/>
      </w:r>
      <w:r w:rsidRPr="003A4B56">
        <w:rPr>
          <w:rFonts w:cs="Arial"/>
        </w:rPr>
        <w:t xml:space="preserve">, desde </w:t>
      </w:r>
      <w:smartTag w:uri="urn:schemas-microsoft-com:office:smarttags" w:element="metricconverter">
        <w:smartTagPr>
          <w:attr w:name="ProductID" w:val="1990 a"/>
        </w:smartTagPr>
        <w:r w:rsidRPr="003A4B56">
          <w:rPr>
            <w:rFonts w:cs="Arial"/>
          </w:rPr>
          <w:t>1990 a</w:t>
        </w:r>
      </w:smartTag>
      <w:r w:rsidRPr="003A4B56">
        <w:rPr>
          <w:rFonts w:cs="Arial"/>
        </w:rPr>
        <w:t xml:space="preserve"> 2011 aumentaron sustancialmente, al pasar de 4.031 toneladas en </w:t>
      </w:r>
      <w:smartTag w:uri="urn:schemas-microsoft-com:office:smarttags" w:element="metricconverter">
        <w:smartTagPr>
          <w:attr w:name="ProductID" w:val="1990 a"/>
        </w:smartTagPr>
        <w:r w:rsidRPr="003A4B56">
          <w:rPr>
            <w:rFonts w:cs="Arial"/>
          </w:rPr>
          <w:t>1990 a</w:t>
        </w:r>
      </w:smartTag>
      <w:r w:rsidRPr="003A4B56">
        <w:rPr>
          <w:rFonts w:cs="Arial"/>
        </w:rPr>
        <w:t xml:space="preserve"> 64.688 toneladas en 2011, lo que revela una expansión de casi diesiseis veces. En términos económicos, el resultado fue más espectacular aún, puesto que el ingreso aumentó de US$7,4 millones a US$241,7 millones FOB. No obstante, al interior del período se registraron fuertes fluctuaciones de los envíos, constatándose él más bajo en el año 1997 con 3.045 toneladas. Estas variaciones estarían asociadas al resultado de la cosecha doméstica, ya que esta especie es muy sensible a problemas climáticos.</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el transcurso del año 2011 el destino de los envíos de cerezas estuvo dirigido en casi 31,2% a Estados Unidos, seguido por Taiwán, Hong Kong, China y Holanda. Otras plazas de colocación fueron Reino Unido, España. México, Italia, Japón, Argentina, Canadá, Colombia y Venezuela, países que en su mayoría tienen acuerdos comerciales suscritos con Chile.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este contexto, cabe destacar que la cereza chilena entra sin pagar arancel a Estados Unidos, Brasil, Colombia, México, Canadá, Venezuela, Ecuador, Bolivia, Perú y Argentina. Los envíos hacia Taiwán y Arabia Saudita deben cancelar un impuesto de 12%. En </w:t>
      </w:r>
      <w:smartTag w:uri="urn:schemas-microsoft-com:office:smarttags" w:element="PersonName">
        <w:smartTagPr>
          <w:attr w:name="ProductID" w:val="la Unión Europea"/>
        </w:smartTagPr>
        <w:r w:rsidRPr="003A4B56">
          <w:rPr>
            <w:rFonts w:cs="Arial"/>
          </w:rPr>
          <w:t>la Unión Europea</w:t>
        </w:r>
      </w:smartTag>
      <w:r w:rsidR="006C2722">
        <w:rPr>
          <w:rFonts w:cs="Arial"/>
        </w:rPr>
        <w:t xml:space="preserve"> y China, </w:t>
      </w:r>
      <w:r w:rsidRPr="003A4B56">
        <w:rPr>
          <w:rFonts w:cs="Arial"/>
        </w:rPr>
        <w:t xml:space="preserve">antes de los acuerdos comerciales, debían pagar un arancel de 12% y 10%; </w:t>
      </w:r>
      <w:r w:rsidRPr="003A4B56">
        <w:rPr>
          <w:rFonts w:cs="Arial"/>
        </w:rPr>
        <w:lastRenderedPageBreak/>
        <w:t>con ocasión del tratado de libre comercio, dejaron de pagar este tributo al séptimo y quinto año de vigencia del acuerdo, respectivamente. En el tratado suscrito con Corea, la entrada de esta fruta concluirá su desgravación arancelaria en el año 10, es decir, en 2014. En Japón el arancel de 8,5% se igualó a cero desde la entrada en vigencia del acuerdo.</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29" w:name="_Ref336588475"/>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35</w:t>
      </w:r>
      <w:r w:rsidR="00951FEC">
        <w:rPr>
          <w:b/>
        </w:rPr>
        <w:fldChar w:fldCharType="end"/>
      </w:r>
      <w:bookmarkEnd w:id="329"/>
    </w:p>
    <w:p w:rsidR="000A1474" w:rsidRPr="003A4B56" w:rsidRDefault="00254CE2" w:rsidP="00B51B51">
      <w:pPr>
        <w:widowControl w:val="0"/>
        <w:tabs>
          <w:tab w:val="left" w:pos="0"/>
          <w:tab w:val="left" w:pos="426"/>
          <w:tab w:val="left" w:pos="720"/>
          <w:tab w:val="left" w:pos="851"/>
          <w:tab w:val="left" w:pos="1418"/>
          <w:tab w:val="left" w:pos="8789"/>
        </w:tabs>
        <w:ind w:right="49"/>
        <w:jc w:val="center"/>
        <w:rPr>
          <w:rFonts w:cs="Arial"/>
          <w:szCs w:val="22"/>
        </w:rPr>
      </w:pPr>
      <w:r>
        <w:rPr>
          <w:rFonts w:cs="Arial"/>
          <w:noProof/>
          <w:lang w:val="es-CL" w:eastAsia="es-CL"/>
        </w:rPr>
        <w:drawing>
          <wp:inline distT="0" distB="0" distL="0" distR="0">
            <wp:extent cx="4742180" cy="2073275"/>
            <wp:effectExtent l="0" t="0" r="1270" b="3175"/>
            <wp:docPr id="14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742180" cy="207327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 w:val="left" w:pos="851"/>
          <w:tab w:val="left" w:pos="1418"/>
          <w:tab w:val="left" w:pos="8789"/>
        </w:tabs>
        <w:ind w:right="49"/>
        <w:rPr>
          <w:rFonts w:cs="Arial"/>
          <w:noProof/>
          <w:szCs w:val="22"/>
        </w:rPr>
      </w:pPr>
    </w:p>
    <w:p w:rsidR="000A1474" w:rsidRPr="003A4B56" w:rsidRDefault="000A1474" w:rsidP="00B51B51">
      <w:pPr>
        <w:widowControl w:val="0"/>
        <w:tabs>
          <w:tab w:val="left" w:pos="0"/>
          <w:tab w:val="left" w:pos="720"/>
        </w:tabs>
        <w:rPr>
          <w:rFonts w:cs="Arial"/>
        </w:rPr>
      </w:pPr>
      <w:r w:rsidRPr="003A4B56">
        <w:rPr>
          <w:rFonts w:cs="Arial"/>
        </w:rPr>
        <w:t xml:space="preserve">La condición de ingreso en todos los países consiste en un certificado fitosanitario. En Estados Unidos, requiere de una inspección conjunta SAG/USDA-APHIS.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general, las perspectivas del cerezo son favorables, puesto que Chile es el principal proveedor de cerezas de contraestación al hemisferio norte. Asimismo, las innovaciones tecnológicas y varietales de los últimos años debieran traducirse en un aumento de la producción de fruta de buena calidad y de mayor duración de postcosecha.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cuanto a los mercados, cabe señalar que si bien Chile hoy en día exporta a Latinoamérica, Europa, Estados Unidos y algo a Medio Oriente, lo ideal sería la ampliación y consolidación del mercado de Japón, pues en dicho país los precios son significativamente más altos que los registrados en los mercados tradicionales. Se debe tener en consideración que sólo a partir de la temporada 2000/2001 Japón autorizó el ingreso de la cereza chilena.</w:t>
      </w:r>
    </w:p>
    <w:p w:rsidR="000A1474" w:rsidRPr="003A4B56" w:rsidRDefault="000A1474" w:rsidP="00B51B51">
      <w:pPr>
        <w:widowControl w:val="0"/>
        <w:tabs>
          <w:tab w:val="left" w:pos="426"/>
        </w:tabs>
        <w:rPr>
          <w:rFonts w:cs="Arial"/>
          <w:szCs w:val="22"/>
        </w:rPr>
      </w:pPr>
    </w:p>
    <w:p w:rsidR="000A1474" w:rsidRPr="003A4B56" w:rsidRDefault="00F36FC3" w:rsidP="00B51B51">
      <w:pPr>
        <w:widowControl w:val="0"/>
      </w:pPr>
      <w:r w:rsidRPr="003A4B56">
        <w:t>-</w:t>
      </w:r>
      <w:r w:rsidRPr="003A4B56">
        <w:tab/>
      </w:r>
      <w:r w:rsidR="000A1474" w:rsidRPr="003A4B56">
        <w:t>Ciruelo Europeo</w:t>
      </w:r>
    </w:p>
    <w:p w:rsidR="000A1474" w:rsidRPr="003A4B56" w:rsidRDefault="000A1474" w:rsidP="00B51B51">
      <w:pPr>
        <w:widowControl w:val="0"/>
        <w:rPr>
          <w:rFonts w:cs="Arial"/>
          <w:lang w:val="es-CL"/>
        </w:rPr>
      </w:pPr>
    </w:p>
    <w:p w:rsidR="000A1474" w:rsidRPr="003A4B56" w:rsidRDefault="000A1474" w:rsidP="00B51B51">
      <w:pPr>
        <w:widowControl w:val="0"/>
        <w:tabs>
          <w:tab w:val="left" w:pos="0"/>
          <w:tab w:val="left" w:pos="720"/>
          <w:tab w:val="left" w:pos="1080"/>
          <w:tab w:val="left" w:pos="1418"/>
        </w:tabs>
        <w:ind w:right="49"/>
        <w:rPr>
          <w:rFonts w:cs="Arial"/>
        </w:rPr>
      </w:pPr>
      <w:r w:rsidRPr="003A4B56">
        <w:rPr>
          <w:rFonts w:cs="Arial"/>
        </w:rPr>
        <w:t xml:space="preserve">Según información de ODEPA, las plantaciones de ciruelo europeo entre los años 1990 y 1997 experimentaron una significativa expansión, al pasar desde </w:t>
      </w:r>
      <w:smartTag w:uri="urn:schemas-microsoft-com:office:smarttags" w:element="metricconverter">
        <w:smartTagPr>
          <w:attr w:name="ProductID" w:val="3.164 hectáreas"/>
        </w:smartTagPr>
        <w:r w:rsidRPr="003A4B56">
          <w:rPr>
            <w:rFonts w:cs="Arial"/>
          </w:rPr>
          <w:t>3.164 hectáreas</w:t>
        </w:r>
      </w:smartTag>
      <w:r w:rsidRPr="003A4B56">
        <w:rPr>
          <w:rFonts w:cs="Arial"/>
        </w:rPr>
        <w:t xml:space="preserve"> a </w:t>
      </w:r>
      <w:smartTag w:uri="urn:schemas-microsoft-com:office:smarttags" w:element="metricconverter">
        <w:smartTagPr>
          <w:attr w:name="ProductID" w:val="6.793 hectáreas"/>
        </w:smartTagPr>
        <w:r w:rsidRPr="003A4B56">
          <w:rPr>
            <w:rFonts w:cs="Arial"/>
          </w:rPr>
          <w:t>6.793 hectáreas</w:t>
        </w:r>
      </w:smartTag>
      <w:r w:rsidRPr="003A4B56">
        <w:rPr>
          <w:rFonts w:cs="Arial"/>
        </w:rPr>
        <w:t xml:space="preserve">, evolución que significó un crecimiento del orden del 115%. Posteriormente, las plantaciones continuaron incrementándose y de acuerdo con la información proporcionada por el VII Censo Nacional Agropecuario realizado por INE en 2007 éstas se situaron en torno a las </w:t>
      </w:r>
      <w:smartTag w:uri="urn:schemas-microsoft-com:office:smarttags" w:element="metricconverter">
        <w:smartTagPr>
          <w:attr w:name="ProductID" w:val="12.103 hectáreas"/>
        </w:smartTagPr>
        <w:r w:rsidRPr="003A4B56">
          <w:rPr>
            <w:rFonts w:cs="Arial"/>
          </w:rPr>
          <w:t>12.103 hectáreas</w:t>
        </w:r>
      </w:smartTag>
      <w:r w:rsidRPr="003A4B56">
        <w:rPr>
          <w:rFonts w:cs="Arial"/>
        </w:rPr>
        <w:t xml:space="preserve">, de las cuales el 42% se encontraba en etapa de formación y el 58% restante en producción. Cabe señalar que de las </w:t>
      </w:r>
      <w:smartTag w:uri="urn:schemas-microsoft-com:office:smarttags" w:element="metricconverter">
        <w:smartTagPr>
          <w:attr w:name="ProductID" w:val="5.087 hectáreas"/>
        </w:smartTagPr>
        <w:r w:rsidRPr="003A4B56">
          <w:rPr>
            <w:rFonts w:cs="Arial"/>
          </w:rPr>
          <w:t>5.087 hectáreas</w:t>
        </w:r>
      </w:smartTag>
      <w:r w:rsidRPr="003A4B56">
        <w:rPr>
          <w:rFonts w:cs="Arial"/>
        </w:rPr>
        <w:t xml:space="preserve"> en formación, el 61,4% se habían plantado en el año 2007.</w:t>
      </w:r>
    </w:p>
    <w:p w:rsidR="000A1474" w:rsidRPr="003A4B56" w:rsidRDefault="000A1474" w:rsidP="00B51B51">
      <w:pPr>
        <w:widowControl w:val="0"/>
        <w:ind w:firstLine="708"/>
        <w:rPr>
          <w:rFonts w:cs="Arial"/>
        </w:rPr>
      </w:pPr>
    </w:p>
    <w:p w:rsidR="000A1474" w:rsidRPr="003A4B56" w:rsidRDefault="000A1474" w:rsidP="00B51B51">
      <w:pPr>
        <w:widowControl w:val="0"/>
        <w:rPr>
          <w:rFonts w:cs="Arial"/>
        </w:rPr>
      </w:pPr>
      <w:r w:rsidRPr="003A4B56">
        <w:rPr>
          <w:rFonts w:cs="Arial"/>
        </w:rPr>
        <w:t xml:space="preserve">Según la misma fuente, en 2006/07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concentraba el 60,4% de la superficie nacional dedicada a esta especie, es decir, </w:t>
      </w:r>
      <w:smartTag w:uri="urn:schemas-microsoft-com:office:smarttags" w:element="metricconverter">
        <w:smartTagPr>
          <w:attr w:name="ProductID" w:val="7.309,9 ha"/>
        </w:smartTagPr>
        <w:r w:rsidRPr="003A4B56">
          <w:rPr>
            <w:rFonts w:cs="Arial"/>
          </w:rPr>
          <w:t>7.309,9 ha</w:t>
        </w:r>
      </w:smartTag>
      <w:r w:rsidRPr="003A4B56">
        <w:rPr>
          <w:rFonts w:cs="Arial"/>
        </w:rPr>
        <w:t xml:space="preserve">. El ciruelo europeo se distribuye en 42,6% en la provincia de Cachapoal; 50,5% en Colchagua y el 6,9% restante en la correspondiente a Cardenal Caro. </w:t>
      </w:r>
    </w:p>
    <w:p w:rsidR="000A1474" w:rsidRPr="003A4B56" w:rsidRDefault="000A1474" w:rsidP="00B51B51">
      <w:pPr>
        <w:widowControl w:val="0"/>
        <w:rPr>
          <w:rFonts w:cs="Arial"/>
        </w:rPr>
      </w:pPr>
      <w:r w:rsidRPr="003A4B56">
        <w:rPr>
          <w:rFonts w:cs="Arial"/>
        </w:rPr>
        <w:lastRenderedPageBreak/>
        <w:t xml:space="preserve">Cabe señalar que el producto obtenido del deshidratado de la ciruela europea, apunta totalmente al mercado de exportación. Los principales mercados de destino para las exportaciones chilenas son México y Alemania. </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En Chile, el 80% del deshidratado de ciruela europea se realiza directamente al sol sobre malla raschel. El 20% restante se realiza en túneles de secado, que es más rápido y homogéneo, aunque a un mayor costo.</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El clima seco y soleado durante el verano de las regiones V, VI y Metropolitana permite que el secado sea constante y en breve plazo (entre 10 y 15 días), conservando todas sus características organolépticas.</w:t>
      </w:r>
    </w:p>
    <w:p w:rsidR="000A1474" w:rsidRPr="003A4B56" w:rsidRDefault="000A1474" w:rsidP="00B51B51">
      <w:pPr>
        <w:widowControl w:val="0"/>
        <w:rPr>
          <w:rFonts w:cs="Arial"/>
        </w:rPr>
      </w:pPr>
    </w:p>
    <w:p w:rsidR="000A1474" w:rsidRPr="003A4B56" w:rsidRDefault="000A1474" w:rsidP="00B51B51">
      <w:pPr>
        <w:widowControl w:val="0"/>
        <w:tabs>
          <w:tab w:val="left" w:pos="1080"/>
        </w:tabs>
        <w:rPr>
          <w:rFonts w:cs="Arial"/>
        </w:rPr>
      </w:pPr>
      <w:r w:rsidRPr="003A4B56">
        <w:rPr>
          <w:rFonts w:cs="Arial"/>
        </w:rPr>
        <w:t xml:space="preserve">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_Ref336588557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5.36</w:t>
      </w:r>
      <w:r w:rsidRPr="003A4B56">
        <w:rPr>
          <w:rFonts w:cs="Arial"/>
        </w:rPr>
        <w:fldChar w:fldCharType="end"/>
      </w:r>
      <w:r w:rsidRPr="003A4B56">
        <w:rPr>
          <w:rFonts w:cs="Arial"/>
        </w:rPr>
        <w:t xml:space="preserve">, se presentan los volúmenes exportados desde 1990, en donde se aprecia claramente las transacciones crecientes de este producto en el contexto internacional. En efecto, en 1990 se exportaron alrededor de 12.998 toneladas de ciruelas deshidratadas chilenas y en 2011 los envíos totalizaron 57.966 toneladas, equivalentes a US$112,3 millones FOB. </w:t>
      </w:r>
    </w:p>
    <w:p w:rsidR="000A1474" w:rsidRPr="003A4B56" w:rsidRDefault="000A1474" w:rsidP="00B51B51">
      <w:pPr>
        <w:widowControl w:val="0"/>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0" w:name="_Ref336588557"/>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36</w:t>
      </w:r>
      <w:r w:rsidR="00951FEC">
        <w:rPr>
          <w:b/>
        </w:rPr>
        <w:fldChar w:fldCharType="end"/>
      </w:r>
      <w:bookmarkEnd w:id="330"/>
    </w:p>
    <w:p w:rsidR="000A1474" w:rsidRPr="003A4B56" w:rsidRDefault="00254CE2" w:rsidP="00B51B51">
      <w:pPr>
        <w:widowControl w:val="0"/>
        <w:jc w:val="center"/>
      </w:pPr>
      <w:r>
        <w:rPr>
          <w:noProof/>
          <w:lang w:val="es-CL" w:eastAsia="es-CL"/>
        </w:rPr>
        <w:drawing>
          <wp:inline distT="0" distB="0" distL="0" distR="0">
            <wp:extent cx="4838065" cy="2137410"/>
            <wp:effectExtent l="0" t="0" r="635" b="0"/>
            <wp:docPr id="14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38065" cy="2137410"/>
                    </a:xfrm>
                    <a:prstGeom prst="rect">
                      <a:avLst/>
                    </a:prstGeom>
                    <a:noFill/>
                    <a:ln>
                      <a:noFill/>
                    </a:ln>
                  </pic:spPr>
                </pic:pic>
              </a:graphicData>
            </a:graphic>
          </wp:inline>
        </w:drawing>
      </w:r>
    </w:p>
    <w:p w:rsidR="000A1474" w:rsidRPr="003A4B56" w:rsidRDefault="000A1474" w:rsidP="00B51B51">
      <w:pPr>
        <w:widowControl w:val="0"/>
        <w:jc w:val="center"/>
      </w:pPr>
      <w:r w:rsidRPr="003A4B56">
        <w:rPr>
          <w:rFonts w:cs="Arial"/>
          <w:sz w:val="20"/>
          <w:szCs w:val="20"/>
        </w:rPr>
        <w:t>Fuente: Elaboración propia, en base a antecedentes de ODEPA.</w:t>
      </w:r>
    </w:p>
    <w:p w:rsidR="000A1474" w:rsidRPr="003A4B56" w:rsidRDefault="000A1474" w:rsidP="00B51B51">
      <w:pPr>
        <w:widowControl w:val="0"/>
        <w:rPr>
          <w:lang w:val="es-CL"/>
        </w:rPr>
      </w:pPr>
    </w:p>
    <w:p w:rsidR="000A1474" w:rsidRPr="003A4B56" w:rsidRDefault="000A1474" w:rsidP="00B51B51">
      <w:pPr>
        <w:widowControl w:val="0"/>
        <w:tabs>
          <w:tab w:val="left" w:pos="1080"/>
        </w:tabs>
        <w:rPr>
          <w:rFonts w:cs="Arial"/>
        </w:rPr>
      </w:pPr>
      <w:r w:rsidRPr="003A4B56">
        <w:rPr>
          <w:rFonts w:cs="Arial"/>
        </w:rPr>
        <w:t>El destino de los envíos en el año 2011 estuvo constituido por México, Rusia, Alemania, Polonia, Italia, Reino Unido, Brasil, Venezuela, España y Holanda, los que en conjunto adquirieron casi el 73% de las ventas chilenas. Otros nichos de colocación fueron Perú, Colombia y Turquía, entre otros. Cabe señalar que aproximadamente el 90% de la producción nacional de ciruela deshidratada se exporta.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Sin lugar a dudas que los acuerdos comerciales suscritos por Chile con otros países ha sido beneficioso para los envíos de ciruela deshidratada, por cuanto este producto no paga arancel de internación en Canadá, México, Venezuela, Ecuador, Bolivia, Colombia, Perú y MERCOSUR.</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Asimismo, entre los Tratados de Libre Comercio más recientes, dejó de pagar este tributo, desde la entrada en vigencia del acuerdo, en Estados Unidos y los países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donde este impuesto ascendía a 2 centavos de dólar por kilo y 9,6%, respectivamente. Tanto en China como en Corea, este producto no gravará su entrada a partir del año 10, el arancel inicial ascendía a 25% y 23%, en cada caso.</w:t>
      </w:r>
    </w:p>
    <w:p w:rsidR="000A1474" w:rsidRPr="003A4B56" w:rsidRDefault="000A1474" w:rsidP="00B51B51">
      <w:pPr>
        <w:widowControl w:val="0"/>
        <w:rPr>
          <w:rFonts w:cs="Arial"/>
        </w:rPr>
      </w:pPr>
      <w:r w:rsidRPr="003A4B56">
        <w:rPr>
          <w:rFonts w:cs="Arial"/>
        </w:rPr>
        <w:lastRenderedPageBreak/>
        <w:t xml:space="preserve">Las perspectivas para esta especie son favorables, en la medida que se mantengan la evolución creciente de las exportaciones y el repunte de los precios internacionales de este producto. </w:t>
      </w:r>
    </w:p>
    <w:p w:rsidR="000A1474" w:rsidRPr="003A4B56" w:rsidRDefault="000A1474" w:rsidP="00B51B51">
      <w:pPr>
        <w:widowControl w:val="0"/>
        <w:rPr>
          <w:rFonts w:cs="Arial"/>
          <w:lang w:val="es-CL"/>
        </w:rPr>
      </w:pPr>
    </w:p>
    <w:p w:rsidR="000A1474" w:rsidRPr="003A4B56" w:rsidRDefault="000A1474" w:rsidP="00B51B51">
      <w:pPr>
        <w:widowControl w:val="0"/>
        <w:rPr>
          <w:rFonts w:cs="Arial"/>
        </w:rPr>
      </w:pPr>
      <w:r w:rsidRPr="003A4B56">
        <w:rPr>
          <w:rFonts w:cs="Arial"/>
        </w:rPr>
        <w:t>De hecho, se debe tener presente que el consumo mundial mantiene una leve tendencia creciente, debido a las frecuentes campañas de promoción, cuya estrategia se fundamenta en presentar el producto como un alimento natural y sano, para satisfacer las nuevas demandas de los consumidores.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Las políticas que siguen los distintos países productores para fomentar el consumo son significativamente diferentes, por cuanto Francia realiza grandes inversiones para que los consumidores relacionen a la ciruela deshidratada como una fruta, en cambio en Estados Unidos fomentaron su ubicación como un snack que aporta fibra a la dieta. Ambos países son los principales productores mundiales, aunque las exportaciones chilenas superan a las francesas.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Cabe señalar que tanto Estados Unidos como Francia, se ubican en el hemisferio norte, por lo que Chile se constituye como un productor de contraestación, y ambos países demandan la ciruela deshidratada chilena.</w:t>
      </w:r>
    </w:p>
    <w:p w:rsidR="000A1474" w:rsidRPr="003A4B56" w:rsidRDefault="000A1474" w:rsidP="00B51B51">
      <w:pPr>
        <w:widowControl w:val="0"/>
        <w:tabs>
          <w:tab w:val="left" w:pos="426"/>
        </w:tabs>
        <w:rPr>
          <w:rFonts w:cs="Arial"/>
          <w:szCs w:val="22"/>
        </w:rPr>
      </w:pPr>
    </w:p>
    <w:p w:rsidR="000A1474" w:rsidRPr="003A4B56" w:rsidRDefault="00F36FC3" w:rsidP="00B51B51">
      <w:pPr>
        <w:widowControl w:val="0"/>
      </w:pPr>
      <w:r w:rsidRPr="003A4B56">
        <w:t>-</w:t>
      </w:r>
      <w:r w:rsidRPr="003A4B56">
        <w:tab/>
      </w:r>
      <w:r w:rsidR="000A1474" w:rsidRPr="003A4B56">
        <w:t>Ciruelo Japonés</w:t>
      </w:r>
    </w:p>
    <w:p w:rsidR="000A1474" w:rsidRPr="003A4B56" w:rsidRDefault="000A1474" w:rsidP="00B51B51">
      <w:pPr>
        <w:widowControl w:val="0"/>
        <w:tabs>
          <w:tab w:val="left" w:pos="0"/>
          <w:tab w:val="left" w:pos="720"/>
          <w:tab w:val="left" w:pos="1418"/>
        </w:tabs>
        <w:ind w:left="360" w:right="49"/>
        <w:rPr>
          <w:rFonts w:cs="Arial"/>
          <w:szCs w:val="22"/>
          <w:lang w:val="es-CL"/>
        </w:rPr>
      </w:pPr>
    </w:p>
    <w:p w:rsidR="000A1474" w:rsidRPr="003A4B56" w:rsidRDefault="000A1474" w:rsidP="00B51B51">
      <w:pPr>
        <w:widowControl w:val="0"/>
        <w:rPr>
          <w:rFonts w:cs="Arial"/>
        </w:rPr>
      </w:pPr>
      <w:r w:rsidRPr="003A4B56">
        <w:rPr>
          <w:rFonts w:cs="Arial"/>
        </w:rPr>
        <w:t xml:space="preserve">De acuerdo a información del INE, en Chile el ciruelo japonés se distribuye desde </w:t>
      </w:r>
      <w:smartTag w:uri="urn:schemas-microsoft-com:office:smarttags" w:element="PersonName">
        <w:smartTagPr>
          <w:attr w:name="ProductID" w:val="la XV"/>
        </w:smartTagPr>
        <w:r w:rsidRPr="003A4B56">
          <w:rPr>
            <w:rFonts w:cs="Arial"/>
          </w:rPr>
          <w:t>la XV</w:t>
        </w:r>
      </w:smartTag>
      <w:r w:rsidRPr="003A4B56">
        <w:rPr>
          <w:rFonts w:cs="Arial"/>
        </w:rPr>
        <w:t xml:space="preserve"> a </w:t>
      </w:r>
      <w:smartTag w:uri="urn:schemas-microsoft-com:office:smarttags" w:element="PersonName">
        <w:smartTagPr>
          <w:attr w:name="ProductID" w:val="la IX Región"/>
        </w:smartTagPr>
        <w:r w:rsidRPr="003A4B56">
          <w:rPr>
            <w:rFonts w:cs="Arial"/>
          </w:rPr>
          <w:t>la IX Región</w:t>
        </w:r>
      </w:smartTag>
      <w:r w:rsidRPr="003A4B56">
        <w:rPr>
          <w:rFonts w:cs="Arial"/>
        </w:rPr>
        <w:t xml:space="preserve">, pero se concentra en más de un 90% entre </w:t>
      </w:r>
      <w:smartTag w:uri="urn:schemas-microsoft-com:office:smarttags" w:element="PersonName">
        <w:smartTagPr>
          <w:attr w:name="ProductID" w:val="la V"/>
        </w:smartTagPr>
        <w:r w:rsidRPr="003A4B56">
          <w:rPr>
            <w:rFonts w:cs="Arial"/>
          </w:rPr>
          <w:t>la V</w:t>
        </w:r>
      </w:smartTag>
      <w:r w:rsidRPr="003A4B56">
        <w:rPr>
          <w:rFonts w:cs="Arial"/>
        </w:rPr>
        <w:t xml:space="preserve"> y VI Región. En 1997 esta especie  ocupaba una superficie de </w:t>
      </w:r>
      <w:smartTag w:uri="urn:schemas-microsoft-com:office:smarttags" w:element="metricconverter">
        <w:smartTagPr>
          <w:attr w:name="ProductID" w:val="5.551 ha"/>
        </w:smartTagPr>
        <w:r w:rsidRPr="003A4B56">
          <w:rPr>
            <w:rFonts w:cs="Arial"/>
          </w:rPr>
          <w:t>5.551 ha</w:t>
        </w:r>
      </w:smartTag>
      <w:r w:rsidRPr="003A4B56">
        <w:rPr>
          <w:rFonts w:cs="Arial"/>
        </w:rPr>
        <w:t xml:space="preserve">, la que en 2007 se había expandido a </w:t>
      </w:r>
      <w:smartTag w:uri="urn:schemas-microsoft-com:office:smarttags" w:element="metricconverter">
        <w:smartTagPr>
          <w:attr w:name="ProductID" w:val="6.855 ha"/>
        </w:smartTagPr>
        <w:r w:rsidRPr="003A4B56">
          <w:rPr>
            <w:rFonts w:cs="Arial"/>
          </w:rPr>
          <w:t>6.855 ha</w:t>
        </w:r>
      </w:smartTag>
      <w:r w:rsidRPr="003A4B56">
        <w:rPr>
          <w:rFonts w:cs="Arial"/>
        </w:rPr>
        <w:t xml:space="preserve">. Esta misma tendencia alcista se constató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evolución que alcanzó a un 38,2% entre ambos años. </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 xml:space="preserve">En efecto, de acuerdo a los antecedentes proporcionados por el VII Censo Nacional Agropecuario, en 2007 las plantaciones de esta especie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ascendían a </w:t>
      </w:r>
      <w:smartTag w:uri="urn:schemas-microsoft-com:office:smarttags" w:element="metricconverter">
        <w:smartTagPr>
          <w:attr w:name="ProductID" w:val="3.300,3 hectáreas"/>
        </w:smartTagPr>
        <w:r w:rsidRPr="003A4B56">
          <w:rPr>
            <w:rFonts w:cs="Arial"/>
          </w:rPr>
          <w:t>3.300,3 hectáreas</w:t>
        </w:r>
      </w:smartTag>
      <w:r w:rsidRPr="003A4B56">
        <w:rPr>
          <w:rFonts w:cs="Arial"/>
        </w:rPr>
        <w:t xml:space="preserve">, lo que representa el 48,2% del total plantado. Al interior de la región este especie se distribuye en 87,6% en la provincia de Cachapoal y el 12,4% restante en al correspondiente a Colchagua. </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 xml:space="preserve">Esta fruta se comercializa en estado fresco en el mercado local y en el internacional. En el primero, el producto llega a los mercados mayoristas de Santiago, constituidos por </w:t>
      </w:r>
      <w:smartTag w:uri="urn:schemas-microsoft-com:office:smarttags" w:element="PersonName">
        <w:smartTagPr>
          <w:attr w:name="ProductID" w:val="la Feria Lo"/>
        </w:smartTagPr>
        <w:r w:rsidRPr="003A4B56">
          <w:rPr>
            <w:rFonts w:cs="Arial"/>
          </w:rPr>
          <w:t>la Feria Lo</w:t>
        </w:r>
      </w:smartTag>
      <w:r w:rsidRPr="003A4B56">
        <w:rPr>
          <w:rFonts w:cs="Arial"/>
        </w:rPr>
        <w:t xml:space="preserve"> Valledor, Vega Mapocho y Bodegas Mayoristas de Av. </w:t>
      </w:r>
      <w:smartTag w:uri="urn:schemas-microsoft-com:office:smarttags" w:element="PersonName">
        <w:smartTagPr>
          <w:attr w:name="ProductID" w:val="La Paz"/>
        </w:smartTagPr>
        <w:r w:rsidRPr="003A4B56">
          <w:rPr>
            <w:rFonts w:cs="Arial"/>
          </w:rPr>
          <w:t>La Paz</w:t>
        </w:r>
      </w:smartTag>
      <w:r w:rsidRPr="003A4B56">
        <w:rPr>
          <w:rFonts w:cs="Arial"/>
        </w:rPr>
        <w:t>, desde ahí se distribuye al comercio minorista de Santiago, incluyendo cadenas de supermercados, y a los mercados regionales del norte y sur del país. Por su parte, hay productores grandes  que venden directamente a las cadenas de supermercados.</w:t>
      </w:r>
    </w:p>
    <w:p w:rsidR="000A1474" w:rsidRPr="003A4B56" w:rsidRDefault="000A1474" w:rsidP="00B51B51">
      <w:pPr>
        <w:widowControl w:val="0"/>
        <w:tabs>
          <w:tab w:val="left" w:pos="8789"/>
        </w:tabs>
        <w:ind w:right="49"/>
        <w:rPr>
          <w:rFonts w:cs="Arial"/>
        </w:rPr>
      </w:pPr>
    </w:p>
    <w:p w:rsidR="000A1474" w:rsidRDefault="000A1474" w:rsidP="00B51B51">
      <w:pPr>
        <w:widowControl w:val="0"/>
        <w:tabs>
          <w:tab w:val="left" w:pos="8789"/>
        </w:tabs>
        <w:ind w:right="49"/>
        <w:rPr>
          <w:rFonts w:cs="Arial"/>
        </w:rPr>
      </w:pPr>
      <w:r w:rsidRPr="003A4B56">
        <w:rPr>
          <w:rFonts w:cs="Arial"/>
        </w:rPr>
        <w:t>Las transacciones comienzan en el mes de noviembre y se extienden habitualmente hasta el mes de mayo. Los valores más altos se logran a principios de la temporada, luego éstos disminuyen para recuperarse ligeramente a fines del período, la baja de precios es consecuencia de la entrada al mercado del grueso de la producción.</w:t>
      </w:r>
    </w:p>
    <w:p w:rsidR="006C2722" w:rsidRPr="003A4B56" w:rsidRDefault="006C2722"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 xml:space="preserve">En el ámbito de las exportaciones, cabe destacar que los envíos al exterior de esta fruta entre 1990 y 2011 mostraron una clara tendencia alcista,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_Ref336588631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5.37</w:t>
      </w:r>
      <w:r w:rsidRPr="003A4B56">
        <w:rPr>
          <w:rFonts w:cs="Arial"/>
        </w:rPr>
        <w:fldChar w:fldCharType="end"/>
      </w:r>
      <w:r w:rsidRPr="003A4B56">
        <w:rPr>
          <w:rFonts w:cs="Arial"/>
        </w:rPr>
        <w:t xml:space="preserve">. Si bien al interior del período se han observado fluctuaciones de los volúmenes enviados, éstos en definitiva han aumentado. Así, en 2011 éstos alcanzaron casi 111 mil toneladas, equivalentes a </w:t>
      </w:r>
      <w:r w:rsidRPr="003A4B56">
        <w:rPr>
          <w:rFonts w:cs="Arial"/>
        </w:rPr>
        <w:lastRenderedPageBreak/>
        <w:t>US$134 millones FOB. Se debe tener presente además que los retornos unitarios han aumentado en las últimas temporadas.</w:t>
      </w:r>
    </w:p>
    <w:p w:rsidR="000A1474" w:rsidRPr="003A4B56" w:rsidRDefault="000A1474" w:rsidP="00B51B51">
      <w:pPr>
        <w:widowControl w:val="0"/>
        <w:tabs>
          <w:tab w:val="left" w:pos="8789"/>
        </w:tabs>
        <w:ind w:right="49"/>
      </w:pPr>
    </w:p>
    <w:p w:rsidR="000A1474" w:rsidRPr="003A4B56" w:rsidRDefault="000A1474" w:rsidP="00B51B51">
      <w:pPr>
        <w:widowControl w:val="0"/>
        <w:tabs>
          <w:tab w:val="left" w:pos="0"/>
          <w:tab w:val="left" w:pos="426"/>
          <w:tab w:val="left" w:pos="851"/>
          <w:tab w:val="left" w:pos="1418"/>
          <w:tab w:val="left" w:pos="8789"/>
        </w:tabs>
        <w:ind w:right="49"/>
        <w:jc w:val="center"/>
        <w:rPr>
          <w:b/>
        </w:rPr>
      </w:pPr>
      <w:bookmarkStart w:id="331" w:name="_Ref336588631"/>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37</w:t>
      </w:r>
      <w:r w:rsidR="00951FEC">
        <w:rPr>
          <w:b/>
        </w:rPr>
        <w:fldChar w:fldCharType="end"/>
      </w:r>
      <w:bookmarkEnd w:id="331"/>
    </w:p>
    <w:p w:rsidR="000A1474" w:rsidRPr="003A4B56" w:rsidRDefault="00254CE2" w:rsidP="00B51B51">
      <w:pPr>
        <w:widowControl w:val="0"/>
        <w:tabs>
          <w:tab w:val="left" w:pos="0"/>
          <w:tab w:val="left" w:pos="426"/>
          <w:tab w:val="left" w:pos="851"/>
          <w:tab w:val="left" w:pos="1418"/>
          <w:tab w:val="left" w:pos="8789"/>
        </w:tabs>
        <w:ind w:right="49"/>
        <w:jc w:val="center"/>
        <w:rPr>
          <w:rFonts w:cs="Arial"/>
        </w:rPr>
      </w:pPr>
      <w:r>
        <w:rPr>
          <w:noProof/>
          <w:lang w:val="es-CL" w:eastAsia="es-CL"/>
        </w:rPr>
        <w:drawing>
          <wp:inline distT="0" distB="0" distL="0" distR="0">
            <wp:extent cx="4827270" cy="2434590"/>
            <wp:effectExtent l="0" t="0" r="0" b="381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827270" cy="2434590"/>
                    </a:xfrm>
                    <a:prstGeom prst="rect">
                      <a:avLst/>
                    </a:prstGeom>
                    <a:noFill/>
                    <a:ln>
                      <a:noFill/>
                    </a:ln>
                  </pic:spPr>
                </pic:pic>
              </a:graphicData>
            </a:graphic>
          </wp:inline>
        </w:drawing>
      </w:r>
    </w:p>
    <w:p w:rsidR="000A1474" w:rsidRPr="003A4B56" w:rsidRDefault="000A1474" w:rsidP="00B51B51">
      <w:pPr>
        <w:widowControl w:val="0"/>
        <w:jc w:val="center"/>
      </w:pPr>
      <w:r w:rsidRPr="003A4B56">
        <w:rPr>
          <w:rFonts w:cs="Arial"/>
          <w:sz w:val="20"/>
          <w:szCs w:val="20"/>
        </w:rPr>
        <w:t>Fuente: Elaboración propia, en base a antecedentes de ODEPA.</w:t>
      </w:r>
    </w:p>
    <w:p w:rsidR="000A1474" w:rsidRPr="003A4B56" w:rsidRDefault="000A1474" w:rsidP="00B51B51">
      <w:pPr>
        <w:widowControl w:val="0"/>
        <w:rPr>
          <w:rFonts w:cs="Arial"/>
        </w:rPr>
      </w:pPr>
    </w:p>
    <w:p w:rsidR="000A1474" w:rsidRPr="003A4B56" w:rsidRDefault="000A1474" w:rsidP="00B51B51">
      <w:pPr>
        <w:widowControl w:val="0"/>
        <w:tabs>
          <w:tab w:val="left" w:pos="8789"/>
        </w:tabs>
        <w:ind w:right="49"/>
        <w:rPr>
          <w:rFonts w:cs="Arial"/>
        </w:rPr>
      </w:pPr>
      <w:r w:rsidRPr="003A4B56">
        <w:rPr>
          <w:rFonts w:cs="Arial"/>
        </w:rPr>
        <w:t>En 2011, el principal demandante de ciruela chilena fue Estados Unidos, país que absorbió el 29,8% de los envíos, le siguen en orden de importancia Holanda, Brasil, Reino Unido, China, Hong Kong y México, entre otros.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Sin lugar a dudas que los acuerdos comerciales suscritos por Chile con otros países han sido beneficiosos para los envíos de ciruela fresca, ya que esta fruta no paga arancel de internación en Canadá, México, Venezuela, Ecuador, Bolivia, Colombia y MERCOSUR.</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rPr>
          <w:rFonts w:cs="Arial"/>
        </w:rPr>
      </w:pPr>
      <w:r w:rsidRPr="003A4B56">
        <w:rPr>
          <w:rFonts w:cs="Arial"/>
        </w:rPr>
        <w:t xml:space="preserve">Asimismo, entre los Tratados de Libre Comercio más recientes, dejó de pagar este tributo, desde la entrada en vigencia del acuerdo, en Estados Unidos y los países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En China este producto no grava su entrada desde el año 5 de vigencia del acuerdo, es decir, desde 2010.  En Japón, con un arancel inicial de 6%, éste se reducirá a 0 al cabo de ocho años, es decir, en 2015.</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En términos generales, cabe señalar que Estados Unidos es un gran consumidor de esta fruta y, por lo tanto, un importante nicho de colocación para el producto nacional donde tradicionalmente se envía la fruta de mayor calibre. Como segunda alternativa, emerge el mercado Latinoamericano, sector en que se comercializa la fruta más chica.</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En la década de los 90 la mayor parte de la producción chilena de ciruelas estaba constituida principalmente por variedades negras, hoy en día las plantaciones están orientadas a los cultivares rojos de buen calibre; el interés apunta a diversificar la oferta y escalonar la producción a lo largo de la temporada.</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 xml:space="preserve">Lo fundamental en el negocio del mercado externo son los calibres grandes y la buena condición de llegada, muchas veces se privilegia el período de guarda para tener mejores posibilidades de comercialización, desde enero en adelante cuando los arribos son masivos. </w:t>
      </w:r>
    </w:p>
    <w:p w:rsidR="000A1474" w:rsidRDefault="000A1474" w:rsidP="00B51B51">
      <w:pPr>
        <w:widowControl w:val="0"/>
        <w:tabs>
          <w:tab w:val="left" w:pos="8789"/>
        </w:tabs>
        <w:ind w:right="49"/>
        <w:rPr>
          <w:rFonts w:cs="Arial"/>
        </w:rPr>
      </w:pPr>
    </w:p>
    <w:p w:rsidR="00E362F8" w:rsidRPr="003A4B56" w:rsidRDefault="00E362F8"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lastRenderedPageBreak/>
        <w:t xml:space="preserve">De hecho, tanto a inicios como a fines de temporada, los precios alcanzados en el exterior son más elevados, por cuanto alrededor de un 50% de los envíos tiene lugar entre mediados de enero y febrero, lo que coincide con la llegada de las variedades de media estación; en esta fecha se registran los menores precios por razones de oferta. Esta concentración debiera disminuir en los próximos años, en la medida que las nuevas plantaciones incluyan cultivares tempranos y/o tardíos. </w:t>
      </w:r>
    </w:p>
    <w:p w:rsidR="000A1474" w:rsidRPr="003A4B56" w:rsidRDefault="000A1474" w:rsidP="00B51B51">
      <w:pPr>
        <w:widowControl w:val="0"/>
        <w:tabs>
          <w:tab w:val="left" w:pos="8789"/>
        </w:tabs>
        <w:ind w:right="49"/>
        <w:rPr>
          <w:rFonts w:cs="Arial"/>
        </w:rPr>
      </w:pPr>
    </w:p>
    <w:p w:rsidR="000A1474" w:rsidRPr="003A4B56" w:rsidRDefault="000A1474" w:rsidP="00B51B51">
      <w:pPr>
        <w:widowControl w:val="0"/>
        <w:tabs>
          <w:tab w:val="left" w:pos="8789"/>
        </w:tabs>
        <w:ind w:right="49"/>
        <w:rPr>
          <w:rFonts w:cs="Arial"/>
        </w:rPr>
      </w:pPr>
      <w:r w:rsidRPr="003A4B56">
        <w:rPr>
          <w:rFonts w:cs="Arial"/>
        </w:rPr>
        <w:t>Cabe señalar que, si bien en el último tiempo se ha estado arrancando variedades también se ha estado plantando, dinámica estrechamente relacionada con los requerimientos de los países de destino, precios, problemas de manejo y de postcosecha, entre otros.</w:t>
      </w:r>
    </w:p>
    <w:p w:rsidR="000A1474" w:rsidRPr="003A4B56" w:rsidRDefault="000A1474" w:rsidP="00B51B51">
      <w:pPr>
        <w:widowControl w:val="0"/>
        <w:tabs>
          <w:tab w:val="left" w:pos="0"/>
          <w:tab w:val="left" w:pos="426"/>
          <w:tab w:val="left" w:pos="720"/>
          <w:tab w:val="left" w:pos="851"/>
          <w:tab w:val="left" w:pos="1418"/>
          <w:tab w:val="left" w:pos="8789"/>
        </w:tabs>
        <w:ind w:right="49"/>
        <w:rPr>
          <w:rFonts w:cs="Arial"/>
          <w:noProof/>
          <w:szCs w:val="22"/>
        </w:rPr>
      </w:pPr>
    </w:p>
    <w:p w:rsidR="000A1474" w:rsidRPr="003A4B56" w:rsidRDefault="00F36FC3" w:rsidP="00B51B51">
      <w:pPr>
        <w:widowControl w:val="0"/>
      </w:pPr>
      <w:r w:rsidRPr="003A4B56">
        <w:t>-</w:t>
      </w:r>
      <w:r w:rsidRPr="003A4B56">
        <w:tab/>
      </w:r>
      <w:r w:rsidR="000A1474" w:rsidRPr="003A4B56">
        <w:t xml:space="preserve">Duraznero </w:t>
      </w:r>
    </w:p>
    <w:p w:rsidR="000A1474" w:rsidRPr="003A4B56" w:rsidRDefault="000A1474" w:rsidP="00B51B51">
      <w:pPr>
        <w:widowControl w:val="0"/>
        <w:tabs>
          <w:tab w:val="left" w:pos="0"/>
          <w:tab w:val="left" w:pos="720"/>
        </w:tabs>
        <w:rPr>
          <w:rFonts w:ascii="Bookman Old Style" w:hAnsi="Bookman Old Style" w:cs="Bookman Old Style"/>
          <w:lang w:val="es-CL"/>
        </w:rPr>
      </w:pPr>
    </w:p>
    <w:p w:rsidR="000A1474" w:rsidRPr="003A4B56" w:rsidRDefault="000A1474" w:rsidP="00B51B51">
      <w:pPr>
        <w:widowControl w:val="0"/>
        <w:tabs>
          <w:tab w:val="left" w:pos="0"/>
          <w:tab w:val="left" w:pos="720"/>
        </w:tabs>
        <w:rPr>
          <w:rFonts w:cs="Arial"/>
        </w:rPr>
      </w:pPr>
      <w:r w:rsidRPr="003A4B56">
        <w:rPr>
          <w:rFonts w:cs="Arial"/>
        </w:rPr>
        <w:t xml:space="preserve">De acuerdo a antecedentes de ODEPA y el INE, entre 1990 y 2007 la superficie nacional destinada al duraznero de consumo fresco experimentó un aumento del orden del 29,6%, al pasar de </w:t>
      </w:r>
      <w:smartTag w:uri="urn:schemas-microsoft-com:office:smarttags" w:element="metricconverter">
        <w:smartTagPr>
          <w:attr w:name="ProductID" w:val="4.992 hectáreas"/>
        </w:smartTagPr>
        <w:r w:rsidRPr="003A4B56">
          <w:rPr>
            <w:rFonts w:cs="Arial"/>
          </w:rPr>
          <w:t>4.992 hectáreas</w:t>
        </w:r>
      </w:smartTag>
      <w:r w:rsidRPr="003A4B56">
        <w:rPr>
          <w:rFonts w:cs="Arial"/>
        </w:rPr>
        <w:t xml:space="preserve"> a </w:t>
      </w:r>
      <w:smartTag w:uri="urn:schemas-microsoft-com:office:smarttags" w:element="metricconverter">
        <w:smartTagPr>
          <w:attr w:name="ProductID" w:val="6.472 hectáreas"/>
        </w:smartTagPr>
        <w:r w:rsidRPr="003A4B56">
          <w:rPr>
            <w:rFonts w:cs="Arial"/>
          </w:rPr>
          <w:t>6.472 hectáreas</w:t>
        </w:r>
      </w:smartTag>
      <w:r w:rsidRPr="003A4B56">
        <w:rPr>
          <w:rFonts w:cs="Arial"/>
        </w:rPr>
        <w:t xml:space="preserve">, aunque al interior del período se evidenciaron arranques y plantaciones de esta especie con el objeto de introducir nuevas variedades.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el p</w:t>
      </w:r>
      <w:r w:rsidR="006C2722">
        <w:rPr>
          <w:rFonts w:cs="Arial"/>
        </w:rPr>
        <w:t xml:space="preserve">aís los huertos comerciales de </w:t>
      </w:r>
      <w:r w:rsidRPr="003A4B56">
        <w:rPr>
          <w:rFonts w:cs="Arial"/>
        </w:rPr>
        <w:t xml:space="preserve">durazneros se distribuyen desde </w:t>
      </w:r>
      <w:smartTag w:uri="urn:schemas-microsoft-com:office:smarttags" w:element="PersonName">
        <w:smartTagPr>
          <w:attr w:name="ProductID" w:val="la IV"/>
        </w:smartTagPr>
        <w:r w:rsidRPr="003A4B56">
          <w:rPr>
            <w:rFonts w:cs="Arial"/>
          </w:rPr>
          <w:t>la IV</w:t>
        </w:r>
      </w:smartTag>
      <w:r w:rsidRPr="003A4B56">
        <w:rPr>
          <w:rFonts w:cs="Arial"/>
        </w:rPr>
        <w:t xml:space="preserve"> a </w:t>
      </w:r>
      <w:smartTag w:uri="urn:schemas-microsoft-com:office:smarttags" w:element="PersonName">
        <w:smartTagPr>
          <w:attr w:name="ProductID" w:val="la VII Región."/>
        </w:smartTagPr>
        <w:r w:rsidRPr="003A4B56">
          <w:rPr>
            <w:rFonts w:cs="Arial"/>
          </w:rPr>
          <w:t>la VII Región.</w:t>
        </w:r>
      </w:smartTag>
      <w:r w:rsidRPr="003A4B56">
        <w:rPr>
          <w:rFonts w:cs="Arial"/>
        </w:rPr>
        <w:t xml:space="preserve">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representa el 49,3% de la superficie total, con </w:t>
      </w:r>
      <w:smartTag w:uri="urn:schemas-microsoft-com:office:smarttags" w:element="metricconverter">
        <w:smartTagPr>
          <w:attr w:name="ProductID" w:val="3.190,5 hectáreas"/>
        </w:smartTagPr>
        <w:r w:rsidRPr="003A4B56">
          <w:rPr>
            <w:rFonts w:cs="Arial"/>
          </w:rPr>
          <w:t>3.190,5 hectáreas</w:t>
        </w:r>
      </w:smartTag>
      <w:r w:rsidRPr="003A4B56">
        <w:rPr>
          <w:rFonts w:cs="Arial"/>
        </w:rPr>
        <w:t>.  Al interior de la región se distribuyen en 97,8% en la provincia de Cachapoal; 2,1% en Colchagua y, finalmente, 0,1% en Cardenal Caro.</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Cabe destacar que la producción de duraznos de consumo fresco se destina fundamentalmente a la exportación y el resto se comercializa en el mercado interno. En este plano es importante indicar que las exportaciones de esta fruta no han mostrado un crecimiento importante como el de otras especies debido a los problemas de postcosecha que presentan algunas variedades, lo que ha limitado este tipo de transacciones. No obstante, en las últimas temporadas éstas se han recuperado significativamente.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Así, los embarques al exterior,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_Ref336588807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5.38</w:t>
      </w:r>
      <w:r w:rsidRPr="003A4B56">
        <w:rPr>
          <w:rFonts w:cs="Arial"/>
        </w:rPr>
        <w:fldChar w:fldCharType="end"/>
      </w:r>
      <w:r w:rsidRPr="003A4B56">
        <w:rPr>
          <w:rFonts w:cs="Arial"/>
        </w:rPr>
        <w:t xml:space="preserve">, si bien han mostrado importantes fluctuaciones la tendencia ha sido al alza, comportamiento que se constató con mayor relevancia durante los años 2004 y 2008. Posteriormente, en el último trienio las exportaciones fluctuaron entre las 36 mil y 40 mil toneladas, pero con retornos mayores. De esta manera, en 2011 se transaron en el exterior de 37.680 toneladas, equivalentes a más de US$ 44 millones FOB.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Estados Unidos es el principal destino de las exportaciones chilenas, con más del 58% de los embarques. Los países latinoamericanos, especialmente México, aparecen como crecientes demandantes, destacándose además la participación de Brasil y Ecuador; entre los destinos europeos más significativos figuran Holanda y España.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relación a la entrada del durazno chileno en las diferentes plazas de colocación, cabe destacar que cada una de ella presenta aranceles de importación y requisitos distintos. Así, en Estados Unidos actualmente con ocasión de tratado de libre comercio no paga arancel de internación, sólo debe cumplir una doble condición de ingreso, inspección conjunta SAG/USDA-APHIS y fumigación con bromuro de metilo, en origen o en destino; antes del acuerdo debía pagar un impuesto de internación de 0,2 centavos de dólar por kilo desde el 1º de junio hasta el 30 de noviembre, el resto del año ese tributo era cero. </w:t>
      </w:r>
    </w:p>
    <w:p w:rsidR="000A1474"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2" w:name="_Ref336588807"/>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38</w:t>
      </w:r>
      <w:r w:rsidR="00951FEC">
        <w:rPr>
          <w:b/>
        </w:rPr>
        <w:fldChar w:fldCharType="end"/>
      </w:r>
      <w:bookmarkEnd w:id="332"/>
    </w:p>
    <w:p w:rsidR="000A1474" w:rsidRPr="003A4B56" w:rsidRDefault="00254CE2" w:rsidP="00B51B51">
      <w:pPr>
        <w:widowControl w:val="0"/>
        <w:tabs>
          <w:tab w:val="left" w:pos="0"/>
          <w:tab w:val="left" w:pos="720"/>
        </w:tabs>
        <w:jc w:val="center"/>
        <w:rPr>
          <w:rFonts w:ascii="Bookman Old Style" w:hAnsi="Bookman Old Style" w:cs="Bookman Old Style"/>
          <w:lang w:val="es-CL"/>
        </w:rPr>
      </w:pPr>
      <w:r>
        <w:rPr>
          <w:noProof/>
          <w:lang w:val="es-CL" w:eastAsia="es-CL"/>
        </w:rPr>
        <w:drawing>
          <wp:inline distT="0" distB="0" distL="0" distR="0">
            <wp:extent cx="4912360" cy="2477135"/>
            <wp:effectExtent l="0" t="0" r="2540" b="0"/>
            <wp:docPr id="144"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912360" cy="2477135"/>
                    </a:xfrm>
                    <a:prstGeom prst="rect">
                      <a:avLst/>
                    </a:prstGeom>
                    <a:noFill/>
                    <a:ln>
                      <a:noFill/>
                    </a:ln>
                  </pic:spPr>
                </pic:pic>
              </a:graphicData>
            </a:graphic>
          </wp:inline>
        </w:drawing>
      </w:r>
    </w:p>
    <w:p w:rsidR="000A1474" w:rsidRPr="003A4B56" w:rsidRDefault="000A1474" w:rsidP="00B51B51">
      <w:pPr>
        <w:widowControl w:val="0"/>
        <w:tabs>
          <w:tab w:val="left" w:pos="0"/>
          <w:tab w:val="left" w:pos="720"/>
        </w:tabs>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Asimismo, en México, Colombia, Venezuela y Ecuador los envíos no pagan arancel; en tanto que en los países que conforman el MERCOSUR la condición varía. En efecto, Argentina otorgó una preferencia arancelaria de 62% por sobre el arancel vigente y Brasil, por su parte, concedió una preferencia de un 100% en </w:t>
      </w:r>
      <w:smartTag w:uri="urn:schemas-microsoft-com:office:smarttags" w:element="metricconverter">
        <w:smartTagPr>
          <w:attr w:name="ProductID" w:val="1998 a"/>
        </w:smartTagPr>
        <w:r w:rsidRPr="003A4B56">
          <w:rPr>
            <w:rFonts w:cs="Arial"/>
          </w:rPr>
          <w:t>1998 a</w:t>
        </w:r>
      </w:smartTag>
      <w:r w:rsidRPr="003A4B56">
        <w:rPr>
          <w:rFonts w:cs="Arial"/>
        </w:rPr>
        <w:t xml:space="preserve"> un cupo anual de 181 toneladas, el que se incrementa anualmente en 10%; en este bloque el arancel se igualó a cero el año 2011.</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Perú, entretanto, en arancel de internación se igualó a cero el año 2008. En el Acuerdo Comercial firmado con Bolivia, a esta fruta se le concedió una preferencia de 12%, por lo que debe pagar un arancel de 8,8%. En Taiwán el impuesto de internación se eleva a 50%, en Costa Rica a 16% y en Guatemala a 15%.</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Por último, es válido destacar que debido al tratado de libre comercio con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es probable que este nicho amplíe las colocaciones del durazno chileno en los próximos años, por cuanto este producto experimentó una desgravación lineal a 7 años, desde un monto inicial de 17,6%, por lo que desde el año 2011 no paga arancel. Asimismo, en China este tributo se igualó a cero en el año 5, es decir, en 2011. Entretanto, en Corea lo hará en el año 10 (2014) y en Japón en el año 8 (2014).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No obstante lo anterior, cabe señalar que en este rubro aun quedan grandes desafíos por superar con el objeto de consolidarse en los mercados internacionales. Es imprescindible mejorar la postcosecha de la fruta, pues presenta serios problemas de condición de llegada. Esto se lograría a través de la investigación a nivel de campo y de postcosecha así como también con la selección de nuevas variedades. Una forma de lograr mayores precios es con la explotación de cultivares tempranos, aunque éstos pueden presentar problemas de calibre.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 el ámbito doméstico, el principal canal de comercialización del producto fresco son los mercados mayoristas de Santiago, donde las transacciones se inician en octubre y se extienden hasta abril. La evolución de los precios depende de la oferta y del resultado de las exportaciones.</w:t>
      </w:r>
    </w:p>
    <w:p w:rsidR="000A1474" w:rsidRDefault="000A1474" w:rsidP="00B51B51">
      <w:pPr>
        <w:widowControl w:val="0"/>
        <w:tabs>
          <w:tab w:val="left" w:pos="0"/>
          <w:tab w:val="left" w:pos="720"/>
        </w:tabs>
        <w:rPr>
          <w:rFonts w:cs="Arial"/>
        </w:rPr>
      </w:pPr>
    </w:p>
    <w:p w:rsidR="00E362F8" w:rsidRPr="003A4B56" w:rsidRDefault="00E362F8"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lastRenderedPageBreak/>
        <w:t>A inicios de temporada este producto tendría su principal nicho de colocación en los mercados mayoristas de Santiago, donde en el mes de octubre los precios de esta fruta superan, en promedio, los $600/kg. A partir de noviembre, las cotizaciones descienden signif</w:t>
      </w:r>
      <w:r w:rsidR="006C2722">
        <w:rPr>
          <w:rFonts w:cs="Arial"/>
        </w:rPr>
        <w:t xml:space="preserve">icativamente, ya que comienzan </w:t>
      </w:r>
      <w:r w:rsidRPr="003A4B56">
        <w:rPr>
          <w:rFonts w:cs="Arial"/>
        </w:rPr>
        <w:t>a llegar al mercado duraznos de otras zonas ubicadas más al sur, por lo que el mercado internacional resulta una alternativa más rentable.</w:t>
      </w:r>
    </w:p>
    <w:p w:rsidR="000A1474" w:rsidRPr="003A4B56" w:rsidRDefault="000A1474" w:rsidP="00B51B51">
      <w:pPr>
        <w:widowControl w:val="0"/>
        <w:tabs>
          <w:tab w:val="left" w:pos="0"/>
          <w:tab w:val="left" w:pos="720"/>
        </w:tabs>
        <w:rPr>
          <w:rFonts w:cs="Arial"/>
          <w:sz w:val="20"/>
        </w:rPr>
      </w:pPr>
    </w:p>
    <w:p w:rsidR="000A1474" w:rsidRPr="003A4B56" w:rsidRDefault="000A1474" w:rsidP="00B51B51">
      <w:pPr>
        <w:widowControl w:val="0"/>
        <w:tabs>
          <w:tab w:val="left" w:pos="0"/>
          <w:tab w:val="left" w:pos="720"/>
        </w:tabs>
        <w:rPr>
          <w:rFonts w:cs="Arial"/>
        </w:rPr>
      </w:pPr>
      <w:r w:rsidRPr="003A4B56">
        <w:rPr>
          <w:rFonts w:cs="Arial"/>
        </w:rPr>
        <w:t xml:space="preserve">En relación al durazno conservero, cabe señalar que en 2007 la superficie nacional destinada a este frutal totalizó </w:t>
      </w:r>
      <w:smartTag w:uri="urn:schemas-microsoft-com:office:smarttags" w:element="metricconverter">
        <w:smartTagPr>
          <w:attr w:name="ProductID" w:val="10.277,4 hectáreas"/>
        </w:smartTagPr>
        <w:r w:rsidRPr="003A4B56">
          <w:rPr>
            <w:rFonts w:cs="Arial"/>
          </w:rPr>
          <w:t>10.277,4 hectáreas</w:t>
        </w:r>
      </w:smartTag>
      <w:r w:rsidRPr="003A4B56">
        <w:rPr>
          <w:rFonts w:cs="Arial"/>
        </w:rPr>
        <w:t xml:space="preserve">, de las cuales el 12,9% se encontraba en formación y el 87,6% en producción.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representa el 47,8% de la superficie total, es decir, </w:t>
      </w:r>
      <w:smartTag w:uri="urn:schemas-microsoft-com:office:smarttags" w:element="metricconverter">
        <w:smartTagPr>
          <w:attr w:name="ProductID" w:val="4.913,8 hectáreas"/>
        </w:smartTagPr>
        <w:r w:rsidRPr="003A4B56">
          <w:rPr>
            <w:rFonts w:cs="Arial"/>
          </w:rPr>
          <w:t>4.913,8 hectáreas</w:t>
        </w:r>
      </w:smartTag>
      <w:r w:rsidRPr="003A4B56">
        <w:rPr>
          <w:rFonts w:cs="Arial"/>
        </w:rPr>
        <w:t xml:space="preserve">.  Al interior de la región se distribuye en 93,6% en la provincia de Cachapoal; 6,3% en Colchagua y el 0,1% restante en la correspondiente a Cardenal Caro. </w:t>
      </w:r>
    </w:p>
    <w:p w:rsidR="000A1474" w:rsidRPr="003A4B56" w:rsidRDefault="000A1474" w:rsidP="00B51B51">
      <w:pPr>
        <w:widowControl w:val="0"/>
        <w:tabs>
          <w:tab w:val="left" w:pos="0"/>
          <w:tab w:val="left" w:pos="720"/>
        </w:tabs>
        <w:rPr>
          <w:rFonts w:cs="Arial"/>
          <w:sz w:val="20"/>
        </w:rPr>
      </w:pPr>
    </w:p>
    <w:p w:rsidR="000A1474" w:rsidRPr="003A4B56" w:rsidRDefault="000A1474" w:rsidP="00B51B51">
      <w:pPr>
        <w:widowControl w:val="0"/>
        <w:tabs>
          <w:tab w:val="left" w:pos="0"/>
          <w:tab w:val="left" w:pos="720"/>
        </w:tabs>
        <w:rPr>
          <w:rFonts w:cs="Arial"/>
        </w:rPr>
      </w:pPr>
      <w:r w:rsidRPr="003A4B56">
        <w:rPr>
          <w:rFonts w:cs="Arial"/>
        </w:rPr>
        <w:t>Cabe destacar que su destino es fundamentalmente la agroindustria; sin embargo, cuando los precios del tipo de consumo fresco están altos, éste también se transa con ese propósito. En general, en las nuevas plantaciones de este tipo de durazno, se está tendiendo a la utilización de variedades tempranas o tardías, ya que ellas son las mejor pagadas por la agroindustria, pues permite hacer un uso más eficiente de la capacidad instalada.</w:t>
      </w:r>
    </w:p>
    <w:p w:rsidR="000A1474" w:rsidRPr="003A4B56" w:rsidRDefault="000A1474" w:rsidP="00B51B51">
      <w:pPr>
        <w:widowControl w:val="0"/>
        <w:tabs>
          <w:tab w:val="left" w:pos="0"/>
          <w:tab w:val="left" w:pos="720"/>
        </w:tabs>
        <w:rPr>
          <w:rFonts w:cs="Arial"/>
          <w:sz w:val="20"/>
        </w:rPr>
      </w:pPr>
    </w:p>
    <w:p w:rsidR="000A1474" w:rsidRPr="003A4B56" w:rsidRDefault="000A1474" w:rsidP="00B51B51">
      <w:pPr>
        <w:widowControl w:val="0"/>
        <w:tabs>
          <w:tab w:val="left" w:pos="0"/>
          <w:tab w:val="left" w:pos="720"/>
        </w:tabs>
        <w:rPr>
          <w:rFonts w:cs="Arial"/>
        </w:rPr>
      </w:pPr>
      <w:r w:rsidRPr="003A4B56">
        <w:rPr>
          <w:rFonts w:cs="Arial"/>
        </w:rPr>
        <w:t>En el durazno conservero se busca productividad y calidad de la fruta para el manejo industrial; los precios pagados por las conserveras varían entre US$0,20 y US$ 0,30 por kilo, lo que depende de las expectativas de exportación de las conservas, de la oferta interna y de las exportaciones del producto fresco.</w:t>
      </w:r>
    </w:p>
    <w:p w:rsidR="000A1474" w:rsidRPr="003A4B56" w:rsidRDefault="000A1474" w:rsidP="00B51B51">
      <w:pPr>
        <w:widowControl w:val="0"/>
        <w:tabs>
          <w:tab w:val="left" w:pos="0"/>
          <w:tab w:val="left" w:pos="720"/>
        </w:tabs>
        <w:rPr>
          <w:rFonts w:cs="Arial"/>
          <w:sz w:val="20"/>
        </w:rPr>
      </w:pPr>
    </w:p>
    <w:p w:rsidR="000A1474" w:rsidRPr="003A4B56" w:rsidRDefault="000A1474" w:rsidP="00B51B51">
      <w:pPr>
        <w:widowControl w:val="0"/>
        <w:tabs>
          <w:tab w:val="left" w:pos="0"/>
          <w:tab w:val="left" w:pos="720"/>
        </w:tabs>
        <w:rPr>
          <w:rFonts w:cs="Arial"/>
        </w:rPr>
      </w:pPr>
      <w:r w:rsidRPr="003A4B56">
        <w:rPr>
          <w:rFonts w:cs="Arial"/>
        </w:rPr>
        <w:t xml:space="preserve">Cabe señalar que las exportaciones de duraznos en compotas, jaleas, pastas y pulpas,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_Ref336588863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5.39</w:t>
      </w:r>
      <w:r w:rsidRPr="003A4B56">
        <w:rPr>
          <w:rFonts w:cs="Arial"/>
        </w:rPr>
        <w:fldChar w:fldCharType="end"/>
      </w:r>
      <w:r w:rsidRPr="003A4B56">
        <w:rPr>
          <w:rFonts w:cs="Arial"/>
        </w:rPr>
        <w:t xml:space="preserve">, han experimentado una importante expansión, al pasar de 1.865 toneladas en </w:t>
      </w:r>
      <w:smartTag w:uri="urn:schemas-microsoft-com:office:smarttags" w:element="metricconverter">
        <w:smartTagPr>
          <w:attr w:name="ProductID" w:val="1990 a"/>
        </w:smartTagPr>
        <w:r w:rsidRPr="003A4B56">
          <w:rPr>
            <w:rFonts w:cs="Arial"/>
          </w:rPr>
          <w:t>1990 a</w:t>
        </w:r>
      </w:smartTag>
      <w:r w:rsidRPr="003A4B56">
        <w:rPr>
          <w:rFonts w:cs="Arial"/>
        </w:rPr>
        <w:t xml:space="preserve"> 54.814 toneladas en 2011, éstas últimas equivalentes a más de US$ 58 millones FOB. El destino de estos envíos estuvo constituido por Rusia, Brasil, México, Venezuela, Perú, Ecuador y Estados Unidos, entre otros.</w:t>
      </w:r>
    </w:p>
    <w:p w:rsidR="000A1474" w:rsidRPr="003A4B56" w:rsidRDefault="000A1474" w:rsidP="00B51B51">
      <w:pPr>
        <w:widowControl w:val="0"/>
        <w:tabs>
          <w:tab w:val="left" w:pos="0"/>
          <w:tab w:val="left" w:pos="720"/>
        </w:tabs>
        <w:rPr>
          <w:rFonts w:cs="Arial"/>
          <w:sz w:val="18"/>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3" w:name="_Ref336588863"/>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39</w:t>
      </w:r>
      <w:r w:rsidR="00951FEC">
        <w:rPr>
          <w:b/>
        </w:rPr>
        <w:fldChar w:fldCharType="end"/>
      </w:r>
      <w:bookmarkEnd w:id="333"/>
    </w:p>
    <w:p w:rsidR="000A1474" w:rsidRPr="003A4B56" w:rsidRDefault="00254CE2" w:rsidP="00B51B51">
      <w:pPr>
        <w:widowControl w:val="0"/>
        <w:jc w:val="center"/>
        <w:rPr>
          <w:rFonts w:ascii="Bookman Old Style" w:hAnsi="Bookman Old Style" w:cs="Bookman Old Style"/>
          <w:lang w:val="es-CL"/>
        </w:rPr>
      </w:pPr>
      <w:r>
        <w:rPr>
          <w:noProof/>
          <w:lang w:val="es-CL" w:eastAsia="es-CL"/>
        </w:rPr>
        <w:drawing>
          <wp:inline distT="0" distB="0" distL="0" distR="0">
            <wp:extent cx="4784725" cy="2392045"/>
            <wp:effectExtent l="0" t="0" r="0" b="825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784725" cy="2392045"/>
                    </a:xfrm>
                    <a:prstGeom prst="rect">
                      <a:avLst/>
                    </a:prstGeom>
                    <a:noFill/>
                    <a:ln>
                      <a:noFill/>
                    </a:ln>
                  </pic:spPr>
                </pic:pic>
              </a:graphicData>
            </a:graphic>
          </wp:inline>
        </w:drawing>
      </w:r>
    </w:p>
    <w:p w:rsidR="000A1474" w:rsidRPr="003A4B56" w:rsidRDefault="000A1474" w:rsidP="00B51B51">
      <w:pPr>
        <w:widowControl w:val="0"/>
        <w:tabs>
          <w:tab w:val="left" w:pos="0"/>
          <w:tab w:val="left" w:pos="720"/>
        </w:tabs>
        <w:jc w:val="center"/>
        <w:rPr>
          <w:rFonts w:cs="Arial"/>
          <w:sz w:val="20"/>
          <w:szCs w:val="20"/>
          <w:lang w:val="es-CL"/>
        </w:rPr>
      </w:pPr>
      <w:r w:rsidRPr="003A4B56">
        <w:rPr>
          <w:rFonts w:cs="Arial"/>
          <w:sz w:val="20"/>
          <w:szCs w:val="20"/>
          <w:lang w:val="es-CL"/>
        </w:rPr>
        <w:t>Fuente: Elaboración propia, en base a antecedentes de ODEPA</w:t>
      </w:r>
    </w:p>
    <w:p w:rsidR="001C71B3" w:rsidRDefault="001C71B3"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Sin lugar a dudas que los acuerdos comerciales suscritos por Chile con otros países ha sido beneficioso para los envíos de duraznos conserveros en compotas, jaleas, pastas y pulpas, por cuanto este producto no paga arancel de internación en México, Venezuela, Ecuador, Bolivia, Colombia y Perú. En los países que conforman el  MERCOSUR lo hace a partir del año 2011.</w:t>
      </w:r>
    </w:p>
    <w:p w:rsidR="000A1474" w:rsidRPr="003A4B56" w:rsidRDefault="000A1474" w:rsidP="00B51B51">
      <w:pPr>
        <w:widowControl w:val="0"/>
        <w:tabs>
          <w:tab w:val="left" w:pos="0"/>
          <w:tab w:val="left" w:pos="720"/>
        </w:tabs>
        <w:rPr>
          <w:rFonts w:cs="Arial"/>
        </w:rPr>
      </w:pPr>
      <w:r w:rsidRPr="003A4B56">
        <w:rPr>
          <w:rFonts w:cs="Arial"/>
        </w:rPr>
        <w:lastRenderedPageBreak/>
        <w:t xml:space="preserve">En los Tratados de Libre Comercio más recientes, dejó de pagar este tributo, en Corea; en tanto que en China y Japón, lo hará en los años 10 y 16 desde la entrada en vigencia del acuerdo. En Estados Unidos donde este impuesto ascendía 11,2%, la desgravación arancelaria será total el año 8 de entrada en vigencia del acuerdo, es decir, en 2012.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Asimismo, los embarques de duraznos en conserva al natural,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_Ref336589575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5.40</w:t>
      </w:r>
      <w:r w:rsidRPr="003A4B56">
        <w:rPr>
          <w:rFonts w:cs="Arial"/>
        </w:rPr>
        <w:fldChar w:fldCharType="end"/>
      </w:r>
      <w:r w:rsidRPr="003A4B56">
        <w:rPr>
          <w:rFonts w:cs="Arial"/>
        </w:rPr>
        <w:t xml:space="preserve">, han experimentado una importante expansión, al pasar de 13.323 toneladas en </w:t>
      </w:r>
      <w:smartTag w:uri="urn:schemas-microsoft-com:office:smarttags" w:element="metricconverter">
        <w:smartTagPr>
          <w:attr w:name="ProductID" w:val="1990 a"/>
        </w:smartTagPr>
        <w:r w:rsidRPr="003A4B56">
          <w:rPr>
            <w:rFonts w:cs="Arial"/>
          </w:rPr>
          <w:t>1990 a</w:t>
        </w:r>
      </w:smartTag>
      <w:r w:rsidRPr="003A4B56">
        <w:rPr>
          <w:rFonts w:cs="Arial"/>
        </w:rPr>
        <w:t xml:space="preserve"> 66.314 toneladas en 2011, éstas últimas equivalentes a más de US$ 87 millones FOB. El destino de estos envíos estuvo constituido por México, Perú, Colombia, Ecuador, Venezuela, Bolivia y Estados Unidos, entre otros.</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4" w:name="_Ref336589575"/>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40</w:t>
      </w:r>
      <w:r w:rsidR="00951FEC">
        <w:rPr>
          <w:b/>
        </w:rPr>
        <w:fldChar w:fldCharType="end"/>
      </w:r>
      <w:bookmarkEnd w:id="334"/>
    </w:p>
    <w:p w:rsidR="000A1474" w:rsidRPr="003A4B56" w:rsidRDefault="00254CE2" w:rsidP="00B51B51">
      <w:pPr>
        <w:widowControl w:val="0"/>
        <w:jc w:val="center"/>
        <w:rPr>
          <w:rFonts w:ascii="Bookman Old Style" w:hAnsi="Bookman Old Style" w:cs="Bookman Old Style"/>
          <w:lang w:val="es-CL"/>
        </w:rPr>
      </w:pPr>
      <w:r>
        <w:rPr>
          <w:noProof/>
          <w:lang w:val="es-CL" w:eastAsia="es-CL"/>
        </w:rPr>
        <w:drawing>
          <wp:inline distT="0" distB="0" distL="0" distR="0">
            <wp:extent cx="4731385" cy="2339340"/>
            <wp:effectExtent l="0" t="0" r="0" b="381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731385" cy="2339340"/>
                    </a:xfrm>
                    <a:prstGeom prst="rect">
                      <a:avLst/>
                    </a:prstGeom>
                    <a:noFill/>
                    <a:ln>
                      <a:noFill/>
                    </a:ln>
                  </pic:spPr>
                </pic:pic>
              </a:graphicData>
            </a:graphic>
          </wp:inline>
        </w:drawing>
      </w:r>
    </w:p>
    <w:p w:rsidR="000A1474" w:rsidRPr="003A4B56" w:rsidRDefault="000A1474" w:rsidP="00B51B51">
      <w:pPr>
        <w:widowControl w:val="0"/>
        <w:tabs>
          <w:tab w:val="left" w:pos="0"/>
          <w:tab w:val="left" w:pos="720"/>
        </w:tabs>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rPr>
          <w:rFonts w:ascii="Bookman Old Style" w:hAnsi="Bookman Old Style" w:cs="Bookman Old Style"/>
          <w:lang w:val="es-CL"/>
        </w:rPr>
      </w:pPr>
    </w:p>
    <w:p w:rsidR="000A1474" w:rsidRPr="003A4B56" w:rsidRDefault="000A1474" w:rsidP="00B51B51">
      <w:pPr>
        <w:widowControl w:val="0"/>
        <w:tabs>
          <w:tab w:val="left" w:pos="0"/>
          <w:tab w:val="left" w:pos="720"/>
        </w:tabs>
        <w:rPr>
          <w:rFonts w:cs="Arial"/>
        </w:rPr>
      </w:pPr>
      <w:r w:rsidRPr="003A4B56">
        <w:rPr>
          <w:rFonts w:cs="Arial"/>
        </w:rPr>
        <w:t>En el ámbito de los Tratados de Libre Comercio firmados por Chile, cabe señalar que éstos han sido favorables para el envío de duraznos en conserva al natural, ya que actualmente las exportaciones chilenas de este producto no gravan su entrada en Colombia, Ecuador, México, Perú y Venezuela. En los países del MERCOSUR hace a partir del año 2011.</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Entretanto, en los acuerdos más recientes firmados por Chile, este producto dejó de pagar arancel en China y Corea en el año 5 y 7, respectivamente; en tanto que en Corea lo hará en el año 11 desde la entrada en vigencia del acuerdo. En el caso de Estados Unidos, los duraznos en conservas mantuvieron el arancel vigente de 17% durante los primeros cuatro años de entrada en vigencia del acuerdo y luego el impuesto se igualará a cero el año 8, es decir, en 2012.</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De esta manera, las perspectivas para el durazno conservero son favorables, en la medida que se mantenga la evolución creciente de las exportaciones y se mantenga el repunte de los precios internacionales de los diferentes productos que se pueden elaborar con esta fruta. </w:t>
      </w:r>
    </w:p>
    <w:p w:rsidR="000A1474" w:rsidRPr="003A4B56" w:rsidRDefault="000A1474" w:rsidP="00B51B51">
      <w:pPr>
        <w:widowControl w:val="0"/>
        <w:tabs>
          <w:tab w:val="left" w:pos="0"/>
          <w:tab w:val="left" w:pos="720"/>
        </w:tabs>
        <w:rPr>
          <w:rFonts w:cs="Arial"/>
        </w:rPr>
      </w:pPr>
    </w:p>
    <w:p w:rsidR="000A1474" w:rsidRPr="003A4B56" w:rsidRDefault="00F36FC3" w:rsidP="00B51B51">
      <w:pPr>
        <w:widowControl w:val="0"/>
      </w:pPr>
      <w:r w:rsidRPr="003A4B56">
        <w:t>-</w:t>
      </w:r>
      <w:r w:rsidRPr="003A4B56">
        <w:tab/>
      </w:r>
      <w:r w:rsidR="000A1474" w:rsidRPr="003A4B56">
        <w:t>Kiwi</w:t>
      </w:r>
    </w:p>
    <w:p w:rsidR="000A1474" w:rsidRPr="003A4B56" w:rsidRDefault="000A1474" w:rsidP="00B51B51">
      <w:pPr>
        <w:widowControl w:val="0"/>
        <w:tabs>
          <w:tab w:val="left" w:pos="426"/>
          <w:tab w:val="left" w:pos="851"/>
          <w:tab w:val="left" w:pos="1418"/>
          <w:tab w:val="left" w:pos="8789"/>
        </w:tabs>
        <w:ind w:right="49"/>
        <w:rPr>
          <w:rFonts w:cs="Arial"/>
          <w:noProof/>
          <w:szCs w:val="22"/>
        </w:rPr>
      </w:pPr>
      <w:r w:rsidRPr="003A4B56">
        <w:rPr>
          <w:rFonts w:cs="Arial"/>
          <w:noProof/>
          <w:szCs w:val="22"/>
        </w:rPr>
        <w:tab/>
      </w:r>
    </w:p>
    <w:p w:rsidR="000A1474" w:rsidRPr="003A4B56" w:rsidRDefault="000A1474" w:rsidP="00B51B51">
      <w:pPr>
        <w:widowControl w:val="0"/>
        <w:tabs>
          <w:tab w:val="left" w:pos="0"/>
          <w:tab w:val="left" w:pos="720"/>
        </w:tabs>
        <w:rPr>
          <w:rFonts w:cs="Arial"/>
        </w:rPr>
      </w:pPr>
      <w:r w:rsidRPr="003A4B56">
        <w:rPr>
          <w:rFonts w:cs="Arial"/>
        </w:rPr>
        <w:t xml:space="preserve">De acuerdo a información de ODEPA e INE, entre los años 1990 y 1997, las plantaciones de kiwi en Chile experimentaron una caída de 33%, totalizando en 1996/97 del orden de </w:t>
      </w:r>
      <w:smartTag w:uri="urn:schemas-microsoft-com:office:smarttags" w:element="metricconverter">
        <w:smartTagPr>
          <w:attr w:name="ProductID" w:val="7.695 hectáreas"/>
        </w:smartTagPr>
        <w:r w:rsidRPr="003A4B56">
          <w:rPr>
            <w:rFonts w:cs="Arial"/>
          </w:rPr>
          <w:t>7.695 hectáreas</w:t>
        </w:r>
      </w:smartTag>
      <w:r w:rsidRPr="003A4B56">
        <w:rPr>
          <w:rFonts w:cs="Arial"/>
        </w:rPr>
        <w:t xml:space="preserve">, de las cuales </w:t>
      </w:r>
      <w:smartTag w:uri="urn:schemas-microsoft-com:office:smarttags" w:element="metricconverter">
        <w:smartTagPr>
          <w:attr w:name="ProductID" w:val="7.408,3 hectáreas"/>
        </w:smartTagPr>
        <w:r w:rsidRPr="003A4B56">
          <w:rPr>
            <w:rFonts w:cs="Arial"/>
          </w:rPr>
          <w:t>7.408,3 hectáreas</w:t>
        </w:r>
      </w:smartTag>
      <w:r w:rsidRPr="003A4B56">
        <w:rPr>
          <w:rFonts w:cs="Arial"/>
        </w:rPr>
        <w:t xml:space="preserve">, equivalentes a un 96,3% se encontraban en etapa </w:t>
      </w:r>
      <w:r w:rsidRPr="003A4B56">
        <w:rPr>
          <w:rFonts w:cs="Arial"/>
        </w:rPr>
        <w:lastRenderedPageBreak/>
        <w:t>de producción. Cabe señalar que a partir de la temporada 1990/91 se comenzó a evidenciar una disminución de las plantaciones, debido a que el margen se iba tornando cada vez más estrecho. Esta situación se constata con más fuerza en las regiones que no reunían las condiciones agroclimáticas para el desarrollo de esta especie.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Esta tendencia también tuvo lugar en otros países a nivel mundial, y resulta de especial relevancia el descenso registrado en Nueva Zelandia, país que al igual que Chile es un productor de contraestación respecto del hemisferio norte.</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Posteriormente, según estimaciones de ODEPA el área a nivel nacional dedicada a esta especie experimentó un leve incremento, ubicándose en el año 2000 en torno a </w:t>
      </w:r>
      <w:smartTag w:uri="urn:schemas-microsoft-com:office:smarttags" w:element="metricconverter">
        <w:smartTagPr>
          <w:attr w:name="ProductID" w:val="7.855 hectáreas"/>
        </w:smartTagPr>
        <w:r w:rsidRPr="003A4B56">
          <w:rPr>
            <w:rFonts w:cs="Arial"/>
          </w:rPr>
          <w:t>7.855 hectáreas</w:t>
        </w:r>
      </w:smartTag>
      <w:r w:rsidRPr="003A4B56">
        <w:rPr>
          <w:rFonts w:cs="Arial"/>
        </w:rPr>
        <w:t xml:space="preserve">, es decir, 2,1% más elevada que la existente en 1997. Asimismo, el INE en su VII Censo Nacional Agropecuario, da cuenta de que en 2006/07 existían </w:t>
      </w:r>
      <w:smartTag w:uri="urn:schemas-microsoft-com:office:smarttags" w:element="metricconverter">
        <w:smartTagPr>
          <w:attr w:name="ProductID" w:val="9.949 hectáreas"/>
        </w:smartTagPr>
        <w:r w:rsidRPr="003A4B56">
          <w:rPr>
            <w:rFonts w:cs="Arial"/>
          </w:rPr>
          <w:t>9.949 hectáreas</w:t>
        </w:r>
      </w:smartTag>
      <w:r w:rsidRPr="003A4B56">
        <w:rPr>
          <w:rFonts w:cs="Arial"/>
        </w:rPr>
        <w:t xml:space="preserve"> de kiwi, de las cuales el 30,9% se encontraba en formación, y de ellas casi el 55% se había plantado en el año 2007. De esta manera, el incremento de la superficie de kiwi entre 1997 y 2007 fue del orden de 29,3%. En el mismo período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la expansión de las plantaciones fue de 49,5%</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Así, en la temporada 2006/07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abarcó el 30,7% de las plantaciones del país con </w:t>
      </w:r>
      <w:smartTag w:uri="urn:schemas-microsoft-com:office:smarttags" w:element="metricconverter">
        <w:smartTagPr>
          <w:attr w:name="ProductID" w:val="3.050 hectáreas"/>
        </w:smartTagPr>
        <w:r w:rsidRPr="003A4B56">
          <w:rPr>
            <w:rFonts w:cs="Arial"/>
          </w:rPr>
          <w:t>3.050 hectáreas</w:t>
        </w:r>
      </w:smartTag>
      <w:r w:rsidRPr="003A4B56">
        <w:rPr>
          <w:rFonts w:cs="Arial"/>
        </w:rPr>
        <w:t xml:space="preserve">, distribuidas en 62,4% en la provincia de Cachapoal y 37,6% en Colchagua.  Esta especie si bien se distribuye entre </w:t>
      </w:r>
      <w:smartTag w:uri="urn:schemas-microsoft-com:office:smarttags" w:element="PersonName">
        <w:smartTagPr>
          <w:attr w:name="ProductID" w:val="la IV"/>
        </w:smartTagPr>
        <w:r w:rsidRPr="003A4B56">
          <w:rPr>
            <w:rFonts w:cs="Arial"/>
          </w:rPr>
          <w:t>la IV</w:t>
        </w:r>
      </w:smartTag>
      <w:r w:rsidRPr="003A4B56">
        <w:rPr>
          <w:rFonts w:cs="Arial"/>
        </w:rPr>
        <w:t xml:space="preserve"> y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se concentra fundamentalmente en </w:t>
      </w:r>
      <w:smartTag w:uri="urn:schemas-microsoft-com:office:smarttags" w:element="PersonName">
        <w:smartTagPr>
          <w:attr w:name="ProductID" w:val="la VI"/>
        </w:smartTagPr>
        <w:r w:rsidRPr="003A4B56">
          <w:rPr>
            <w:rFonts w:cs="Arial"/>
          </w:rPr>
          <w:t>la VI</w:t>
        </w:r>
      </w:smartTag>
      <w:r w:rsidRPr="003A4B56">
        <w:rPr>
          <w:rFonts w:cs="Arial"/>
        </w:rPr>
        <w:t xml:space="preserve"> y VII Región.</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El kiwi se destina tanto al mercado externo como al interno, aunque el destino principal de la producción es la exportación, la que se realiza a través distintas empresas exportadoras.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 el mercado interno, como todas las frutas, los principales canales de comercialización están constituidos por los mercados mayoristas de Santiago, es decir, Feria Lo Valledor, Vega Mapocho y en las Bodegas Mayoristas de Av. de </w:t>
      </w:r>
      <w:smartTag w:uri="urn:schemas-microsoft-com:office:smarttags" w:element="PersonName">
        <w:smartTagPr>
          <w:attr w:name="ProductID" w:val="La Paz. Desde"/>
        </w:smartTagPr>
        <w:r w:rsidRPr="003A4B56">
          <w:rPr>
            <w:rFonts w:cs="Arial"/>
          </w:rPr>
          <w:t>La Paz. Desde</w:t>
        </w:r>
      </w:smartTag>
      <w:r w:rsidRPr="003A4B56">
        <w:rPr>
          <w:rFonts w:cs="Arial"/>
        </w:rPr>
        <w:t xml:space="preserve"> allí se distribuye al comercio minorista de Santiago, incluyendo cadenas de supermercados, y a los mercados regionales del norte y sur del país.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Además, existen productores grandes que venden directamente a las cadenas de supermercados. </w:t>
      </w:r>
    </w:p>
    <w:p w:rsidR="000A1474" w:rsidRPr="003A4B56" w:rsidRDefault="000A1474" w:rsidP="00B51B51">
      <w:pPr>
        <w:widowControl w:val="0"/>
        <w:tabs>
          <w:tab w:val="left" w:pos="0"/>
          <w:tab w:val="left" w:pos="720"/>
        </w:tabs>
        <w:rPr>
          <w:rFonts w:cs="Arial"/>
        </w:rPr>
      </w:pPr>
    </w:p>
    <w:p w:rsidR="000A1474" w:rsidRDefault="000A1474" w:rsidP="00B51B51">
      <w:pPr>
        <w:widowControl w:val="0"/>
        <w:tabs>
          <w:tab w:val="left" w:pos="0"/>
          <w:tab w:val="left" w:pos="720"/>
        </w:tabs>
        <w:rPr>
          <w:rFonts w:cs="Arial"/>
        </w:rPr>
      </w:pPr>
      <w:r w:rsidRPr="003A4B56">
        <w:rPr>
          <w:rFonts w:cs="Arial"/>
        </w:rPr>
        <w:t>Si bien las exportaciones de kiwi han registrado importantes fluctuaciones, la marcada tendencia alcista de los envíos se interrumpió en 1998, debido al arranque de las plantaciones producto la pérdida de rentabilidad del rubro. Posteriormente, los envíos han ido incrementándose paulatinamente y en el transcurso de los años 2004 y 2011 las exportaciones</w:t>
      </w:r>
      <w:r w:rsidR="006C2722">
        <w:rPr>
          <w:rFonts w:cs="Arial"/>
        </w:rPr>
        <w:t xml:space="preserve"> superaron las anotadas en 1998</w:t>
      </w:r>
      <w:r w:rsidRPr="003A4B56">
        <w:rPr>
          <w:rFonts w:cs="Arial"/>
        </w:rPr>
        <w:t xml:space="preserve"> (</w:t>
      </w:r>
      <w:r w:rsidRPr="003A4B56">
        <w:rPr>
          <w:rFonts w:cs="Arial"/>
        </w:rPr>
        <w:fldChar w:fldCharType="begin"/>
      </w:r>
      <w:r w:rsidRPr="003A4B56">
        <w:rPr>
          <w:rFonts w:cs="Arial"/>
        </w:rPr>
        <w:instrText xml:space="preserve"> REF _Ref336589629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5.41</w:t>
      </w:r>
      <w:r w:rsidRPr="003A4B56">
        <w:rPr>
          <w:rFonts w:cs="Arial"/>
        </w:rPr>
        <w:fldChar w:fldCharType="end"/>
      </w:r>
      <w:r w:rsidRPr="003A4B56">
        <w:rPr>
          <w:rFonts w:cs="Arial"/>
        </w:rPr>
        <w:t xml:space="preserve">). </w:t>
      </w:r>
    </w:p>
    <w:p w:rsidR="001C71B3" w:rsidRDefault="001C71B3" w:rsidP="00B51B51">
      <w:pPr>
        <w:widowControl w:val="0"/>
        <w:tabs>
          <w:tab w:val="left" w:pos="0"/>
          <w:tab w:val="left" w:pos="720"/>
        </w:tabs>
        <w:rPr>
          <w:rFonts w:cs="Arial"/>
        </w:rPr>
      </w:pPr>
    </w:p>
    <w:p w:rsidR="00B36772" w:rsidRPr="003A4B56" w:rsidRDefault="00B36772" w:rsidP="00B51B51">
      <w:pPr>
        <w:widowControl w:val="0"/>
        <w:tabs>
          <w:tab w:val="left" w:pos="0"/>
          <w:tab w:val="left" w:pos="720"/>
        </w:tabs>
        <w:rPr>
          <w:rFonts w:cs="Arial"/>
        </w:rPr>
      </w:pPr>
      <w:r w:rsidRPr="003A4B56">
        <w:rPr>
          <w:rFonts w:cs="Arial"/>
        </w:rPr>
        <w:t xml:space="preserve">En 2011 las principales plazas de colocación de estos embarques fueron Italia, Estados Unidos, Holanda, España, Rusia, Francia, Reino Unido, Argentina y Brasil, entre otros. </w:t>
      </w:r>
    </w:p>
    <w:p w:rsidR="00B36772" w:rsidRPr="003A4B56" w:rsidRDefault="00B36772" w:rsidP="00B51B51">
      <w:pPr>
        <w:widowControl w:val="0"/>
        <w:tabs>
          <w:tab w:val="left" w:pos="0"/>
          <w:tab w:val="left" w:pos="720"/>
        </w:tabs>
        <w:rPr>
          <w:rFonts w:cs="Arial"/>
        </w:rPr>
      </w:pPr>
    </w:p>
    <w:p w:rsidR="00B36772" w:rsidRPr="003A4B56" w:rsidRDefault="00B36772" w:rsidP="00B51B51">
      <w:pPr>
        <w:widowControl w:val="0"/>
        <w:tabs>
          <w:tab w:val="left" w:pos="0"/>
          <w:tab w:val="left" w:pos="720"/>
        </w:tabs>
        <w:rPr>
          <w:rFonts w:cs="Arial"/>
        </w:rPr>
      </w:pPr>
      <w:r w:rsidRPr="003A4B56">
        <w:rPr>
          <w:rFonts w:cs="Arial"/>
        </w:rPr>
        <w:t xml:space="preserve">En los acuerdos comerciales suscritos por Chile, esta fruta se vio beneficiada, ya que las exportaciones al MERCOSUR no pagan arancel al ingresar a ese bloque desde su entrada en vigencia (octubre de 1996); asimismo, para los envíos a Estados Unidos, México, Canadá, Colombia, Venezuela, Ecuador y Perú, el arancel de ingreso es igual a cero. En Bolivia continuará pagando un arancel de 10%.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5" w:name="_Ref336589629"/>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41</w:t>
      </w:r>
      <w:r w:rsidR="00951FEC">
        <w:rPr>
          <w:b/>
        </w:rPr>
        <w:fldChar w:fldCharType="end"/>
      </w:r>
      <w:bookmarkEnd w:id="335"/>
    </w:p>
    <w:p w:rsidR="000A1474" w:rsidRPr="003A4B56" w:rsidRDefault="00254CE2" w:rsidP="00B51B51">
      <w:pPr>
        <w:widowControl w:val="0"/>
        <w:tabs>
          <w:tab w:val="left" w:pos="426"/>
          <w:tab w:val="left" w:pos="851"/>
          <w:tab w:val="left" w:pos="1418"/>
          <w:tab w:val="left" w:pos="8789"/>
        </w:tabs>
        <w:ind w:right="49"/>
        <w:jc w:val="center"/>
        <w:rPr>
          <w:rFonts w:cs="Arial"/>
          <w:noProof/>
          <w:szCs w:val="22"/>
        </w:rPr>
      </w:pPr>
      <w:r>
        <w:rPr>
          <w:rFonts w:cs="Arial"/>
          <w:noProof/>
          <w:lang w:val="es-CL" w:eastAsia="es-CL"/>
        </w:rPr>
        <w:drawing>
          <wp:inline distT="0" distB="0" distL="0" distR="0">
            <wp:extent cx="4805680" cy="1924685"/>
            <wp:effectExtent l="0" t="0" r="0" b="0"/>
            <wp:docPr id="14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05680" cy="192468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Las exportaciones a China debían pagar un arancel de 10%, pero con motivo del acuerdo este tributo se igualará a cero el año 10, es decir, en 2014. 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el kiwi chileno pagaba un impuesto a su ingreso que variaba entre 8,4% y 9,2% según la fecha, pero con la firma del tratado de libre comercio éste se igualó a cero al séptimo año de vigencia del acuerdo, es decir, en 2010.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Entretanto, en Japón el tributo asciende a 6,9%, en Taiwán a 40% y en Corea del Sur se eleva a un 48%. En este último país, donde el arancel de internación era muy alto, con ocasión del tratado de libre comercio suscrito con Chile, este tributo se igualará a cero en el año 10. </w:t>
      </w:r>
    </w:p>
    <w:p w:rsidR="000A1474" w:rsidRPr="003A4B56" w:rsidRDefault="000A1474" w:rsidP="00B51B51">
      <w:pPr>
        <w:widowControl w:val="0"/>
        <w:tabs>
          <w:tab w:val="left" w:pos="0"/>
          <w:tab w:val="left" w:pos="426"/>
          <w:tab w:val="left" w:pos="851"/>
          <w:tab w:val="left" w:pos="1418"/>
          <w:tab w:val="left" w:pos="8789"/>
        </w:tabs>
        <w:ind w:right="49"/>
        <w:rPr>
          <w:rFonts w:cs="Arial"/>
          <w:noProof/>
          <w:szCs w:val="22"/>
        </w:rPr>
      </w:pPr>
    </w:p>
    <w:p w:rsidR="000A1474" w:rsidRPr="003A4B56" w:rsidRDefault="000A1474" w:rsidP="00B51B51">
      <w:pPr>
        <w:widowControl w:val="0"/>
        <w:tabs>
          <w:tab w:val="left" w:pos="0"/>
          <w:tab w:val="left" w:pos="426"/>
          <w:tab w:val="left" w:pos="851"/>
          <w:tab w:val="left" w:pos="1418"/>
          <w:tab w:val="left" w:pos="8789"/>
        </w:tabs>
        <w:ind w:right="49"/>
        <w:rPr>
          <w:rFonts w:cs="Arial"/>
        </w:rPr>
      </w:pPr>
      <w:r w:rsidRPr="003A4B56">
        <w:rPr>
          <w:rFonts w:cs="Arial"/>
        </w:rPr>
        <w:t xml:space="preserve">El desafío para los productores que se mantengan en el negocio será la producción de fruta de buena calidad y con altos rendimientos. Sólo de esta manera podrán acceder a los mercados de exportación y enfrentar en buen pie a los países competidores. </w:t>
      </w:r>
    </w:p>
    <w:p w:rsidR="000A1474" w:rsidRPr="003A4B56" w:rsidRDefault="000A1474" w:rsidP="00B51B51">
      <w:pPr>
        <w:widowControl w:val="0"/>
        <w:tabs>
          <w:tab w:val="left" w:pos="0"/>
          <w:tab w:val="left" w:pos="720"/>
        </w:tabs>
        <w:rPr>
          <w:rFonts w:cs="Arial"/>
        </w:rPr>
      </w:pPr>
    </w:p>
    <w:p w:rsidR="000A1474" w:rsidRPr="003A4B56" w:rsidRDefault="00F36FC3" w:rsidP="00B51B51">
      <w:pPr>
        <w:widowControl w:val="0"/>
      </w:pPr>
      <w:r w:rsidRPr="003A4B56">
        <w:t>-</w:t>
      </w:r>
      <w:r w:rsidRPr="003A4B56">
        <w:tab/>
      </w:r>
      <w:r w:rsidR="000A1474" w:rsidRPr="003A4B56">
        <w:t>Limón</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tabs>
          <w:tab w:val="left" w:pos="1418"/>
        </w:tabs>
        <w:rPr>
          <w:rFonts w:cs="Arial"/>
        </w:rPr>
      </w:pPr>
      <w:r w:rsidRPr="003A4B56">
        <w:rPr>
          <w:rFonts w:cs="Arial"/>
        </w:rPr>
        <w:t xml:space="preserve">Tradicionalmente el limonero era el cítrico que ocupaba la mayor superficie a nivel nacional, cuyas plantaciones entre 1990 y 1997 se habían incrementado en 20%, al pasar de </w:t>
      </w:r>
      <w:smartTag w:uri="urn:schemas-microsoft-com:office:smarttags" w:element="metricconverter">
        <w:smartTagPr>
          <w:attr w:name="ProductID" w:val="6.291 hectáreas"/>
        </w:smartTagPr>
        <w:r w:rsidRPr="003A4B56">
          <w:rPr>
            <w:rFonts w:cs="Arial"/>
          </w:rPr>
          <w:t>6.291 hectáreas</w:t>
        </w:r>
      </w:smartTag>
      <w:r w:rsidRPr="003A4B56">
        <w:rPr>
          <w:rFonts w:cs="Arial"/>
        </w:rPr>
        <w:t xml:space="preserve"> a </w:t>
      </w:r>
      <w:smartTag w:uri="urn:schemas-microsoft-com:office:smarttags" w:element="metricconverter">
        <w:smartTagPr>
          <w:attr w:name="ProductID" w:val="7.547 ha"/>
        </w:smartTagPr>
        <w:r w:rsidRPr="003A4B56">
          <w:rPr>
            <w:rFonts w:cs="Arial"/>
          </w:rPr>
          <w:t>7.547 ha</w:t>
        </w:r>
      </w:smartTag>
      <w:r w:rsidRPr="003A4B56">
        <w:rPr>
          <w:rFonts w:cs="Arial"/>
        </w:rPr>
        <w:t xml:space="preserve">. Actualmente, el área destinada a naranjo superó a la del limonero. No obstante, en 2007 las plantaciones de limonero sumaban del orden de </w:t>
      </w:r>
      <w:smartTag w:uri="urn:schemas-microsoft-com:office:smarttags" w:element="metricconverter">
        <w:smartTagPr>
          <w:attr w:name="ProductID" w:val="7.856 hectáreas"/>
        </w:smartTagPr>
        <w:r w:rsidRPr="003A4B56">
          <w:rPr>
            <w:rFonts w:cs="Arial"/>
          </w:rPr>
          <w:t>7.856 hectáreas</w:t>
        </w:r>
      </w:smartTag>
      <w:r w:rsidRPr="003A4B56">
        <w:rPr>
          <w:rFonts w:cs="Arial"/>
        </w:rPr>
        <w:t>, monto 4,1% más elevado que el constatado en 1997. Estos antecedentes de superficie fueron extraídos de estadísticas de ODEPA e INE.</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Cabe señalar que de acuerdo a la información proporcionada por INE en el VII Censo Nacional Agropecuario de las 7.856 has, el 11,1% se encontraba en etapa de formación, y de ellas aproximadamente 373 has, es decir, el 42,7% de las clasificadas en formación se habían plantado en el año 2007, lo que revela un remplazo de plantaciones antiguas por otras con mejores variedades y plantadas a una mayor densidad.</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Esta especie se distribuye entre </w:t>
      </w:r>
      <w:smartTag w:uri="urn:schemas-microsoft-com:office:smarttags" w:element="PersonName">
        <w:smartTagPr>
          <w:attr w:name="ProductID" w:val="la XV"/>
        </w:smartTagPr>
        <w:r w:rsidRPr="003A4B56">
          <w:rPr>
            <w:rFonts w:cs="Arial"/>
          </w:rPr>
          <w:t>la XV</w:t>
        </w:r>
      </w:smartTag>
      <w:r w:rsidRPr="003A4B56">
        <w:rPr>
          <w:rFonts w:cs="Arial"/>
        </w:rPr>
        <w:t xml:space="preserve"> y VIII Región, pero se concentra en más de un 80% entre </w:t>
      </w:r>
      <w:smartTag w:uri="urn:schemas-microsoft-com:office:smarttags" w:element="PersonName">
        <w:smartTagPr>
          <w:attr w:name="ProductID" w:val="la V"/>
        </w:smartTagPr>
        <w:r w:rsidRPr="003A4B56">
          <w:rPr>
            <w:rFonts w:cs="Arial"/>
          </w:rPr>
          <w:t>la V</w:t>
        </w:r>
      </w:smartTag>
      <w:r w:rsidRPr="003A4B56">
        <w:rPr>
          <w:rFonts w:cs="Arial"/>
        </w:rPr>
        <w:t xml:space="preserve"> y VI Región, incluyendo el Área Metropolitana. Así,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en 2007 el área dedicada a este frutal era de </w:t>
      </w:r>
      <w:smartTag w:uri="urn:schemas-microsoft-com:office:smarttags" w:element="metricconverter">
        <w:smartTagPr>
          <w:attr w:name="ProductID" w:val="887,6 ha"/>
        </w:smartTagPr>
        <w:r w:rsidRPr="003A4B56">
          <w:rPr>
            <w:rFonts w:cs="Arial"/>
          </w:rPr>
          <w:t>887,6 ha</w:t>
        </w:r>
      </w:smartTag>
      <w:r w:rsidRPr="003A4B56">
        <w:rPr>
          <w:rFonts w:cs="Arial"/>
        </w:rPr>
        <w:t>, superficie 36,6% más baja que la existente en 1997, según la misma fuente de información. Al interior de la región los huertos de este frutal se distribuyen en 66,4% en la provincia de Cachapoal; 27,4% en Colchagua y el 6,2% restante en Cardenal Caro.</w:t>
      </w:r>
    </w:p>
    <w:p w:rsidR="000A1474" w:rsidRPr="003A4B56" w:rsidRDefault="000A1474" w:rsidP="00B51B51">
      <w:pPr>
        <w:widowControl w:val="0"/>
        <w:tabs>
          <w:tab w:val="left" w:pos="1418"/>
        </w:tabs>
        <w:rPr>
          <w:rFonts w:cs="Arial"/>
        </w:rPr>
      </w:pPr>
      <w:r w:rsidRPr="003A4B56">
        <w:rPr>
          <w:rFonts w:cs="Arial"/>
        </w:rPr>
        <w:lastRenderedPageBreak/>
        <w:t>Asimismo, la producción interna de esta especie desde 1989/90 a 2004/05 aumentó en casi 100%, al totalizar 165 mil toneladas, cuyo destino es mayoritariamente el mercado nacional y en los últimos años las exportaciones se han constituido en otra alternativa para este producto.</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tabs>
          <w:tab w:val="left" w:pos="1418"/>
        </w:tabs>
        <w:rPr>
          <w:rFonts w:cs="Arial"/>
        </w:rPr>
      </w:pPr>
      <w:r w:rsidRPr="003A4B56">
        <w:rPr>
          <w:rFonts w:cs="Arial"/>
        </w:rPr>
        <w:t xml:space="preserve">Si bien las exportaciones de esta especie mostraron un comportamiento relativamente estable hasta el año 1996, posteriormente se constató un significativo incremento. En efecto, como se aprecia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_Ref336589671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5.42</w:t>
      </w:r>
      <w:r w:rsidRPr="003A4B56">
        <w:rPr>
          <w:rFonts w:cs="Arial"/>
        </w:rPr>
        <w:fldChar w:fldCharType="end"/>
      </w:r>
      <w:r w:rsidRPr="003A4B56">
        <w:rPr>
          <w:rFonts w:cs="Arial"/>
        </w:rPr>
        <w:t>, los envíos de limones al exterior entre 1990 y 2011 anotaron una expansión de casi treinta veces en términos de volumen, lo que significó una sosteni</w:t>
      </w:r>
      <w:r w:rsidR="006C2722">
        <w:rPr>
          <w:rFonts w:cs="Arial"/>
        </w:rPr>
        <w:t>da tendencia alcista. En valor,</w:t>
      </w:r>
      <w:r w:rsidRPr="003A4B56">
        <w:rPr>
          <w:rFonts w:cs="Arial"/>
        </w:rPr>
        <w:t xml:space="preserve"> el crecimiento en esos mismos años fue de casi 54 veces, lo que revela un fortalecimiento de los precios unitarios. </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tabs>
          <w:tab w:val="left" w:pos="1418"/>
        </w:tabs>
        <w:rPr>
          <w:rFonts w:cs="Arial"/>
        </w:rPr>
      </w:pPr>
      <w:r w:rsidRPr="003A4B56">
        <w:rPr>
          <w:rFonts w:cs="Arial"/>
        </w:rPr>
        <w:t>En el año 2011 los principales destinos de estos embarques fueron Estados Unidos (50,3%) y Japón (36%), el resto se distribuyó en Argentina, Italia, Corea, Canadá y España, entre otros.</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6" w:name="_Ref336589671"/>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42</w:t>
      </w:r>
      <w:r w:rsidR="00951FEC">
        <w:rPr>
          <w:b/>
        </w:rPr>
        <w:fldChar w:fldCharType="end"/>
      </w:r>
      <w:bookmarkEnd w:id="336"/>
    </w:p>
    <w:p w:rsidR="000A1474" w:rsidRPr="003A4B56" w:rsidRDefault="00254CE2" w:rsidP="00B51B51">
      <w:pPr>
        <w:widowControl w:val="0"/>
        <w:tabs>
          <w:tab w:val="left" w:pos="1418"/>
        </w:tabs>
        <w:jc w:val="center"/>
        <w:rPr>
          <w:rFonts w:cs="Arial"/>
          <w:lang w:val="es-CL"/>
        </w:rPr>
      </w:pPr>
      <w:r>
        <w:rPr>
          <w:noProof/>
          <w:lang w:val="es-CL" w:eastAsia="es-CL"/>
        </w:rPr>
        <w:drawing>
          <wp:inline distT="0" distB="0" distL="0" distR="0">
            <wp:extent cx="4986655" cy="2243455"/>
            <wp:effectExtent l="0" t="0" r="4445" b="444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986655" cy="2243455"/>
                    </a:xfrm>
                    <a:prstGeom prst="rect">
                      <a:avLst/>
                    </a:prstGeom>
                    <a:noFill/>
                    <a:ln>
                      <a:noFill/>
                    </a:ln>
                  </pic:spPr>
                </pic:pic>
              </a:graphicData>
            </a:graphic>
          </wp:inline>
        </w:drawing>
      </w:r>
    </w:p>
    <w:p w:rsidR="000A1474" w:rsidRPr="003A4B56" w:rsidRDefault="000A1474" w:rsidP="00B51B51">
      <w:pPr>
        <w:widowControl w:val="0"/>
        <w:tabs>
          <w:tab w:val="left" w:pos="1418"/>
        </w:tabs>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pPr>
      <w:r w:rsidRPr="003A4B56">
        <w:t xml:space="preserve">Cabe destacar que sólo en 1996 se iniciaron las exportaciones de limones chilenos a Japón, con 1.327 toneladas y en 2011 los embarques a ese país superaban las 16.788 toneladas, lo que revela el posicionamiento que ha logrando el producto nacional en ese mercado. </w:t>
      </w:r>
    </w:p>
    <w:p w:rsidR="000A1474" w:rsidRPr="003A4B56" w:rsidRDefault="000A1474" w:rsidP="00B51B51">
      <w:pPr>
        <w:widowControl w:val="0"/>
        <w:rPr>
          <w:lang w:val="es-CL"/>
        </w:rPr>
      </w:pPr>
    </w:p>
    <w:p w:rsidR="000A1474" w:rsidRPr="003A4B56" w:rsidRDefault="000A1474" w:rsidP="00B51B51">
      <w:pPr>
        <w:widowControl w:val="0"/>
      </w:pPr>
      <w:r w:rsidRPr="003A4B56">
        <w:t>En este sentido, es preciso señalar que se trata de nicho muy exigente en calidad, en lo que se refiere a tamaño, forma, color y comportamiento de postcosecha de la fruta, aspectos que deben ser considerados rigurosamente al momento de optar por ese mercado.</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tabs>
          <w:tab w:val="left" w:pos="1418"/>
        </w:tabs>
        <w:rPr>
          <w:rFonts w:cs="Arial"/>
        </w:rPr>
      </w:pPr>
      <w:r w:rsidRPr="003A4B56">
        <w:rPr>
          <w:rFonts w:cs="Arial"/>
        </w:rPr>
        <w:t xml:space="preserve">La evolución de las exportaciones a Estados Unidos ha sido más errática, ya que entre 1993 y 1995 mostraron un aumento sostenido, pero posteriormente han exhibido alzas y bajas, comportamiento que ha estado en estrecha dependencia de la producción doméstica. Es un mercado menos exigente que el japonés y los precios son menores. </w:t>
      </w:r>
    </w:p>
    <w:p w:rsidR="000A1474" w:rsidRPr="003A4B56" w:rsidRDefault="000A1474" w:rsidP="00B51B51">
      <w:pPr>
        <w:widowControl w:val="0"/>
        <w:tabs>
          <w:tab w:val="left" w:pos="0"/>
          <w:tab w:val="left" w:pos="851"/>
          <w:tab w:val="left" w:pos="1418"/>
          <w:tab w:val="left" w:pos="8789"/>
        </w:tabs>
        <w:ind w:right="49"/>
        <w:jc w:val="center"/>
        <w:rPr>
          <w:rFonts w:cs="Arial"/>
          <w:b/>
          <w:bCs/>
          <w:noProof/>
          <w:spacing w:val="-3"/>
        </w:rPr>
      </w:pPr>
    </w:p>
    <w:p w:rsidR="000A1474" w:rsidRPr="003A4B56" w:rsidRDefault="000A1474" w:rsidP="00B51B51">
      <w:pPr>
        <w:widowControl w:val="0"/>
        <w:tabs>
          <w:tab w:val="left" w:pos="1418"/>
        </w:tabs>
        <w:rPr>
          <w:rFonts w:cs="Arial"/>
        </w:rPr>
      </w:pPr>
      <w:r w:rsidRPr="003A4B56">
        <w:rPr>
          <w:rFonts w:cs="Arial"/>
        </w:rPr>
        <w:t xml:space="preserve">De hecho, los retornos a productor de la fruta enviada a Japón han fluctuado entre US$0,7 y US$0,95 por kilo, en cambio el limón transado en Estados Unidos ha registrado valores del orden de US$ 0,25 y US$ 0,70 por kilo. Así, en 2011 los retornos FOB de los envíos chilenos en Estados Unidos, en promedio, fueron de US$0,69/kilo, mientras que en el mercado nipón esta fruta logró retornos FOB de US$0,94/kilo.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lastRenderedPageBreak/>
        <w:t>En general, las perspectivas de exportación son favorables para el mercado nipón, ya que los productores en Chile están utilizando tecnología de punta en la producción de este cítrico y la demanda de ese país es creciente. En contraposición, en el caso norteamericano los probables envíos de limones argentinos a ese mercado constituyen una amenaza para Chile, pues Argentina cuenta con una desarrollada industria citrícola y presenta ventajas comparativas en relación a Chile.</w:t>
      </w:r>
    </w:p>
    <w:p w:rsidR="000A1474" w:rsidRPr="003A4B56" w:rsidRDefault="000A1474" w:rsidP="00B51B51">
      <w:pPr>
        <w:widowControl w:val="0"/>
        <w:tabs>
          <w:tab w:val="left" w:pos="1418"/>
        </w:tabs>
        <w:rPr>
          <w:rFonts w:cs="Arial"/>
          <w:lang w:val="es-CL"/>
        </w:rPr>
      </w:pPr>
    </w:p>
    <w:p w:rsidR="000A1474" w:rsidRPr="003A4B56" w:rsidRDefault="000A1474" w:rsidP="00B51B51">
      <w:pPr>
        <w:widowControl w:val="0"/>
        <w:tabs>
          <w:tab w:val="left" w:pos="1418"/>
        </w:tabs>
        <w:rPr>
          <w:rFonts w:cs="Arial"/>
        </w:rPr>
      </w:pPr>
      <w:r w:rsidRPr="003A4B56">
        <w:rPr>
          <w:rFonts w:cs="Arial"/>
        </w:rPr>
        <w:t xml:space="preserve">La situación arancelaria de los envíos chilenos de limones varía de un mercado a otro. En efecto, en Japón esta fruta no paga arancel de internación, mientras que en Estados Unidos el tributo alcanza a los 2,3 centavos de dólar por kilo, y además, debe certificarse que cada partida ha sido tratada con bromuro de metilo, en origen o destino; con ocasión del tratado de libre comercio este arancel se igualará a cero el año 8 (2012). En los países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el arancel base era de 6,4%, con ocasión del acuerdo éste tributo se igualó a cero al año 4, es decir, en 2007. En Corea y China el arancel ad-valorem desaparecerá al año 10, es decir, en 2014.</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 xml:space="preserve">En los países del MERCOSUR, esta fruta quedó en la lista de desgravación general, por lo que el arancel de internación se igualó a cero el año 2004. En Bolivia continuarán pagando un arancel de 10% y en Perú el tributo se igualó a cero al firmar el Acuerdo.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Por otra parte, los supermercados han surgido como una alternativa viable de comercialización, generándose una relación directa entre este agente detallista y el productor, a través de la central de acopio y de distribución. Este canal le permite al productor acercarse al consumidor y obtener un mejor precio por su fruta. No obstante, el productor está obligado a mejorar la calidad, sanidad y la presentación de la fruta, aspectos que deberán tenerse en consideración ya sea para las transacciones en el mercado internacional o para el interno. </w:t>
      </w:r>
    </w:p>
    <w:p w:rsidR="000A1474" w:rsidRPr="003A4B56" w:rsidRDefault="000A1474" w:rsidP="00B51B51">
      <w:pPr>
        <w:widowControl w:val="0"/>
        <w:tabs>
          <w:tab w:val="left" w:pos="1418"/>
        </w:tabs>
        <w:ind w:firstLine="708"/>
        <w:rPr>
          <w:rFonts w:cs="Arial"/>
        </w:rPr>
      </w:pPr>
    </w:p>
    <w:p w:rsidR="000A1474" w:rsidRPr="003A4B56" w:rsidRDefault="000A1474" w:rsidP="00B51B51">
      <w:pPr>
        <w:widowControl w:val="0"/>
        <w:tabs>
          <w:tab w:val="left" w:pos="1418"/>
        </w:tabs>
        <w:rPr>
          <w:rFonts w:cs="Arial"/>
        </w:rPr>
      </w:pPr>
      <w:r w:rsidRPr="003A4B56">
        <w:rPr>
          <w:rFonts w:cs="Arial"/>
        </w:rPr>
        <w:t>Como una forma de evitar la sobreoferta de fruta en el mercado local, durante la época invernal, surge la necesidad de investigar la industrialización del limón de menor calidad. De hecho, en California, España y Argentina, todos importantes productores a nivel mundial, una parte significativa de su producción es destinada a la agroindustria.</w:t>
      </w:r>
    </w:p>
    <w:p w:rsidR="000A1474" w:rsidRPr="003A4B56" w:rsidRDefault="000A1474" w:rsidP="00B51B51">
      <w:pPr>
        <w:widowControl w:val="0"/>
      </w:pPr>
    </w:p>
    <w:p w:rsidR="000A1474" w:rsidRPr="003A4B56" w:rsidRDefault="00F36FC3" w:rsidP="00B51B51">
      <w:pPr>
        <w:widowControl w:val="0"/>
      </w:pPr>
      <w:r w:rsidRPr="003A4B56">
        <w:t>-</w:t>
      </w:r>
      <w:r w:rsidRPr="003A4B56">
        <w:tab/>
      </w:r>
      <w:r w:rsidR="000A1474" w:rsidRPr="003A4B56">
        <w:t>Manzana</w:t>
      </w:r>
    </w:p>
    <w:p w:rsidR="000A1474" w:rsidRPr="003A4B56" w:rsidRDefault="000A1474" w:rsidP="00B51B51">
      <w:pPr>
        <w:widowControl w:val="0"/>
        <w:tabs>
          <w:tab w:val="left" w:pos="0"/>
          <w:tab w:val="left" w:pos="426"/>
          <w:tab w:val="left" w:pos="1418"/>
        </w:tabs>
        <w:ind w:right="49"/>
        <w:rPr>
          <w:rFonts w:cs="Arial"/>
          <w:szCs w:val="22"/>
          <w:lang w:val="es-ES_tradnl"/>
        </w:rPr>
      </w:pPr>
    </w:p>
    <w:p w:rsidR="000A1474" w:rsidRPr="003A4B56" w:rsidRDefault="000A1474" w:rsidP="00B51B51">
      <w:pPr>
        <w:widowControl w:val="0"/>
        <w:tabs>
          <w:tab w:val="left" w:pos="1418"/>
        </w:tabs>
        <w:rPr>
          <w:rFonts w:cs="Arial"/>
        </w:rPr>
      </w:pPr>
      <w:r w:rsidRPr="003A4B56">
        <w:rPr>
          <w:rFonts w:cs="Arial"/>
        </w:rPr>
        <w:t xml:space="preserve">La manzana, en términos de superficie, es la tercera especie frutal en importancia cultivada en el país, después de uva de mesa y palto. Esta especie si bien se distribuye entre </w:t>
      </w:r>
      <w:smartTag w:uri="urn:schemas-microsoft-com:office:smarttags" w:element="PersonName">
        <w:smartTagPr>
          <w:attr w:name="ProductID" w:val="la IV"/>
        </w:smartTagPr>
        <w:r w:rsidRPr="003A4B56">
          <w:rPr>
            <w:rFonts w:cs="Arial"/>
          </w:rPr>
          <w:t>la IV</w:t>
        </w:r>
      </w:smartTag>
      <w:r w:rsidRPr="003A4B56">
        <w:rPr>
          <w:rFonts w:cs="Arial"/>
        </w:rPr>
        <w:t xml:space="preserve"> y </w:t>
      </w:r>
      <w:smartTag w:uri="urn:schemas-microsoft-com:office:smarttags" w:element="PersonName">
        <w:smartTagPr>
          <w:attr w:name="ProductID" w:val="la X Región"/>
        </w:smartTagPr>
        <w:r w:rsidRPr="003A4B56">
          <w:rPr>
            <w:rFonts w:cs="Arial"/>
          </w:rPr>
          <w:t>la X Región</w:t>
        </w:r>
      </w:smartTag>
      <w:r w:rsidRPr="003A4B56">
        <w:rPr>
          <w:rFonts w:cs="Arial"/>
        </w:rPr>
        <w:t xml:space="preserve">, se concentra fundamentalmente en </w:t>
      </w:r>
      <w:smartTag w:uri="urn:schemas-microsoft-com:office:smarttags" w:element="PersonName">
        <w:smartTagPr>
          <w:attr w:name="ProductID" w:val="la VI"/>
        </w:smartTagPr>
        <w:r w:rsidRPr="003A4B56">
          <w:rPr>
            <w:rFonts w:cs="Arial"/>
          </w:rPr>
          <w:t>la VI</w:t>
        </w:r>
      </w:smartTag>
      <w:r w:rsidRPr="003A4B56">
        <w:rPr>
          <w:rFonts w:cs="Arial"/>
        </w:rPr>
        <w:t xml:space="preserve"> y VII Región, las que en conjunto representan casi el 85% del total nacional.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Cabe señalar que la superficie dedicada a esta pomácea experimentó un significativo incremento a través del tiempo, al pasar de </w:t>
      </w:r>
      <w:smartTag w:uri="urn:schemas-microsoft-com:office:smarttags" w:element="metricconverter">
        <w:smartTagPr>
          <w:attr w:name="ProductID" w:val="23.650 hectáreas"/>
        </w:smartTagPr>
        <w:r w:rsidRPr="003A4B56">
          <w:rPr>
            <w:rFonts w:cs="Arial"/>
          </w:rPr>
          <w:t>23.650 hectáreas</w:t>
        </w:r>
      </w:smartTag>
      <w:r w:rsidRPr="003A4B56">
        <w:rPr>
          <w:rFonts w:cs="Arial"/>
        </w:rPr>
        <w:t xml:space="preserve"> en </w:t>
      </w:r>
      <w:smartTag w:uri="urn:schemas-microsoft-com:office:smarttags" w:element="metricconverter">
        <w:smartTagPr>
          <w:attr w:name="ProductID" w:val="1990 a"/>
        </w:smartTagPr>
        <w:r w:rsidRPr="003A4B56">
          <w:rPr>
            <w:rFonts w:cs="Arial"/>
          </w:rPr>
          <w:t>1990 a</w:t>
        </w:r>
      </w:smartTag>
      <w:r w:rsidRPr="003A4B56">
        <w:rPr>
          <w:rFonts w:cs="Arial"/>
        </w:rPr>
        <w:t xml:space="preserve">  </w:t>
      </w:r>
      <w:smartTag w:uri="urn:schemas-microsoft-com:office:smarttags" w:element="metricconverter">
        <w:smartTagPr>
          <w:attr w:name="ProductID" w:val="39.685 ha"/>
        </w:smartTagPr>
        <w:r w:rsidRPr="003A4B56">
          <w:rPr>
            <w:rFonts w:cs="Arial"/>
          </w:rPr>
          <w:t>39.685 ha</w:t>
        </w:r>
      </w:smartTag>
      <w:r w:rsidR="00F6533B">
        <w:rPr>
          <w:rFonts w:cs="Arial"/>
        </w:rPr>
        <w:t xml:space="preserve"> en 1997. Posteriormente,</w:t>
      </w:r>
      <w:r w:rsidRPr="003A4B56">
        <w:rPr>
          <w:rFonts w:cs="Arial"/>
        </w:rPr>
        <w:t xml:space="preserve"> las plantaciones se estabilizaron, pero en 2007 el INE a través de su VII Censo Nacional Agropecuario da cuenta de una superficie total del orden de </w:t>
      </w:r>
      <w:smartTag w:uri="urn:schemas-microsoft-com:office:smarttags" w:element="metricconverter">
        <w:smartTagPr>
          <w:attr w:name="ProductID" w:val="37.197 hectáreas"/>
        </w:smartTagPr>
        <w:r w:rsidRPr="003A4B56">
          <w:rPr>
            <w:rFonts w:cs="Arial"/>
          </w:rPr>
          <w:t>37.197 hectáreas</w:t>
        </w:r>
      </w:smartTag>
      <w:r w:rsidRPr="003A4B56">
        <w:rPr>
          <w:rFonts w:cs="Arial"/>
        </w:rPr>
        <w:t xml:space="preserve">, área 6,3% más baja que la constatada en 1997. De ella, el 75,9% corresponde a variedades rojas y el 24,1% a cultivares verdes. Se debe indicar que en 2007 del total plantado, el 13,8% se encontraba en etapa de formación, equivalentes a </w:t>
      </w:r>
      <w:smartTag w:uri="urn:schemas-microsoft-com:office:smarttags" w:element="metricconverter">
        <w:smartTagPr>
          <w:attr w:name="ProductID" w:val="5.148 hectáreas"/>
        </w:smartTagPr>
        <w:r w:rsidRPr="003A4B56">
          <w:rPr>
            <w:rFonts w:cs="Arial"/>
          </w:rPr>
          <w:t>5.148 hectáreas</w:t>
        </w:r>
      </w:smartTag>
      <w:r w:rsidRPr="003A4B56">
        <w:rPr>
          <w:rFonts w:cs="Arial"/>
        </w:rPr>
        <w:t>, de las cuales el 42,1% había sido plantado en el curso de la temporada 2006/07.</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Así, según el VII Censo Nacional Agropecuario realizado por INE en 2007,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cuenta con una superficie de </w:t>
      </w:r>
      <w:smartTag w:uri="urn:schemas-microsoft-com:office:smarttags" w:element="metricconverter">
        <w:smartTagPr>
          <w:attr w:name="ProductID" w:val="10.547 hectáreas"/>
        </w:smartTagPr>
        <w:r w:rsidRPr="003A4B56">
          <w:rPr>
            <w:rFonts w:cs="Arial"/>
          </w:rPr>
          <w:t>10.547 hectáreas</w:t>
        </w:r>
      </w:smartTag>
      <w:r w:rsidRPr="003A4B56">
        <w:rPr>
          <w:rFonts w:cs="Arial"/>
        </w:rPr>
        <w:t xml:space="preserve">, lo que representa 28,4% del área ocupada por esta </w:t>
      </w:r>
      <w:r w:rsidRPr="003A4B56">
        <w:rPr>
          <w:rFonts w:cs="Arial"/>
        </w:rPr>
        <w:lastRenderedPageBreak/>
        <w:t xml:space="preserve">especie en el país. La provincia de Cachapoal concentra el 62,8% de la superficie regional y Colchagua el 37,4% restante.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El destino de la producción nacional es principalmente la exportación, y el descarte de esta actividad se distribuye entre el consumo interno y la agroindustria.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Los envíos al exterior de manzana fresca si bien han mostrado un comportamiento fluctuante, la tendencia ha sido al alza, como se aprecia claramente en </w:t>
      </w:r>
      <w:r w:rsidRPr="003A4B56">
        <w:rPr>
          <w:rFonts w:cs="Arial"/>
        </w:rPr>
        <w:fldChar w:fldCharType="begin"/>
      </w:r>
      <w:r w:rsidRPr="003A4B56">
        <w:rPr>
          <w:rFonts w:cs="Arial"/>
        </w:rPr>
        <w:instrText xml:space="preserve"> REF _Ref336589723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5.43</w:t>
      </w:r>
      <w:r w:rsidRPr="003A4B56">
        <w:rPr>
          <w:rFonts w:cs="Arial"/>
        </w:rPr>
        <w:fldChar w:fldCharType="end"/>
      </w:r>
      <w:r w:rsidRPr="003A4B56">
        <w:rPr>
          <w:rFonts w:cs="Arial"/>
        </w:rPr>
        <w:t xml:space="preserve">. Estas fluctuaciones han sido consecuencia, en los últimos años, principalmente en el 2000, de problemas climáticos que afectaron la producción. Esta expansión de los embarques continuó manifestándose y en el año 2011 se exportaron más de 800 mil toneladas por US$639,2 millones FOB.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7" w:name="_Ref336589723"/>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43</w:t>
      </w:r>
      <w:r w:rsidR="00951FEC">
        <w:rPr>
          <w:b/>
        </w:rPr>
        <w:fldChar w:fldCharType="end"/>
      </w:r>
      <w:bookmarkEnd w:id="337"/>
    </w:p>
    <w:p w:rsidR="000A1474" w:rsidRPr="003A4B56" w:rsidRDefault="00254CE2" w:rsidP="00B51B51">
      <w:pPr>
        <w:widowControl w:val="0"/>
        <w:tabs>
          <w:tab w:val="left" w:pos="-720"/>
          <w:tab w:val="left" w:pos="0"/>
          <w:tab w:val="left" w:pos="426"/>
          <w:tab w:val="left" w:pos="851"/>
          <w:tab w:val="left" w:pos="1418"/>
          <w:tab w:val="left" w:pos="8789"/>
        </w:tabs>
        <w:jc w:val="center"/>
        <w:rPr>
          <w:rFonts w:cs="Arial"/>
          <w:noProof/>
          <w:spacing w:val="-3"/>
          <w:szCs w:val="22"/>
        </w:rPr>
      </w:pPr>
      <w:r>
        <w:rPr>
          <w:rFonts w:cs="Arial"/>
          <w:noProof/>
          <w:lang w:val="es-CL" w:eastAsia="es-CL"/>
        </w:rPr>
        <w:drawing>
          <wp:inline distT="0" distB="0" distL="0" distR="0">
            <wp:extent cx="4965700" cy="2147570"/>
            <wp:effectExtent l="0" t="0" r="6350" b="5080"/>
            <wp:docPr id="149"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965700" cy="2147570"/>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Dentro de los mercados más relevantes figuran países de Europa, Medio Oriente y América, y el éxito de esta actividad dependerá de satisfacer estos centros de consumo con fruta de calidad, así como también de la apertura de nuevos mercados. Así, las plazas de colocación para las exportaciones del año 2011 fueron, en orden de importancia, Estados Unidos, Colombia, Holanda, Arabia Saudita, Rusia, Taiwán, Ecuador, Perú, India y Reino Unido, entre otros.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este contexto, resulta de vital importancia analizar la desgravación arancelaria programada en los acuerdos comerciales suscritos por Chile. En el caso del MERCOSUR el arancel se igualó a cero el año 2011; no obstante, Brasil en 1996, otorgó a Chile para un cupo de 3.500 toneladas de manzana, una preferencia arancelaria de 100%. Este volumen que se incrementará en 10% anual, sólo puede ser transado entre los meses de abril y agosto con un aprovechamiento máximo mensual del 50% del cupo.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 México, esta fruta fue incluida en lista de excepción, por lo que debía pagar un arancel del orden de 20%; sin embargo, en julio de 1997 se retiró de dicha lista, quedando inserta en una desgravación a nueve años; este calendario se acordó para un cupo inicial de 2.054 toneladas, el que aumentó en 5% anual hasta el año 2005. Las cantidades que excedían dicha cuota debían pagar un arancel no superior al aplicado a terceros países. Por lo tanto, a México la manzana chilena entra libre de gravámenes de importación a partir del año 2006. En Perú, el tributo se igualó a cero el año 2008.</w:t>
      </w:r>
    </w:p>
    <w:p w:rsidR="000A1474" w:rsidRPr="003A4B56" w:rsidRDefault="000A1474" w:rsidP="00B51B51">
      <w:pPr>
        <w:widowControl w:val="0"/>
        <w:tabs>
          <w:tab w:val="left" w:pos="1418"/>
        </w:tabs>
        <w:rPr>
          <w:rFonts w:cs="Arial"/>
        </w:rPr>
      </w:pPr>
      <w:r w:rsidRPr="003A4B56">
        <w:rPr>
          <w:rFonts w:cs="Arial"/>
        </w:rPr>
        <w:lastRenderedPageBreak/>
        <w:t xml:space="preserve">En el resto de los acuerdos, la pomácea chilena ingresa sin pagar arancel a Estados Unidos, Colombia, Canadá, Bolivia, Ecuador y Venezuela.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los países que componen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el impuesto variaba entre 2% y 11,7% según la fecha de ingreso, variedad y precios de entrada; además se debía pagar 24,8 Ecu por cada 100 kilos de fruta, pero con ocasión de la firma del tratado de libre comercio, el arancel de internación de esta fruta se igualó a cero. Entretanto, en Corea no se eliminarán los aranceles de internación. En China, el arancel actual de 10% se igualará a cero al año 10.</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Panamá, Arabia Saudita, Taiwán y Turquía, los tributos son de 2%, 12%, 50% y 64,3%, respectivamente. </w:t>
      </w:r>
    </w:p>
    <w:p w:rsidR="000A1474" w:rsidRPr="003A4B56" w:rsidRDefault="000A1474" w:rsidP="00B51B51">
      <w:pPr>
        <w:widowControl w:val="0"/>
        <w:tabs>
          <w:tab w:val="left" w:pos="1418"/>
        </w:tabs>
        <w:rPr>
          <w:rFonts w:cs="Arial"/>
        </w:rPr>
      </w:pPr>
    </w:p>
    <w:p w:rsidR="000A1474" w:rsidRDefault="000A1474" w:rsidP="00B51B51">
      <w:pPr>
        <w:widowControl w:val="0"/>
        <w:tabs>
          <w:tab w:val="left" w:pos="1418"/>
        </w:tabs>
        <w:rPr>
          <w:rFonts w:cs="Arial"/>
        </w:rPr>
      </w:pPr>
      <w:r w:rsidRPr="003A4B56">
        <w:rPr>
          <w:rFonts w:cs="Arial"/>
        </w:rPr>
        <w:t xml:space="preserve">Las exportaciones de néctar y jugo de manzana, por su parte, han mostrado fuertes fluctuaciones entre 1990 y el año 2011, pero la tendencia ha sido al alza,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_Ref336589921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5.44</w:t>
      </w:r>
      <w:r w:rsidRPr="003A4B56">
        <w:rPr>
          <w:rFonts w:cs="Arial"/>
        </w:rPr>
        <w:fldChar w:fldCharType="end"/>
      </w:r>
      <w:r w:rsidRPr="003A4B56">
        <w:rPr>
          <w:rFonts w:cs="Arial"/>
        </w:rPr>
        <w:t xml:space="preserve">. </w:t>
      </w:r>
    </w:p>
    <w:p w:rsidR="00B36772" w:rsidRDefault="00B36772" w:rsidP="00B51B51">
      <w:pPr>
        <w:widowControl w:val="0"/>
        <w:tabs>
          <w:tab w:val="left" w:pos="1418"/>
        </w:tabs>
        <w:rPr>
          <w:rFonts w:cs="Arial"/>
        </w:rPr>
      </w:pPr>
    </w:p>
    <w:p w:rsidR="00B36772" w:rsidRPr="003A4B56" w:rsidRDefault="00B36772" w:rsidP="00B51B51">
      <w:pPr>
        <w:widowControl w:val="0"/>
        <w:tabs>
          <w:tab w:val="left" w:pos="0"/>
          <w:tab w:val="left" w:pos="426"/>
          <w:tab w:val="left" w:pos="851"/>
          <w:tab w:val="left" w:pos="1418"/>
          <w:tab w:val="left" w:pos="8789"/>
        </w:tabs>
        <w:ind w:right="49"/>
        <w:jc w:val="center"/>
        <w:rPr>
          <w:rFonts w:cs="Arial"/>
          <w:b/>
          <w:bCs/>
          <w:noProof/>
          <w:spacing w:val="-3"/>
        </w:rPr>
      </w:pPr>
      <w:bookmarkStart w:id="338" w:name="_Ref336589921"/>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44</w:t>
      </w:r>
      <w:r w:rsidR="00951FEC">
        <w:rPr>
          <w:b/>
        </w:rPr>
        <w:fldChar w:fldCharType="end"/>
      </w:r>
      <w:bookmarkEnd w:id="338"/>
    </w:p>
    <w:p w:rsidR="00B36772" w:rsidRPr="003A4B56" w:rsidRDefault="00254CE2" w:rsidP="00B51B51">
      <w:pPr>
        <w:widowControl w:val="0"/>
        <w:tabs>
          <w:tab w:val="left" w:pos="-720"/>
          <w:tab w:val="left" w:pos="0"/>
          <w:tab w:val="left" w:pos="426"/>
          <w:tab w:val="left" w:pos="851"/>
          <w:tab w:val="left" w:pos="1418"/>
          <w:tab w:val="left" w:pos="8789"/>
        </w:tabs>
        <w:jc w:val="center"/>
        <w:rPr>
          <w:rFonts w:cs="Arial"/>
          <w:noProof/>
          <w:spacing w:val="-3"/>
          <w:szCs w:val="22"/>
        </w:rPr>
      </w:pPr>
      <w:r>
        <w:rPr>
          <w:rFonts w:cs="Arial"/>
          <w:noProof/>
          <w:lang w:val="es-CL" w:eastAsia="es-CL"/>
        </w:rPr>
        <w:drawing>
          <wp:inline distT="0" distB="0" distL="0" distR="0">
            <wp:extent cx="4805680" cy="1998980"/>
            <wp:effectExtent l="0" t="0" r="0" b="1270"/>
            <wp:docPr id="15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05680" cy="1998980"/>
                    </a:xfrm>
                    <a:prstGeom prst="rect">
                      <a:avLst/>
                    </a:prstGeom>
                    <a:noFill/>
                    <a:ln>
                      <a:noFill/>
                    </a:ln>
                  </pic:spPr>
                </pic:pic>
              </a:graphicData>
            </a:graphic>
          </wp:inline>
        </w:drawing>
      </w:r>
    </w:p>
    <w:p w:rsidR="00B36772" w:rsidRPr="00B36772" w:rsidRDefault="00B36772"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La evolución de las transacciones de jugo de manzana en el exterior depende estrechamente del stock de los países consumidores y de la competencia que ha ejercido China en los últimos años. De hecho, es importante señalar que la recuperación de los precios exhibida en el transcurso del 2000 fue consecuencia, en parte, de las medidas que tomó Estados Unidos contra China, por los valores de dumping que mostraba el jugo de manzana proveniente de ese país.</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 relación a las plazas de colocación del producto chileno, cabe destacar que en 2011 el destino principal estuvo constituido por Estados Unidos (41%), seguido por Canadá, Japón, México, Alemania, Reino Unido y Corea del Sur, entre otros. En este contexto, es interesante indicar que los envíos chilenos de jugo de manzana  se han visto beneficiados, en términos arancelarios, con la firma de los distintos acuerdos comerciales.</w:t>
      </w:r>
    </w:p>
    <w:p w:rsidR="000A1474" w:rsidRPr="003A4B56" w:rsidRDefault="000A1474" w:rsidP="00B51B51">
      <w:pPr>
        <w:widowControl w:val="0"/>
        <w:tabs>
          <w:tab w:val="left" w:pos="1418"/>
        </w:tabs>
        <w:rPr>
          <w:rFonts w:cs="Arial"/>
        </w:rPr>
      </w:pPr>
    </w:p>
    <w:p w:rsidR="00B36772" w:rsidRDefault="000A1474" w:rsidP="00B51B51">
      <w:pPr>
        <w:widowControl w:val="0"/>
        <w:tabs>
          <w:tab w:val="left" w:pos="1418"/>
        </w:tabs>
        <w:rPr>
          <w:rFonts w:cs="Arial"/>
        </w:rPr>
      </w:pPr>
      <w:r w:rsidRPr="003A4B56">
        <w:rPr>
          <w:rFonts w:cs="Arial"/>
        </w:rPr>
        <w:t>En efecto, las ventas a México, Venezuela, Colombia, Ecuador, Canadá y Perú actualmente no gravan su entrada. Hacia el MERCOSUR pagan un arancel de 1,2%, en tanto que a Bolivia continuarán cancelando un tributo de 10%.</w:t>
      </w:r>
    </w:p>
    <w:p w:rsidR="00E362F8" w:rsidRPr="003A4B56" w:rsidRDefault="00E362F8" w:rsidP="00B51B51">
      <w:pPr>
        <w:widowControl w:val="0"/>
        <w:tabs>
          <w:tab w:val="left" w:pos="1418"/>
        </w:tabs>
        <w:rPr>
          <w:rFonts w:cs="Arial"/>
        </w:rPr>
      </w:pP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lastRenderedPageBreak/>
        <w:t xml:space="preserve">Entretanto, en Estados Unidos continuarán entrando sin pagar arancel de internación; en </w:t>
      </w:r>
      <w:smartTag w:uri="urn:schemas-microsoft-com:office:smarttags" w:element="PersonName">
        <w:smartTagPr>
          <w:attr w:name="ProductID" w:val="la Unión Europea"/>
        </w:smartTagPr>
        <w:r w:rsidRPr="003A4B56">
          <w:rPr>
            <w:rFonts w:cs="Arial"/>
          </w:rPr>
          <w:t>la Unión Europea</w:t>
        </w:r>
      </w:smartTag>
      <w:r w:rsidRPr="003A4B56">
        <w:rPr>
          <w:rFonts w:cs="Arial"/>
        </w:rPr>
        <w:t>, con motivo del acuerdo, el impuesto disminuyó desde 14,5% a 0 en cuatro años, es decir, en 2007. En Corea el arancel quedará en cero sólo a partir del año 2014, pero se debe tener presente que antes del acuerdo el jugo de manzana chileno debía pagar un tributo de 47%.</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De lo anteriormente expuesto se deduce que el futuro de esta fruta, en estado fresco, se fundamentará en la obtención de un producto de calidad acorde con el gusto de los consumidores extranjeros, en la introducción de nuevas variedades de mayor aceptación, en la apertura de nuevos mercados y en la consolidación de los existentes. Asimismo, las perspectivas para jugo son favorables, y las agroindustrias han subido el precio a productor por la materia prima, ya que con el aumento de las exportaciones de fruta fresca, ésta se ha tornado más escasa.</w:t>
      </w:r>
    </w:p>
    <w:p w:rsidR="000A1474" w:rsidRPr="003A4B56" w:rsidRDefault="000A1474" w:rsidP="00B51B51">
      <w:pPr>
        <w:widowControl w:val="0"/>
        <w:tabs>
          <w:tab w:val="left" w:pos="1418"/>
        </w:tabs>
        <w:rPr>
          <w:rFonts w:cs="Arial"/>
        </w:rPr>
      </w:pPr>
    </w:p>
    <w:p w:rsidR="000A1474" w:rsidRPr="003A4B56" w:rsidRDefault="00F36FC3" w:rsidP="00B51B51">
      <w:pPr>
        <w:widowControl w:val="0"/>
      </w:pPr>
      <w:r w:rsidRPr="003A4B56">
        <w:t>-</w:t>
      </w:r>
      <w:r w:rsidRPr="003A4B56">
        <w:tab/>
      </w:r>
      <w:r w:rsidR="000A1474" w:rsidRPr="003A4B56">
        <w:t xml:space="preserve">Naranjo </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Durante la última década las plantaciones de naranjo en Chile han registrado una expansión, situación que se constata claramente en la información proporcionada por INE es su VI y VII Censo Nacional Agropecuario. En efecto, en dichas publicaciones se aprecia un aumento de las plantaciones del orden de 28% entre las temporadas 1996/97 y 2006/07, al pasar de </w:t>
      </w:r>
      <w:smartTag w:uri="urn:schemas-microsoft-com:office:smarttags" w:element="metricconverter">
        <w:smartTagPr>
          <w:attr w:name="ProductID" w:val="7.209,5 ha"/>
        </w:smartTagPr>
        <w:r w:rsidRPr="003A4B56">
          <w:rPr>
            <w:rFonts w:cs="Arial"/>
          </w:rPr>
          <w:t>7.209,5 ha</w:t>
        </w:r>
      </w:smartTag>
      <w:r w:rsidRPr="003A4B56">
        <w:rPr>
          <w:rFonts w:cs="Arial"/>
        </w:rPr>
        <w:t xml:space="preserve"> a </w:t>
      </w:r>
      <w:smartTag w:uri="urn:schemas-microsoft-com:office:smarttags" w:element="metricconverter">
        <w:smartTagPr>
          <w:attr w:name="ProductID" w:val="9.231,5 ha"/>
        </w:smartTagPr>
        <w:r w:rsidRPr="003A4B56">
          <w:rPr>
            <w:rFonts w:cs="Arial"/>
          </w:rPr>
          <w:t>9.231,5 ha</w:t>
        </w:r>
      </w:smartTag>
      <w:r w:rsidRPr="003A4B56">
        <w:rPr>
          <w:rFonts w:cs="Arial"/>
        </w:rPr>
        <w:t>.</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Cabe señalar que de las 9.231,5 has existentes en 2006/2007, el 19,4% se encontraba en formación, y de ellas el 4,8% se había plantado en el año 2007.</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 contraposición,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la superficie descendió en el mismo período, al pasar de </w:t>
      </w:r>
      <w:smartTag w:uri="urn:schemas-microsoft-com:office:smarttags" w:element="metricconverter">
        <w:smartTagPr>
          <w:attr w:name="ProductID" w:val="4.027 ha"/>
        </w:smartTagPr>
        <w:r w:rsidRPr="003A4B56">
          <w:rPr>
            <w:rFonts w:cs="Arial"/>
          </w:rPr>
          <w:t>4.027 ha</w:t>
        </w:r>
      </w:smartTag>
      <w:r w:rsidRPr="003A4B56">
        <w:rPr>
          <w:rFonts w:cs="Arial"/>
        </w:rPr>
        <w:t xml:space="preserve"> censadas en </w:t>
      </w:r>
      <w:smartTag w:uri="urn:schemas-microsoft-com:office:smarttags" w:element="metricconverter">
        <w:smartTagPr>
          <w:attr w:name="ProductID" w:val="1997 a"/>
        </w:smartTagPr>
        <w:r w:rsidRPr="003A4B56">
          <w:rPr>
            <w:rFonts w:cs="Arial"/>
          </w:rPr>
          <w:t>1997 a</w:t>
        </w:r>
      </w:smartTag>
      <w:r w:rsidRPr="003A4B56">
        <w:rPr>
          <w:rFonts w:cs="Arial"/>
        </w:rPr>
        <w:t xml:space="preserve"> </w:t>
      </w:r>
      <w:smartTag w:uri="urn:schemas-microsoft-com:office:smarttags" w:element="metricconverter">
        <w:smartTagPr>
          <w:attr w:name="ProductID" w:val="3.611 ha"/>
        </w:smartTagPr>
        <w:r w:rsidRPr="003A4B56">
          <w:rPr>
            <w:rFonts w:cs="Arial"/>
          </w:rPr>
          <w:t>3.611 ha</w:t>
        </w:r>
      </w:smartTag>
      <w:r w:rsidRPr="003A4B56">
        <w:rPr>
          <w:rFonts w:cs="Arial"/>
        </w:rPr>
        <w:t xml:space="preserve"> en 2007. Al interior de la región esta especie se distribuye en 87,6% en la provincia de </w:t>
      </w:r>
      <w:r w:rsidR="00F6533B">
        <w:rPr>
          <w:rFonts w:cs="Arial"/>
        </w:rPr>
        <w:t xml:space="preserve">Cachapoal;  11,8% en Colchagua </w:t>
      </w:r>
      <w:r w:rsidRPr="003A4B56">
        <w:rPr>
          <w:rFonts w:cs="Arial"/>
        </w:rPr>
        <w:t>y el 0,6% restante en Cardenal Caro.</w:t>
      </w:r>
    </w:p>
    <w:p w:rsidR="000A1474" w:rsidRPr="003A4B56" w:rsidRDefault="000A1474" w:rsidP="00B51B51">
      <w:pPr>
        <w:widowControl w:val="0"/>
        <w:rPr>
          <w:rFonts w:cs="Arial"/>
        </w:rPr>
      </w:pPr>
    </w:p>
    <w:p w:rsidR="000A1474" w:rsidRDefault="000A1474" w:rsidP="00B51B51">
      <w:pPr>
        <w:widowControl w:val="0"/>
        <w:rPr>
          <w:rFonts w:cs="Arial"/>
        </w:rPr>
      </w:pPr>
      <w:r w:rsidRPr="003A4B56">
        <w:rPr>
          <w:rFonts w:cs="Arial"/>
        </w:rPr>
        <w:t xml:space="preserve">Si bien las exportaciones de esta fruta son poco relevantes en relación a la cosecha nacional, en los últimos años éstas se han incrementado significativamente como consecuencia de la apertura de nuevos mercados y de la entrada en producción de variedades de mejores características. Entre los principales mercados de destino figuran Japón y Reino Unido. </w:t>
      </w:r>
    </w:p>
    <w:p w:rsidR="00E362F8" w:rsidRPr="003A4B56" w:rsidRDefault="00E362F8" w:rsidP="00B51B51">
      <w:pPr>
        <w:widowControl w:val="0"/>
        <w:rPr>
          <w:rFonts w:cs="Arial"/>
        </w:rPr>
      </w:pPr>
    </w:p>
    <w:p w:rsidR="000A1474" w:rsidRPr="003A4B56" w:rsidRDefault="000A1474" w:rsidP="00B51B51">
      <w:pPr>
        <w:widowControl w:val="0"/>
        <w:rPr>
          <w:rFonts w:cs="Arial"/>
        </w:rPr>
      </w:pPr>
      <w:r w:rsidRPr="003A4B56">
        <w:rPr>
          <w:rFonts w:cs="Arial"/>
        </w:rPr>
        <w:t xml:space="preserve">En el transcurso de 1999, Japón y Reino Unido incrementaron significativamente sus adquisiciones; Colombia, entretanto, emergió como una nueva plaza de colocación. Lo anterior significó un fuerte repunte de los embarques al exterior, lo que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_Ref336589964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5.45</w:t>
      </w:r>
      <w:r w:rsidRPr="003A4B56">
        <w:rPr>
          <w:rFonts w:cs="Arial"/>
        </w:rPr>
        <w:fldChar w:fldCharType="end"/>
      </w:r>
      <w:r w:rsidRPr="003A4B56">
        <w:rPr>
          <w:rFonts w:cs="Arial"/>
        </w:rPr>
        <w:t xml:space="preserve">. </w:t>
      </w:r>
    </w:p>
    <w:p w:rsidR="000A1474" w:rsidRPr="003A4B56" w:rsidRDefault="000A1474" w:rsidP="00B51B51">
      <w:pPr>
        <w:widowControl w:val="0"/>
        <w:rPr>
          <w:rFonts w:cs="Arial"/>
          <w:lang w:val="es-CL"/>
        </w:rPr>
      </w:pPr>
    </w:p>
    <w:p w:rsidR="000A1474" w:rsidRDefault="000A1474" w:rsidP="00B51B51">
      <w:pPr>
        <w:widowControl w:val="0"/>
        <w:rPr>
          <w:rFonts w:cs="Arial"/>
        </w:rPr>
      </w:pPr>
      <w:r w:rsidRPr="003A4B56">
        <w:rPr>
          <w:rFonts w:cs="Arial"/>
        </w:rPr>
        <w:t xml:space="preserve">En efecto, los envíos entre 1998 y 1999 aunque aumentaron en más de 190%, en los años siguientes éstos continuaron registrando significativas expansiones hasta situarse durante el año 2011 en 62.609 </w:t>
      </w:r>
      <w:r w:rsidR="00F6533B">
        <w:rPr>
          <w:rFonts w:cs="Arial"/>
        </w:rPr>
        <w:t>toneladas equivalentes a más de</w:t>
      </w:r>
      <w:r w:rsidRPr="003A4B56">
        <w:rPr>
          <w:rFonts w:cs="Arial"/>
        </w:rPr>
        <w:t xml:space="preserve"> US$56 millones FOB. El destino de los embarques durante el año 2011 estuvo constituido en 71,8% por Estados Unidos, seguido por Corea, Canadá, Holanda, Arabia y España, entre otros. </w:t>
      </w:r>
    </w:p>
    <w:p w:rsidR="00B36772" w:rsidRPr="003A4B56" w:rsidRDefault="00B36772" w:rsidP="00B51B51">
      <w:pPr>
        <w:widowControl w:val="0"/>
        <w:rPr>
          <w:rFonts w:cs="Arial"/>
        </w:rPr>
      </w:pPr>
    </w:p>
    <w:p w:rsidR="000A1474" w:rsidRDefault="000A1474" w:rsidP="00B51B51">
      <w:pPr>
        <w:widowControl w:val="0"/>
        <w:rPr>
          <w:rFonts w:cs="Arial"/>
          <w:b/>
          <w:bCs/>
          <w:noProof/>
          <w:spacing w:val="-3"/>
        </w:rPr>
      </w:pPr>
    </w:p>
    <w:p w:rsidR="00791F11" w:rsidRDefault="00791F11" w:rsidP="00B51B51">
      <w:pPr>
        <w:widowControl w:val="0"/>
        <w:rPr>
          <w:rFonts w:cs="Arial"/>
          <w:b/>
          <w:bCs/>
          <w:noProof/>
          <w:spacing w:val="-3"/>
        </w:rPr>
      </w:pPr>
    </w:p>
    <w:p w:rsidR="00791F11" w:rsidRDefault="00791F11" w:rsidP="00B51B51">
      <w:pPr>
        <w:widowControl w:val="0"/>
        <w:rPr>
          <w:rFonts w:cs="Arial"/>
          <w:b/>
          <w:bCs/>
          <w:noProof/>
          <w:spacing w:val="-3"/>
        </w:rPr>
      </w:pPr>
    </w:p>
    <w:p w:rsidR="00791F11" w:rsidRDefault="00791F11" w:rsidP="00B51B51">
      <w:pPr>
        <w:widowControl w:val="0"/>
        <w:rPr>
          <w:rFonts w:cs="Arial"/>
          <w:b/>
          <w:bCs/>
          <w:noProof/>
          <w:spacing w:val="-3"/>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39" w:name="_Ref336589964"/>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45</w:t>
      </w:r>
      <w:r w:rsidR="00951FEC">
        <w:rPr>
          <w:b/>
        </w:rPr>
        <w:fldChar w:fldCharType="end"/>
      </w:r>
      <w:bookmarkEnd w:id="339"/>
    </w:p>
    <w:p w:rsidR="000A1474" w:rsidRPr="003A4B56" w:rsidRDefault="00254CE2" w:rsidP="00B51B51">
      <w:pPr>
        <w:widowControl w:val="0"/>
        <w:jc w:val="center"/>
        <w:rPr>
          <w:rFonts w:cs="Arial"/>
          <w:lang w:val="es-CL"/>
        </w:rPr>
      </w:pPr>
      <w:r>
        <w:rPr>
          <w:noProof/>
          <w:lang w:val="es-CL" w:eastAsia="es-CL"/>
        </w:rPr>
        <w:drawing>
          <wp:inline distT="0" distB="0" distL="0" distR="0">
            <wp:extent cx="4975860" cy="1711960"/>
            <wp:effectExtent l="0" t="0" r="0" b="254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975860" cy="1711960"/>
                    </a:xfrm>
                    <a:prstGeom prst="rect">
                      <a:avLst/>
                    </a:prstGeom>
                    <a:noFill/>
                    <a:ln>
                      <a:noFill/>
                    </a:ln>
                  </pic:spPr>
                </pic:pic>
              </a:graphicData>
            </a:graphic>
          </wp:inline>
        </w:drawing>
      </w:r>
    </w:p>
    <w:p w:rsidR="000A1474" w:rsidRPr="003A4B56" w:rsidRDefault="000A1474" w:rsidP="00B51B51">
      <w:pPr>
        <w:widowControl w:val="0"/>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Si bien Japón abarcó sólo el 0,7% de las exportaciones chilenas de naranjas en 2011, en los años 2009 y 2010 las colocaciones en ese país habían superado el 4%. No obstante, las expectativas de exportación para esta fruta son favorables, por cuanto el producto chileno ha ganado espacio en el mercado nipón, país en donde se consumen abundantes cantidades de naranja y se ha logrado posicionar como un producto de contraestación, lo que presenta ventajas en relación a la fruta que ellos puedan tener almacenada.</w:t>
      </w:r>
    </w:p>
    <w:p w:rsidR="000A1474" w:rsidRPr="003A4B56" w:rsidRDefault="000A1474" w:rsidP="00B51B51">
      <w:pPr>
        <w:widowControl w:val="0"/>
        <w:ind w:firstLine="708"/>
        <w:rPr>
          <w:rFonts w:cs="Arial"/>
          <w:lang w:val="es-CL"/>
        </w:rPr>
      </w:pPr>
    </w:p>
    <w:p w:rsidR="000A1474" w:rsidRPr="003A4B56" w:rsidRDefault="000A1474" w:rsidP="00B51B51">
      <w:pPr>
        <w:widowControl w:val="0"/>
        <w:rPr>
          <w:rFonts w:cs="Arial"/>
        </w:rPr>
      </w:pPr>
      <w:r w:rsidRPr="003A4B56">
        <w:rPr>
          <w:rFonts w:cs="Arial"/>
        </w:rPr>
        <w:t xml:space="preserve">Cabe destacar que entre los acuerdos comerciales suscritos por Chile con diferentes países, en el caso específico de Bolivia, las naranjas chilenas continuarán pagando un arancel de entrada del orden de un 10%, en tanto que este tributo se igualó a cero en Perú a partir del año 2003 y en los países del MERCOSUR el año 2006. En Ecuador, uno de los principales destinos de los envíos chilenos, esta fruta dejó de pagar arancel de internación en 1998, lo que aumenta su competitividad en dicho mercado. </w:t>
      </w:r>
    </w:p>
    <w:p w:rsidR="000A1474" w:rsidRPr="003A4B56" w:rsidRDefault="000A1474" w:rsidP="00B51B51">
      <w:pPr>
        <w:widowControl w:val="0"/>
        <w:rPr>
          <w:rFonts w:cs="Arial"/>
          <w:lang w:val="es-CL"/>
        </w:rPr>
      </w:pPr>
    </w:p>
    <w:p w:rsidR="000A1474" w:rsidRPr="003A4B56" w:rsidRDefault="000A1474" w:rsidP="00B51B51">
      <w:pPr>
        <w:widowControl w:val="0"/>
        <w:rPr>
          <w:rFonts w:cs="Arial"/>
        </w:rPr>
      </w:pPr>
      <w:r w:rsidRPr="003A4B56">
        <w:rPr>
          <w:rFonts w:cs="Arial"/>
        </w:rPr>
        <w:t>En Estados Unidos, con ocasión del acuerdo suscrito con Chile, dejó de pagar arancel de internación el año 4, es decir, en 2008. En 2007 se iniciaron los primeros envíos a esa plaza de colocación, lo que hace prever un escenario muy positivo para esta especie en los próximos años, como ya se constató desde el año 2009 en adelante.</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Entretanto, los envíos a los países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ingresarán con arancel 0 cuando tengan lugar entre el 1 de mayo y el 15 de octubre, y durante el resto del año disminuirá a cero entre los años 2010 y 2013, lo que favorecerá la comercialización hacia esa importante plaza de colocación. En China, el arancel actual de 11% se igualará a cero al año 10.</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De esta  manera, la tendencia de plantación de los últimos años ha sido con variedades tempranas, con cosechas entre mayo y junio, o bien con cultivares tardíos, cuyo período de producción de extendería desde septiembre en adelante, con lo cual se lograría obtener  mayores precios en el ámbito interno. Esta ventaja de estacionalidad de producción es factible de lograr en la zona de estudio, en donde se obtendría un producto de características internas y externas atractivas, tanto para los consumidores del mercado interno como el internacional.</w:t>
      </w:r>
    </w:p>
    <w:p w:rsidR="000A1474" w:rsidRDefault="000A1474" w:rsidP="00B51B51">
      <w:pPr>
        <w:widowControl w:val="0"/>
        <w:rPr>
          <w:rFonts w:cs="Arial"/>
        </w:rPr>
      </w:pPr>
    </w:p>
    <w:p w:rsidR="00B36772" w:rsidRDefault="00B36772" w:rsidP="00B51B51">
      <w:pPr>
        <w:widowControl w:val="0"/>
        <w:rPr>
          <w:rFonts w:cs="Arial"/>
        </w:rPr>
      </w:pPr>
    </w:p>
    <w:p w:rsidR="00B36772" w:rsidRDefault="00B36772" w:rsidP="00B51B51">
      <w:pPr>
        <w:widowControl w:val="0"/>
        <w:rPr>
          <w:rFonts w:cs="Arial"/>
        </w:rPr>
      </w:pPr>
    </w:p>
    <w:p w:rsidR="00B36772" w:rsidRDefault="00B36772" w:rsidP="00B51B51">
      <w:pPr>
        <w:widowControl w:val="0"/>
        <w:rPr>
          <w:rFonts w:cs="Arial"/>
        </w:rPr>
      </w:pPr>
    </w:p>
    <w:p w:rsidR="00B36772" w:rsidRDefault="00B36772" w:rsidP="00B51B51">
      <w:pPr>
        <w:widowControl w:val="0"/>
        <w:rPr>
          <w:rFonts w:cs="Arial"/>
        </w:rPr>
      </w:pPr>
    </w:p>
    <w:p w:rsidR="00B36772" w:rsidRPr="003A4B56" w:rsidRDefault="00B36772" w:rsidP="00B51B51">
      <w:pPr>
        <w:widowControl w:val="0"/>
        <w:rPr>
          <w:rFonts w:cs="Arial"/>
        </w:rPr>
      </w:pPr>
    </w:p>
    <w:p w:rsidR="000A1474" w:rsidRPr="003A4B56" w:rsidRDefault="00F36FC3" w:rsidP="00B51B51">
      <w:pPr>
        <w:widowControl w:val="0"/>
      </w:pPr>
      <w:r w:rsidRPr="003A4B56">
        <w:lastRenderedPageBreak/>
        <w:t>-</w:t>
      </w:r>
      <w:r w:rsidRPr="003A4B56">
        <w:tab/>
      </w:r>
      <w:r w:rsidR="000A1474" w:rsidRPr="003A4B56">
        <w:t>Nectarino</w:t>
      </w:r>
    </w:p>
    <w:p w:rsidR="000A1474" w:rsidRPr="003A4B56" w:rsidRDefault="000A1474" w:rsidP="00B51B51">
      <w:pPr>
        <w:widowControl w:val="0"/>
        <w:tabs>
          <w:tab w:val="left" w:pos="0"/>
          <w:tab w:val="left" w:pos="426"/>
          <w:tab w:val="left" w:pos="720"/>
          <w:tab w:val="left" w:pos="1418"/>
        </w:tabs>
        <w:ind w:left="360" w:right="49"/>
        <w:rPr>
          <w:rFonts w:cs="Arial"/>
        </w:rPr>
      </w:pPr>
    </w:p>
    <w:p w:rsidR="000A1474" w:rsidRPr="003A4B56" w:rsidRDefault="000A1474" w:rsidP="00B51B51">
      <w:pPr>
        <w:widowControl w:val="0"/>
        <w:rPr>
          <w:rFonts w:cs="Arial"/>
        </w:rPr>
      </w:pPr>
      <w:r w:rsidRPr="003A4B56">
        <w:rPr>
          <w:rFonts w:cs="Arial"/>
        </w:rPr>
        <w:t>De acuerdo a información de ODEPA e INE, entre 1990 y 1997 la superficie destinada al cultivo de nectarines experimentó una caída del orden de un 6,9%. Esta evolución sería consecuencia del arranque y reemplazo de variedades antiguas que no reunían los requisitos de exportación, tales como coloración, calibre y vida de postcosecha.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 Chile, las plantaciones de esta especie se distribuyen entre </w:t>
      </w:r>
      <w:smartTag w:uri="urn:schemas-microsoft-com:office:smarttags" w:element="PersonName">
        <w:smartTagPr>
          <w:attr w:name="ProductID" w:val="la IV"/>
        </w:smartTagPr>
        <w:r w:rsidRPr="003A4B56">
          <w:rPr>
            <w:rFonts w:cs="Arial"/>
          </w:rPr>
          <w:t>la IV</w:t>
        </w:r>
      </w:smartTag>
      <w:r w:rsidRPr="003A4B56">
        <w:rPr>
          <w:rFonts w:cs="Arial"/>
        </w:rPr>
        <w:t xml:space="preserve"> y </w:t>
      </w:r>
      <w:smartTag w:uri="urn:schemas-microsoft-com:office:smarttags" w:element="PersonName">
        <w:smartTagPr>
          <w:attr w:name="ProductID" w:val="la VII Región"/>
        </w:smartTagPr>
        <w:r w:rsidRPr="003A4B56">
          <w:rPr>
            <w:rFonts w:cs="Arial"/>
          </w:rPr>
          <w:t>la VII Región</w:t>
        </w:r>
      </w:smartTag>
      <w:r w:rsidRPr="003A4B56">
        <w:rPr>
          <w:rFonts w:cs="Arial"/>
        </w:rPr>
        <w:t xml:space="preserve">, pero se concentran mayoritariamente desde </w:t>
      </w:r>
      <w:smartTag w:uri="urn:schemas-microsoft-com:office:smarttags" w:element="PersonName">
        <w:smartTagPr>
          <w:attr w:name="ProductID" w:val="la V"/>
        </w:smartTagPr>
        <w:r w:rsidRPr="003A4B56">
          <w:rPr>
            <w:rFonts w:cs="Arial"/>
          </w:rPr>
          <w:t>la V</w:t>
        </w:r>
      </w:smartTag>
      <w:r w:rsidRPr="003A4B56">
        <w:rPr>
          <w:rFonts w:cs="Arial"/>
        </w:rPr>
        <w:t xml:space="preserve">  a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De acuerdo a la información proporcionada por el VI Censo Nacional Agropecuario realizado por INE, en 1997 existían alrededor de </w:t>
      </w:r>
      <w:smartTag w:uri="urn:schemas-microsoft-com:office:smarttags" w:element="metricconverter">
        <w:smartTagPr>
          <w:attr w:name="ProductID" w:val="6.099 ha"/>
        </w:smartTagPr>
        <w:r w:rsidRPr="003A4B56">
          <w:rPr>
            <w:rFonts w:cs="Arial"/>
          </w:rPr>
          <w:t>6.099 ha</w:t>
        </w:r>
      </w:smartTag>
      <w:r w:rsidRPr="003A4B56">
        <w:rPr>
          <w:rFonts w:cs="Arial"/>
        </w:rPr>
        <w:t xml:space="preserve">, de las cuales un 15,4% se encontraba en etapa de formación y el resto en producción. En 2006/07, la misma entidad, informaba de una superficie de </w:t>
      </w:r>
      <w:smartTag w:uri="urn:schemas-microsoft-com:office:smarttags" w:element="metricconverter">
        <w:smartTagPr>
          <w:attr w:name="ProductID" w:val="5.310,8 ha"/>
        </w:smartTagPr>
        <w:r w:rsidRPr="003A4B56">
          <w:rPr>
            <w:rFonts w:cs="Arial"/>
          </w:rPr>
          <w:t>5.310,8 ha</w:t>
        </w:r>
      </w:smartTag>
      <w:r w:rsidRPr="003A4B56">
        <w:rPr>
          <w:rFonts w:cs="Arial"/>
        </w:rPr>
        <w:t xml:space="preserve">, lo que revela un descenso de 12,9% de las plantaciones a nivel nacional. </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 contraposición,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se evidenció un incremento de las plantaciones, al pasar de </w:t>
      </w:r>
      <w:smartTag w:uri="urn:schemas-microsoft-com:office:smarttags" w:element="metricconverter">
        <w:smartTagPr>
          <w:attr w:name="ProductID" w:val="2.987,4 ha"/>
        </w:smartTagPr>
        <w:r w:rsidRPr="003A4B56">
          <w:rPr>
            <w:rFonts w:cs="Arial"/>
          </w:rPr>
          <w:t>2.987,4 ha</w:t>
        </w:r>
      </w:smartTag>
      <w:r w:rsidRPr="003A4B56">
        <w:rPr>
          <w:rFonts w:cs="Arial"/>
        </w:rPr>
        <w:t xml:space="preserve"> en </w:t>
      </w:r>
      <w:smartTag w:uri="urn:schemas-microsoft-com:office:smarttags" w:element="metricconverter">
        <w:smartTagPr>
          <w:attr w:name="ProductID" w:val="1997 a"/>
        </w:smartTagPr>
        <w:r w:rsidRPr="003A4B56">
          <w:rPr>
            <w:rFonts w:cs="Arial"/>
          </w:rPr>
          <w:t>1997 a</w:t>
        </w:r>
      </w:smartTag>
      <w:r w:rsidRPr="003A4B56">
        <w:rPr>
          <w:rFonts w:cs="Arial"/>
        </w:rPr>
        <w:t xml:space="preserve"> </w:t>
      </w:r>
      <w:smartTag w:uri="urn:schemas-microsoft-com:office:smarttags" w:element="metricconverter">
        <w:smartTagPr>
          <w:attr w:name="ProductID" w:val="3.131,2 ha"/>
        </w:smartTagPr>
        <w:r w:rsidRPr="003A4B56">
          <w:rPr>
            <w:rFonts w:cs="Arial"/>
          </w:rPr>
          <w:t>3.131,2 ha</w:t>
        </w:r>
      </w:smartTag>
      <w:r w:rsidRPr="003A4B56">
        <w:rPr>
          <w:rFonts w:cs="Arial"/>
        </w:rPr>
        <w:t xml:space="preserve"> en el año 2007. Al interior de la región esta especie se concentra en 87,6% en la provincia de Cachapoal y el 1,7% restante en la correspondiente a Colchagua.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La producción de nectarines se comercializa en estado fresco, tanto en el ámbito local como en el internacional. Cabe señalar que los envíos al exterior en la última década han presentado importantes fluctuaciones, pero con una significativa tendencia alcista,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_Ref336590289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5.46</w:t>
      </w:r>
      <w:r w:rsidRPr="003A4B56">
        <w:rPr>
          <w:rFonts w:cs="Arial"/>
        </w:rPr>
        <w:fldChar w:fldCharType="end"/>
      </w:r>
      <w:r w:rsidRPr="003A4B56">
        <w:rPr>
          <w:rFonts w:cs="Arial"/>
        </w:rPr>
        <w:t xml:space="preserve">. </w:t>
      </w:r>
    </w:p>
    <w:p w:rsidR="000A1474" w:rsidRPr="003A4B56" w:rsidRDefault="000A1474" w:rsidP="00B51B51">
      <w:pPr>
        <w:widowControl w:val="0"/>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0" w:name="_Ref336590289"/>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46</w:t>
      </w:r>
      <w:r w:rsidR="00951FEC">
        <w:rPr>
          <w:b/>
        </w:rPr>
        <w:fldChar w:fldCharType="end"/>
      </w:r>
      <w:bookmarkEnd w:id="340"/>
    </w:p>
    <w:p w:rsidR="000A1474" w:rsidRPr="003A4B56" w:rsidRDefault="00254CE2" w:rsidP="00B51B51">
      <w:pPr>
        <w:widowControl w:val="0"/>
        <w:ind w:right="49"/>
        <w:jc w:val="center"/>
        <w:rPr>
          <w:b/>
          <w:bCs/>
        </w:rPr>
      </w:pPr>
      <w:r>
        <w:rPr>
          <w:noProof/>
          <w:lang w:val="es-CL" w:eastAsia="es-CL"/>
        </w:rPr>
        <w:drawing>
          <wp:inline distT="0" distB="0" distL="0" distR="0">
            <wp:extent cx="4827270" cy="2392045"/>
            <wp:effectExtent l="0" t="0" r="0" b="825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827270" cy="2392045"/>
                    </a:xfrm>
                    <a:prstGeom prst="rect">
                      <a:avLst/>
                    </a:prstGeom>
                    <a:noFill/>
                    <a:ln>
                      <a:noFill/>
                    </a:ln>
                  </pic:spPr>
                </pic:pic>
              </a:graphicData>
            </a:graphic>
          </wp:inline>
        </w:drawing>
      </w:r>
    </w:p>
    <w:p w:rsidR="000A1474" w:rsidRPr="00B36772"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En el 2011 se registró el peak de exportaciones con un volumen total de casi 63 mil toneladas, equivalentes a US$ 83 millones FOB. El destino de estos embarques estuvo dirigido en 44% a Estados Unidos, seguido por Holanda, Hong Kong, Taiwán, Brasil, Reino Unido, México y Colombia, entre otros.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En el ámbito internacional, cabe señalar que el nectarín chileno entra sin pagar arancel de internación en Estados Unidos, México, Colombia, Venezuela y Ecuador. </w:t>
      </w:r>
    </w:p>
    <w:p w:rsidR="000A1474" w:rsidRPr="003A4B56" w:rsidRDefault="000A1474" w:rsidP="00B51B51">
      <w:pPr>
        <w:widowControl w:val="0"/>
        <w:rPr>
          <w:rFonts w:cs="Arial"/>
        </w:rPr>
      </w:pPr>
    </w:p>
    <w:p w:rsidR="000A1474" w:rsidRPr="003A4B56" w:rsidRDefault="000A1474" w:rsidP="00B51B51">
      <w:pPr>
        <w:widowControl w:val="0"/>
        <w:tabs>
          <w:tab w:val="left" w:pos="0"/>
          <w:tab w:val="left" w:pos="720"/>
        </w:tabs>
        <w:rPr>
          <w:rFonts w:cs="Arial"/>
        </w:rPr>
      </w:pPr>
      <w:r w:rsidRPr="003A4B56">
        <w:rPr>
          <w:rFonts w:cs="Arial"/>
        </w:rPr>
        <w:lastRenderedPageBreak/>
        <w:t>En Perú, entretanto, en arancel de internación se igualó a cero el año 2008. En el Acuerdo Comercial firmado con Bolivia, a esta fruta se le concedió una preferencia de 12%, por lo que debe pagar un arancel de 8,8%. En Taiwán el impuesto de internación se eleva a 50%, en Costa Rica a 16% y en Guatemala a 15%.</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tabs>
          <w:tab w:val="left" w:pos="0"/>
          <w:tab w:val="left" w:pos="720"/>
        </w:tabs>
        <w:rPr>
          <w:rFonts w:cs="Arial"/>
        </w:rPr>
      </w:pPr>
      <w:r w:rsidRPr="003A4B56">
        <w:rPr>
          <w:rFonts w:cs="Arial"/>
        </w:rPr>
        <w:t xml:space="preserve">Por último, es válido destacar que debido al tratado de libre comercio suscrito entre Chile y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es probable que este nicho amplíe las colocaciones nectarines en los próximos años, por cuanto este producto dejó de pagar arancel el año 2010. Asimismo, en China este tributo se igualó a cero el año 5 (2011). Entretanto, en  Corea lo hará  en el año 10 (2014) y en Japón en el año 8 (2015). </w:t>
      </w:r>
    </w:p>
    <w:p w:rsidR="000A1474" w:rsidRPr="003A4B56" w:rsidRDefault="000A1474" w:rsidP="00B51B51">
      <w:pPr>
        <w:widowControl w:val="0"/>
        <w:tabs>
          <w:tab w:val="left" w:pos="0"/>
          <w:tab w:val="left" w:pos="720"/>
        </w:tabs>
        <w:rPr>
          <w:rFonts w:cs="Arial"/>
        </w:rPr>
      </w:pPr>
    </w:p>
    <w:p w:rsidR="000A1474" w:rsidRPr="003A4B56" w:rsidRDefault="000A1474" w:rsidP="00B51B51">
      <w:pPr>
        <w:widowControl w:val="0"/>
        <w:rPr>
          <w:rFonts w:cs="Arial"/>
        </w:rPr>
      </w:pPr>
      <w:r w:rsidRPr="003A4B56">
        <w:rPr>
          <w:rFonts w:cs="Arial"/>
        </w:rPr>
        <w:t>En relación a los mercados, es preciso indicar que lo fundamental es llegar con la fruta en buenas condiciones, factor crítico en esta especie. Actualmente se trabaja con variedades que presentan buen calibre y color, carecen de casposidad y manchas, poseen un alto rendimiento exportable y una mejor vida de postcosecha. Estos atributos son ahora incluso más importantes que la época de cosecha.</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 xml:space="preserve">No obstante, al analizar los precios registrados por la fruta chilena en el exterior se constata que los valores más altos se alcanzan a inicios de temporada, los que  habitualmente superan entre 100 y 120% a los anotados hacia mediados de temporada. En cuanto al término del período de comercialización, la situación no es tan clara para las variedades tardías, pues en algunas oportunidades los precios repuntan pero en otras esto no ocurre. </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De esta manera, se continúa buscando cultivares de buena vida de postcosecha para su consolidación en los mercados más distantes, a la vez que se está trabajando en el tema de atmósfera controlada y en embarques aéreos de fruta madura.</w:t>
      </w:r>
    </w:p>
    <w:p w:rsidR="000A1474" w:rsidRPr="00E362F8" w:rsidRDefault="000A1474" w:rsidP="00B51B51">
      <w:pPr>
        <w:widowControl w:val="0"/>
        <w:rPr>
          <w:rFonts w:cs="Arial"/>
          <w:sz w:val="18"/>
        </w:rPr>
      </w:pPr>
    </w:p>
    <w:p w:rsidR="000A1474" w:rsidRPr="003A4B56" w:rsidRDefault="000A1474" w:rsidP="00B51B51">
      <w:pPr>
        <w:widowControl w:val="0"/>
        <w:rPr>
          <w:rFonts w:cs="Arial"/>
        </w:rPr>
      </w:pPr>
      <w:r w:rsidRPr="003A4B56">
        <w:rPr>
          <w:rFonts w:cs="Arial"/>
        </w:rPr>
        <w:t xml:space="preserve">La principal característica de estas variedades es que muchas de ellas obtienen color a la sombra, lo que reduce el costo directo de producción, ya que antes había que hacer prácticas de manejo del follaje para obtener color. </w:t>
      </w:r>
    </w:p>
    <w:p w:rsidR="000A1474" w:rsidRPr="00E362F8" w:rsidRDefault="000A1474" w:rsidP="00B51B51">
      <w:pPr>
        <w:widowControl w:val="0"/>
        <w:rPr>
          <w:rFonts w:cs="Arial"/>
          <w:sz w:val="18"/>
        </w:rPr>
      </w:pPr>
    </w:p>
    <w:p w:rsidR="000A1474" w:rsidRPr="003A4B56" w:rsidRDefault="000A1474" w:rsidP="00B51B51">
      <w:pPr>
        <w:widowControl w:val="0"/>
        <w:rPr>
          <w:rFonts w:cs="Arial"/>
        </w:rPr>
      </w:pPr>
      <w:r w:rsidRPr="003A4B56">
        <w:rPr>
          <w:rFonts w:cs="Arial"/>
        </w:rPr>
        <w:t>En el mercado del Lejano Oriente y de Europa existe fuerte competencia por parte de Sudáfrica, país que ha desarrollado variedades con muy buenas características. Asimismo, mandar fruta a esos mercados tiene un mayor costo de flete, lo que la hace menos competitiva respecto de la sudafricana. Esta misma ventaja es favorable a Chile en el caso de Estados Unidos.</w:t>
      </w:r>
    </w:p>
    <w:p w:rsidR="000A1474" w:rsidRPr="003A4B56" w:rsidRDefault="000A1474" w:rsidP="00B51B51">
      <w:pPr>
        <w:widowControl w:val="0"/>
        <w:rPr>
          <w:rFonts w:cs="Arial"/>
        </w:rPr>
      </w:pPr>
    </w:p>
    <w:p w:rsidR="000A1474" w:rsidRPr="003A4B56" w:rsidRDefault="000A1474" w:rsidP="00B51B51">
      <w:pPr>
        <w:widowControl w:val="0"/>
        <w:rPr>
          <w:rFonts w:cs="Arial"/>
        </w:rPr>
      </w:pPr>
      <w:r w:rsidRPr="003A4B56">
        <w:rPr>
          <w:rFonts w:cs="Arial"/>
        </w:rPr>
        <w:t>En relación al producto comercializado en el mercado interno, las transacciones comienzan en octubre y se prolongan hasta el mes de abril.</w:t>
      </w:r>
    </w:p>
    <w:p w:rsidR="000A1474" w:rsidRPr="00E362F8" w:rsidRDefault="000A1474" w:rsidP="00B51B51">
      <w:pPr>
        <w:widowControl w:val="0"/>
        <w:rPr>
          <w:rFonts w:cs="Arial"/>
          <w:sz w:val="18"/>
        </w:rPr>
      </w:pPr>
    </w:p>
    <w:p w:rsidR="000A1474" w:rsidRDefault="000A1474" w:rsidP="00B51B51">
      <w:pPr>
        <w:widowControl w:val="0"/>
        <w:rPr>
          <w:rFonts w:cs="Arial"/>
        </w:rPr>
      </w:pPr>
      <w:r w:rsidRPr="003A4B56">
        <w:rPr>
          <w:rFonts w:cs="Arial"/>
        </w:rPr>
        <w:t>Así, los desafíos para esta especie están planteados, y el éxito estará vinculado a la producción de fruta de buena calidad y características de postcosecha, para que pueda competir exitosamente en el contexto internacional.</w:t>
      </w:r>
    </w:p>
    <w:p w:rsidR="00B36772" w:rsidRPr="003A4B56" w:rsidRDefault="00B36772" w:rsidP="00B51B51">
      <w:pPr>
        <w:widowControl w:val="0"/>
        <w:rPr>
          <w:rFonts w:cs="Arial"/>
        </w:rPr>
      </w:pPr>
    </w:p>
    <w:p w:rsidR="000A1474" w:rsidRPr="003A4B56" w:rsidRDefault="00F36FC3" w:rsidP="00B51B51">
      <w:pPr>
        <w:widowControl w:val="0"/>
      </w:pPr>
      <w:r w:rsidRPr="003A4B56">
        <w:t>-</w:t>
      </w:r>
      <w:r w:rsidRPr="003A4B56">
        <w:tab/>
      </w:r>
      <w:r w:rsidR="000A1474" w:rsidRPr="003A4B56">
        <w:t>Nogal</w:t>
      </w:r>
    </w:p>
    <w:p w:rsidR="000A1474" w:rsidRPr="00E362F8" w:rsidRDefault="000A1474" w:rsidP="00B51B51">
      <w:pPr>
        <w:widowControl w:val="0"/>
        <w:rPr>
          <w:rFonts w:cs="Arial"/>
          <w:sz w:val="16"/>
        </w:rPr>
      </w:pPr>
    </w:p>
    <w:p w:rsidR="000A1474" w:rsidRPr="003A4B56" w:rsidRDefault="000A1474" w:rsidP="00B51B51">
      <w:pPr>
        <w:widowControl w:val="0"/>
        <w:rPr>
          <w:rFonts w:cs="Arial"/>
        </w:rPr>
      </w:pPr>
      <w:r w:rsidRPr="003A4B56">
        <w:rPr>
          <w:rFonts w:cs="Arial"/>
        </w:rPr>
        <w:t xml:space="preserve">De acuerdo a información de ODEPA e INE, el nogal en Chile se distribuye entre </w:t>
      </w:r>
      <w:smartTag w:uri="urn:schemas-microsoft-com:office:smarttags" w:element="PersonName">
        <w:smartTagPr>
          <w:attr w:name="ProductID" w:val="la III"/>
        </w:smartTagPr>
        <w:r w:rsidRPr="003A4B56">
          <w:rPr>
            <w:rFonts w:cs="Arial"/>
          </w:rPr>
          <w:t>la III</w:t>
        </w:r>
      </w:smartTag>
      <w:r w:rsidRPr="003A4B56">
        <w:rPr>
          <w:rFonts w:cs="Arial"/>
        </w:rPr>
        <w:t xml:space="preserve"> y IX Región, pero se concentra en más de 98% desde </w:t>
      </w:r>
      <w:smartTag w:uri="urn:schemas-microsoft-com:office:smarttags" w:element="PersonName">
        <w:smartTagPr>
          <w:attr w:name="ProductID" w:val="la IV"/>
        </w:smartTagPr>
        <w:r w:rsidRPr="003A4B56">
          <w:rPr>
            <w:rFonts w:cs="Arial"/>
          </w:rPr>
          <w:t>la IV</w:t>
        </w:r>
      </w:smartTag>
      <w:r w:rsidRPr="003A4B56">
        <w:rPr>
          <w:rFonts w:cs="Arial"/>
        </w:rPr>
        <w:t xml:space="preserve"> a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Cabe señalar que entre 1997 y 2007 esta especie se incrementó en casi 100%, al pasar de </w:t>
      </w:r>
      <w:smartTag w:uri="urn:schemas-microsoft-com:office:smarttags" w:element="metricconverter">
        <w:smartTagPr>
          <w:attr w:name="ProductID" w:val="7.479 hectáreas"/>
        </w:smartTagPr>
        <w:r w:rsidRPr="003A4B56">
          <w:rPr>
            <w:rFonts w:cs="Arial"/>
          </w:rPr>
          <w:t>7.479 hectáreas</w:t>
        </w:r>
      </w:smartTag>
      <w:r w:rsidRPr="003A4B56">
        <w:rPr>
          <w:rFonts w:cs="Arial"/>
        </w:rPr>
        <w:t xml:space="preserve"> a 14.583,8. Las plantaciones en 2007 se encontraban en 35,8% en etapa de formación y el 64,2% en producción. Cabe destacar que de las </w:t>
      </w:r>
      <w:smartTag w:uri="urn:schemas-microsoft-com:office:smarttags" w:element="metricconverter">
        <w:smartTagPr>
          <w:attr w:name="ProductID" w:val="5.218 hectáreas"/>
        </w:smartTagPr>
        <w:r w:rsidRPr="003A4B56">
          <w:rPr>
            <w:rFonts w:cs="Arial"/>
          </w:rPr>
          <w:t>5.218 hectáreas</w:t>
        </w:r>
      </w:smartTag>
      <w:r w:rsidRPr="003A4B56">
        <w:rPr>
          <w:rFonts w:cs="Arial"/>
        </w:rPr>
        <w:t xml:space="preserve"> en formación, el 44,5% se plantó en 2007. </w:t>
      </w:r>
    </w:p>
    <w:p w:rsidR="000A1474" w:rsidRPr="003A4B56" w:rsidRDefault="000A1474" w:rsidP="00B51B51">
      <w:pPr>
        <w:widowControl w:val="0"/>
        <w:rPr>
          <w:rFonts w:cs="Arial"/>
        </w:rPr>
      </w:pPr>
      <w:r w:rsidRPr="003A4B56">
        <w:rPr>
          <w:rFonts w:cs="Arial"/>
        </w:rPr>
        <w:lastRenderedPageBreak/>
        <w:t xml:space="preserve">Esta tendencia también se manifestó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cuyas plantaciones entre 1997 y 2007 se incrementaron en 76,2%, al pasar de </w:t>
      </w:r>
      <w:smartTag w:uri="urn:schemas-microsoft-com:office:smarttags" w:element="metricconverter">
        <w:smartTagPr>
          <w:attr w:name="ProductID" w:val="1.471 hectáreas"/>
        </w:smartTagPr>
        <w:r w:rsidRPr="003A4B56">
          <w:rPr>
            <w:rFonts w:cs="Arial"/>
          </w:rPr>
          <w:t>1.471 hectáreas</w:t>
        </w:r>
      </w:smartTag>
      <w:r w:rsidRPr="003A4B56">
        <w:rPr>
          <w:rFonts w:cs="Arial"/>
        </w:rPr>
        <w:t xml:space="preserve"> a </w:t>
      </w:r>
      <w:smartTag w:uri="urn:schemas-microsoft-com:office:smarttags" w:element="metricconverter">
        <w:smartTagPr>
          <w:attr w:name="ProductID" w:val="2.592 hectáreas"/>
        </w:smartTagPr>
        <w:r w:rsidRPr="003A4B56">
          <w:rPr>
            <w:rFonts w:cs="Arial"/>
          </w:rPr>
          <w:t>2.592 hectáreas</w:t>
        </w:r>
      </w:smartTag>
      <w:r w:rsidRPr="003A4B56">
        <w:rPr>
          <w:rFonts w:cs="Arial"/>
        </w:rPr>
        <w:t>. El total de la superficie regional, se distribuye en 87% en la provincia de Cachapoal; 7,6% en Cardenal Caro y el 5,4% restante en Colchagua.</w:t>
      </w:r>
    </w:p>
    <w:p w:rsidR="000A1474" w:rsidRPr="003A4B56" w:rsidRDefault="000A1474" w:rsidP="00B51B51">
      <w:pPr>
        <w:widowControl w:val="0"/>
        <w:tabs>
          <w:tab w:val="left" w:pos="0"/>
          <w:tab w:val="left" w:pos="720"/>
        </w:tabs>
        <w:ind w:firstLine="708"/>
        <w:rPr>
          <w:rFonts w:cs="Arial"/>
        </w:rPr>
      </w:pPr>
    </w:p>
    <w:p w:rsidR="000A1474" w:rsidRPr="003A4B56" w:rsidRDefault="000A1474" w:rsidP="00B51B51">
      <w:pPr>
        <w:widowControl w:val="0"/>
        <w:rPr>
          <w:rFonts w:cs="Arial"/>
          <w:lang w:val="es-CL"/>
        </w:rPr>
      </w:pPr>
      <w:r w:rsidRPr="003A4B56">
        <w:rPr>
          <w:rFonts w:cs="Arial"/>
        </w:rPr>
        <w:t>Cabe señalar que en las nuevas plantaciones se han utilizado fundamentalmente variedades injertadas, por cuanto éstas entran antes en producción y presentan una producción homogénea en el huerto, tanto en rendimiento como en calidad. En la actualidad, en el país, aproximadamente el 65% de los huertos corresponden a cultivares injertados y el 35% restante a nocedales propagados por semilla, los que presentan bajos</w:t>
      </w:r>
      <w:r w:rsidRPr="003A4B56">
        <w:rPr>
          <w:rFonts w:cs="Arial"/>
          <w:lang w:val="es-CL"/>
        </w:rPr>
        <w:t xml:space="preserve"> rendimientos y la nuez no se puede exportar. </w:t>
      </w:r>
    </w:p>
    <w:p w:rsidR="000A1474" w:rsidRPr="003A4B56" w:rsidRDefault="000A1474" w:rsidP="00B51B51">
      <w:pPr>
        <w:widowControl w:val="0"/>
        <w:tabs>
          <w:tab w:val="left" w:pos="0"/>
          <w:tab w:val="left" w:pos="426"/>
          <w:tab w:val="left" w:pos="720"/>
        </w:tabs>
        <w:rPr>
          <w:rFonts w:cs="Arial"/>
          <w:szCs w:val="22"/>
          <w:lang w:val="es-CL"/>
        </w:rPr>
      </w:pPr>
    </w:p>
    <w:p w:rsidR="000A1474" w:rsidRPr="003A4B56" w:rsidRDefault="000A1474" w:rsidP="00B51B51">
      <w:pPr>
        <w:widowControl w:val="0"/>
        <w:tabs>
          <w:tab w:val="left" w:pos="0"/>
          <w:tab w:val="left" w:pos="426"/>
          <w:tab w:val="left" w:pos="720"/>
        </w:tabs>
        <w:rPr>
          <w:rFonts w:cs="Arial"/>
        </w:rPr>
      </w:pPr>
      <w:r w:rsidRPr="003A4B56">
        <w:rPr>
          <w:rFonts w:cs="Arial"/>
        </w:rPr>
        <w:t>El mercado de las nueces de semilla cada día se torna más estrecho, ya que éstas no pueden ser exportadas sin cáscara. Las exportaciones de nueces se realizan del producto con y sin cáscara, este último ha experimentado un sostenido crecimiento en el tiempo y alcanzan mayores precios.</w:t>
      </w:r>
    </w:p>
    <w:p w:rsidR="000A1474" w:rsidRPr="003A4B56" w:rsidRDefault="000A1474" w:rsidP="00B51B51">
      <w:pPr>
        <w:widowControl w:val="0"/>
        <w:tabs>
          <w:tab w:val="left" w:pos="0"/>
          <w:tab w:val="left" w:pos="426"/>
          <w:tab w:val="left" w:pos="720"/>
        </w:tabs>
        <w:ind w:firstLine="708"/>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Al analizar los envíos de nueces al exterior se constata que entre 1990 y 1998 las ventas del producto con cáscara disminuyeron en casi 58%, al pasar de 6.844 toneladas a 2.860 toneladas. No obstante, en el transcurso de 1999 las exportaciones de este producto se recuperaron en 72,5% en relación a las efectuadas en 1998. Posteriormente, los envíos repuntaron y en 2011 totalizaron del orden de 12.833 toneladas, equivalentes a US$56,9 millones FOB. Todas estas fluctuaciones significaron una leve tendencia alcista para el período en análisis,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_Ref336590420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5.47</w:t>
      </w:r>
      <w:r w:rsidRPr="003A4B56">
        <w:rPr>
          <w:rFonts w:cs="Arial"/>
        </w:rPr>
        <w:fldChar w:fldCharType="end"/>
      </w:r>
      <w:r w:rsidRPr="003A4B56">
        <w:rPr>
          <w:rFonts w:cs="Arial"/>
        </w:rPr>
        <w:t xml:space="preserve">. </w:t>
      </w:r>
    </w:p>
    <w:p w:rsidR="00B36772" w:rsidRDefault="00B36772" w:rsidP="00B51B51">
      <w:pPr>
        <w:widowControl w:val="0"/>
        <w:tabs>
          <w:tab w:val="left" w:pos="0"/>
          <w:tab w:val="left" w:pos="426"/>
          <w:tab w:val="left" w:pos="720"/>
        </w:tabs>
        <w:rPr>
          <w:rFonts w:cs="Arial"/>
        </w:rPr>
      </w:pPr>
    </w:p>
    <w:p w:rsidR="00B36772" w:rsidRPr="003A4B56" w:rsidRDefault="00B36772" w:rsidP="00B51B51">
      <w:pPr>
        <w:widowControl w:val="0"/>
        <w:tabs>
          <w:tab w:val="left" w:pos="0"/>
          <w:tab w:val="left" w:pos="426"/>
          <w:tab w:val="left" w:pos="851"/>
          <w:tab w:val="left" w:pos="1418"/>
          <w:tab w:val="left" w:pos="8789"/>
        </w:tabs>
        <w:ind w:right="49"/>
        <w:jc w:val="center"/>
        <w:rPr>
          <w:rFonts w:cs="Arial"/>
          <w:b/>
          <w:bCs/>
          <w:noProof/>
          <w:spacing w:val="-3"/>
        </w:rPr>
      </w:pPr>
      <w:bookmarkStart w:id="341" w:name="_Ref336590420"/>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47</w:t>
      </w:r>
      <w:r w:rsidR="00951FEC">
        <w:rPr>
          <w:b/>
        </w:rPr>
        <w:fldChar w:fldCharType="end"/>
      </w:r>
      <w:bookmarkEnd w:id="341"/>
    </w:p>
    <w:p w:rsidR="00B36772" w:rsidRPr="003A4B56" w:rsidRDefault="00254CE2" w:rsidP="00B51B51">
      <w:pPr>
        <w:widowControl w:val="0"/>
        <w:tabs>
          <w:tab w:val="left" w:pos="0"/>
          <w:tab w:val="left" w:pos="426"/>
          <w:tab w:val="left" w:pos="720"/>
        </w:tabs>
        <w:jc w:val="center"/>
        <w:rPr>
          <w:rFonts w:cs="Arial"/>
          <w:szCs w:val="22"/>
        </w:rPr>
      </w:pPr>
      <w:r>
        <w:rPr>
          <w:noProof/>
          <w:lang w:val="es-CL" w:eastAsia="es-CL"/>
        </w:rPr>
        <w:drawing>
          <wp:inline distT="0" distB="0" distL="0" distR="0">
            <wp:extent cx="4901565" cy="217995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901565" cy="2179955"/>
                    </a:xfrm>
                    <a:prstGeom prst="rect">
                      <a:avLst/>
                    </a:prstGeom>
                    <a:noFill/>
                    <a:ln>
                      <a:noFill/>
                    </a:ln>
                  </pic:spPr>
                </pic:pic>
              </a:graphicData>
            </a:graphic>
          </wp:inline>
        </w:drawing>
      </w:r>
    </w:p>
    <w:p w:rsidR="00B36772" w:rsidRPr="003A4B56" w:rsidRDefault="00B36772"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szCs w:val="22"/>
          <w:lang w:val="es-C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contraposición, desde 1990 en adelante los embarques del fruto sin cáscara aumentaron en más de 17 veces, totalizando en el año 2011 algo más de 8.931 toneladas, equivalentes a US$120 </w:t>
      </w:r>
      <w:r w:rsidR="00B36772">
        <w:rPr>
          <w:rFonts w:cs="Arial"/>
        </w:rPr>
        <w:t>millones FOB (</w:t>
      </w:r>
      <w:r w:rsidR="00B36772" w:rsidRPr="00B36772">
        <w:rPr>
          <w:rFonts w:cs="Arial"/>
        </w:rPr>
        <w:fldChar w:fldCharType="begin"/>
      </w:r>
      <w:r w:rsidR="00B36772" w:rsidRPr="00B36772">
        <w:rPr>
          <w:rFonts w:cs="Arial"/>
        </w:rPr>
        <w:instrText xml:space="preserve"> REF _Ref337197008 \h </w:instrText>
      </w:r>
      <w:r w:rsidR="00B36772" w:rsidRPr="00B36772">
        <w:rPr>
          <w:rFonts w:cs="Arial"/>
        </w:rPr>
      </w:r>
      <w:r w:rsidR="00B36772" w:rsidRPr="00B36772">
        <w:rPr>
          <w:rFonts w:cs="Arial"/>
        </w:rPr>
        <w:instrText xml:space="preserve"> \* MERGEFORMAT </w:instrText>
      </w:r>
      <w:r w:rsidR="00B36772" w:rsidRPr="00B36772">
        <w:rPr>
          <w:rFonts w:cs="Arial"/>
        </w:rPr>
        <w:fldChar w:fldCharType="separate"/>
      </w:r>
      <w:r w:rsidR="00264070" w:rsidRPr="00264070">
        <w:t xml:space="preserve">Figura </w:t>
      </w:r>
      <w:r w:rsidR="00264070" w:rsidRPr="00264070">
        <w:rPr>
          <w:noProof/>
        </w:rPr>
        <w:t>5.48</w:t>
      </w:r>
      <w:r w:rsidR="00B36772" w:rsidRPr="00B36772">
        <w:rPr>
          <w:rFonts w:cs="Arial"/>
        </w:rPr>
        <w:fldChar w:fldCharType="end"/>
      </w:r>
      <w:r w:rsidRPr="003A4B56">
        <w:rPr>
          <w:rFonts w:cs="Arial"/>
        </w:rPr>
        <w:t xml:space="preserve">). </w:t>
      </w:r>
    </w:p>
    <w:p w:rsidR="000A1474" w:rsidRPr="003A4B56" w:rsidRDefault="000A1474" w:rsidP="00B51B51">
      <w:pPr>
        <w:widowControl w:val="0"/>
        <w:tabs>
          <w:tab w:val="left" w:pos="0"/>
          <w:tab w:val="left" w:pos="426"/>
          <w:tab w:val="left" w:pos="720"/>
        </w:tabs>
        <w:rPr>
          <w:rFonts w:cs="Arial"/>
          <w:szCs w:val="22"/>
          <w:lang w:val="es-CL"/>
        </w:rPr>
      </w:pPr>
    </w:p>
    <w:p w:rsidR="000A1474" w:rsidRPr="003A4B56" w:rsidRDefault="000A1474" w:rsidP="00B51B51">
      <w:pPr>
        <w:widowControl w:val="0"/>
        <w:tabs>
          <w:tab w:val="left" w:pos="0"/>
          <w:tab w:val="left" w:pos="426"/>
          <w:tab w:val="left" w:pos="720"/>
        </w:tabs>
        <w:rPr>
          <w:rFonts w:cs="Arial"/>
        </w:rPr>
      </w:pPr>
      <w:r w:rsidRPr="003A4B56">
        <w:rPr>
          <w:rFonts w:cs="Arial"/>
        </w:rPr>
        <w:t>En este contexto, cabe señalar que los valores FOB unitarios son significativamente distintos, por cuanto los de las nueces con cáscara se ubican, en promedio, 66% por debajo de las cotizaciones registradas por el fruto sin cáscara. Este margen revela la conveniencia de comercializar el producto sin cáscara, en el mercado externo, con mayor valor agregado.</w:t>
      </w: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En cuanto a los mercados de destino, en 2011, para el producto sin cáscara, los más importantes fueron Brasil y algunos países europeos como Alemania, Italia, España y Portugal. En años anteriores Argentina era uno de los principales demandantes, pero su participación se ha visto significativamente disminuida debido a los problemas económicos que han afectado a esa nación. </w:t>
      </w:r>
    </w:p>
    <w:p w:rsidR="000A1474" w:rsidRPr="003A4B56" w:rsidRDefault="000A1474" w:rsidP="00B51B51">
      <w:pPr>
        <w:widowControl w:val="0"/>
        <w:tabs>
          <w:tab w:val="left" w:pos="0"/>
          <w:tab w:val="left" w:pos="426"/>
          <w:tab w:val="left" w:pos="720"/>
        </w:tabs>
        <w:rPr>
          <w:rFonts w:cs="Arial"/>
          <w:szCs w:val="22"/>
          <w:lang w:val="es-C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2" w:name="_Ref337197008"/>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48</w:t>
      </w:r>
      <w:r w:rsidR="00951FEC">
        <w:rPr>
          <w:b/>
        </w:rPr>
        <w:fldChar w:fldCharType="end"/>
      </w:r>
      <w:bookmarkEnd w:id="342"/>
    </w:p>
    <w:p w:rsidR="000A1474" w:rsidRPr="003A4B56" w:rsidRDefault="00254CE2" w:rsidP="00B51B51">
      <w:pPr>
        <w:widowControl w:val="0"/>
        <w:tabs>
          <w:tab w:val="left" w:pos="0"/>
          <w:tab w:val="left" w:pos="426"/>
          <w:tab w:val="left" w:pos="720"/>
        </w:tabs>
        <w:jc w:val="center"/>
        <w:rPr>
          <w:rFonts w:cs="Arial"/>
          <w:szCs w:val="22"/>
          <w:lang w:val="es-CL"/>
        </w:rPr>
      </w:pPr>
      <w:r>
        <w:rPr>
          <w:noProof/>
          <w:lang w:val="es-CL" w:eastAsia="es-CL"/>
        </w:rPr>
        <w:drawing>
          <wp:inline distT="0" distB="0" distL="0" distR="0">
            <wp:extent cx="4838065" cy="2041525"/>
            <wp:effectExtent l="0" t="0" r="63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838065" cy="204152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Entretanto, en 2011 el producto con cáscara se dirigió en casi 55% a Turquía, seguido por Emiratos Árabes, Italia, Brasil y España, entre otros. En este ámbito se debe señalar que empresas turcas que importan nuez con cáscara chilena, la procesan a bajos costos y no la rotulan como proveniente de Chile, lo que podría significar una amenaza para el producto sin cáscara nacional. Por lo tanto es necesario certificar el origen de Chile en nueces sin cáscara, para garantizar calidad. </w:t>
      </w:r>
    </w:p>
    <w:p w:rsidR="000A1474" w:rsidRPr="003A4B56" w:rsidRDefault="000A1474" w:rsidP="00B51B51">
      <w:pPr>
        <w:widowControl w:val="0"/>
        <w:tabs>
          <w:tab w:val="left" w:pos="0"/>
          <w:tab w:val="left" w:pos="426"/>
          <w:tab w:val="left" w:pos="720"/>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 firma de los distintos acuerdos comerciales suscritos por Chile ha beneficiado las exportaciones de nueces chilenas, tanto las del producto con cáscara como él sin ella. De tal forma, actualmente los embarques de nueces no pagan arancel de internación en Colombia, Venezuela, Ecuador, Bolivia, Perú, MERCOSUR y Unión Europea. En Estados Unidos las nueces con cáscara no pagan arancel, ya que este producto quedó en lista de desgravación inmediata, y la fruta sin cáscara alcanzó arancel 0 en el año 4, es decir, en 2008.</w:t>
      </w:r>
    </w:p>
    <w:p w:rsidR="000A1474" w:rsidRPr="003A4B56" w:rsidRDefault="000A1474" w:rsidP="00B51B51">
      <w:pPr>
        <w:widowControl w:val="0"/>
        <w:tabs>
          <w:tab w:val="left" w:pos="0"/>
          <w:tab w:val="left" w:pos="426"/>
          <w:tab w:val="left" w:pos="720"/>
        </w:tabs>
        <w:ind w:firstLine="708"/>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En el TLC con China la situación difiere, ya que el producto con cáscara tenía un arancel de 25% y el sin cáscara de 20%, pero ambos tributos se igualarán a cero al año 10 (2014). En Japón, el arancel de 10% imperante, concluirá al sexto año de entrada en vigencia del acuerdo comercial.</w:t>
      </w:r>
    </w:p>
    <w:p w:rsidR="000A1474" w:rsidRPr="003A4B56" w:rsidRDefault="000A1474" w:rsidP="00B51B51">
      <w:pPr>
        <w:widowControl w:val="0"/>
        <w:tabs>
          <w:tab w:val="left" w:pos="0"/>
          <w:tab w:val="left" w:pos="426"/>
          <w:tab w:val="left" w:pos="720"/>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A nivel mundial, cabe destacar que el principal productor y exportador es Estados Unidos, abastece a los países europeos, latinoamericanos y de Oriente, y en los dos primeros nichos coincide con la nuez chilena. No obstante, según la opinión de expertos la calidad del producto nacional sería mejor que la norteamericana, debido a que esta última es sometida a un tratamiento mecánico que afectaría su presentación.</w:t>
      </w:r>
    </w:p>
    <w:p w:rsidR="000A1474" w:rsidRPr="003A4B56" w:rsidRDefault="000A1474" w:rsidP="00B51B51">
      <w:pPr>
        <w:widowControl w:val="0"/>
        <w:tabs>
          <w:tab w:val="left" w:pos="0"/>
          <w:tab w:val="left" w:pos="426"/>
          <w:tab w:val="left" w:pos="720"/>
        </w:tabs>
        <w:rPr>
          <w:rFonts w:cs="Arial"/>
          <w:lang w:val="es-CL"/>
        </w:rPr>
      </w:pPr>
    </w:p>
    <w:p w:rsidR="000A1474" w:rsidRPr="003A4B56" w:rsidRDefault="000A1474" w:rsidP="00B51B51">
      <w:pPr>
        <w:widowControl w:val="0"/>
        <w:tabs>
          <w:tab w:val="left" w:pos="0"/>
          <w:tab w:val="left" w:pos="426"/>
          <w:tab w:val="left" w:pos="720"/>
        </w:tabs>
        <w:rPr>
          <w:rFonts w:cs="Arial"/>
        </w:rPr>
      </w:pPr>
      <w:r w:rsidRPr="003A4B56">
        <w:rPr>
          <w:rFonts w:cs="Arial"/>
        </w:rPr>
        <w:t>En este escenario, surge la necesidad de contar con variedades injertadas que permitan obtener una fruta con los atributos necesarios para optar por los mercados más exigentes.</w:t>
      </w:r>
    </w:p>
    <w:p w:rsidR="000A1474" w:rsidRPr="003A4B56" w:rsidRDefault="000A1474" w:rsidP="00B51B51">
      <w:pPr>
        <w:widowControl w:val="0"/>
        <w:tabs>
          <w:tab w:val="left" w:pos="0"/>
          <w:tab w:val="left" w:pos="426"/>
          <w:tab w:val="left" w:pos="720"/>
        </w:tabs>
        <w:ind w:firstLine="708"/>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En el mercado interno, cabe señalar que los precios a productor, de la fruta con cáscara, varían considerablemente según la variedad. Así, el valor promedio para la fruta del nogal Serr o Chandler se ha ubicado en torno a $2.100 el kilo, en tanto que la proveniente de árboles de semilla oscila en $1.000 el kilo. </w:t>
      </w:r>
    </w:p>
    <w:p w:rsidR="000A1474" w:rsidRPr="003A4B56" w:rsidRDefault="000A1474" w:rsidP="00B51B51">
      <w:pPr>
        <w:widowControl w:val="0"/>
        <w:tabs>
          <w:tab w:val="left" w:pos="0"/>
          <w:tab w:val="left" w:pos="426"/>
          <w:tab w:val="left" w:pos="720"/>
        </w:tabs>
        <w:ind w:firstLine="708"/>
        <w:rPr>
          <w:rFonts w:cs="Arial"/>
          <w:szCs w:val="22"/>
        </w:rPr>
      </w:pPr>
    </w:p>
    <w:p w:rsidR="000A1474" w:rsidRPr="003A4B56" w:rsidRDefault="000A1474" w:rsidP="00B51B51">
      <w:pPr>
        <w:widowControl w:val="0"/>
        <w:tabs>
          <w:tab w:val="left" w:pos="0"/>
          <w:tab w:val="left" w:pos="426"/>
          <w:tab w:val="left" w:pos="720"/>
        </w:tabs>
        <w:rPr>
          <w:rFonts w:cs="Arial"/>
        </w:rPr>
      </w:pPr>
      <w:r w:rsidRPr="003A4B56">
        <w:rPr>
          <w:rFonts w:cs="Arial"/>
        </w:rPr>
        <w:t>Asimismo, existe una diferencia significativa de precios en la comercialización del producto con y sin cáscara. En efecto, como se mencionó el segundo en el exterior alcanza precios sustancialmente mayores, lo que también ocurre en el mercado interno. De hecho, en el ámbito nacional los valores a productor son entre 2 y 2,5 veces más altos que los del producto con cáscara, en tanto que el retorno FOB en las últimas temporadas ha fluctuado en torno a US$13 por kilo, si se le descuenta el costo de sacar la cáscara, selección, embalaje y materiales, el retorno a productor alcanza a US$4,5 por kilo. El rendimiento de pulpa de un nocedal de variedades injertadas es del orden de un 50%.</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este contexto, es preciso señalar que para todo el proceso de partidura, selección y embalaje de las nueces se requiere de mano de obra especializada y de infraestructura que permita un adecuado manejo y conservación del producto, lo que necesariamente deberá asociarse a la capacidad empresarial y disponibilidad de recursos de cada productor.</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Las proyecciones para este rubro son optimistas, por cuanto el consumo de nueces está en vías de expansión a nivel mundial. En efecto, el consumo de nueces está asociado al aumento del consumo de productos sanos, posee componentes antioxidantes, reduce el colesterol y una buena fuente de calcio. Además, China, importante productor y exportador de nueces a nivel mundial, ha disminuido sus exportaciones, ya que su demanda interna está en aumento.</w:t>
      </w:r>
    </w:p>
    <w:p w:rsidR="000A1474" w:rsidRPr="003A4B56" w:rsidRDefault="000A1474" w:rsidP="00B51B51">
      <w:pPr>
        <w:widowControl w:val="0"/>
        <w:tabs>
          <w:tab w:val="left" w:pos="1418"/>
        </w:tabs>
        <w:rPr>
          <w:rFonts w:cs="Arial"/>
        </w:rPr>
      </w:pPr>
    </w:p>
    <w:p w:rsidR="000A1474" w:rsidRPr="003A4B56" w:rsidRDefault="00F36FC3" w:rsidP="00B51B51">
      <w:pPr>
        <w:widowControl w:val="0"/>
      </w:pPr>
      <w:r w:rsidRPr="003A4B56">
        <w:t>-</w:t>
      </w:r>
      <w:r w:rsidRPr="003A4B56">
        <w:tab/>
      </w:r>
      <w:r w:rsidR="000A1474" w:rsidRPr="003A4B56">
        <w:t>Olivo</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Según ODEPA, entre 1990 y 1997, la superficie de olivos a nivel nacional experimentó un crecimiento de un significativo 48%, evolución que sería atribuible al aumento del consumo de aceite de oliva en el país; posteriormente el área continuó expandiéndose. Así, de acuerdo a los antecedentes de INE en 2007 las plantaciones sumaban </w:t>
      </w:r>
      <w:smartTag w:uri="urn:schemas-microsoft-com:office:smarttags" w:element="metricconverter">
        <w:smartTagPr>
          <w:attr w:name="ProductID" w:val="16.519,6 hectáreas"/>
        </w:smartTagPr>
        <w:r w:rsidRPr="003A4B56">
          <w:rPr>
            <w:rFonts w:cs="Arial"/>
          </w:rPr>
          <w:t>16.519,6 hectáreas</w:t>
        </w:r>
      </w:smartTag>
      <w:r w:rsidRPr="003A4B56">
        <w:rPr>
          <w:rFonts w:cs="Arial"/>
        </w:rPr>
        <w:t xml:space="preserve">; de las cuales el 51% se encontraban en etapa de formación y el 49% restante en producción. Cabe señalar que según antecedentes proporcionados por INE en 2007 de las </w:t>
      </w:r>
      <w:smartTag w:uri="urn:schemas-microsoft-com:office:smarttags" w:element="metricconverter">
        <w:smartTagPr>
          <w:attr w:name="ProductID" w:val="6.857,6 hectáreas"/>
        </w:smartTagPr>
        <w:r w:rsidRPr="003A4B56">
          <w:rPr>
            <w:rFonts w:cs="Arial"/>
          </w:rPr>
          <w:t>6.857,6 hectáreas</w:t>
        </w:r>
      </w:smartTag>
      <w:r w:rsidRPr="003A4B56">
        <w:rPr>
          <w:rFonts w:cs="Arial"/>
        </w:rPr>
        <w:t xml:space="preserve"> en formación, el 60,6% se habían plantado en ese año.</w:t>
      </w:r>
    </w:p>
    <w:p w:rsidR="000A1474" w:rsidRPr="003A4B56" w:rsidRDefault="000A1474" w:rsidP="00B51B51">
      <w:pPr>
        <w:widowControl w:val="0"/>
        <w:tabs>
          <w:tab w:val="left" w:pos="1418"/>
        </w:tabs>
        <w:rPr>
          <w:rFonts w:cs="Arial"/>
        </w:rPr>
      </w:pPr>
    </w:p>
    <w:p w:rsidR="000A1474" w:rsidRPr="003A4B56" w:rsidRDefault="000A1474" w:rsidP="00B51B51">
      <w:pPr>
        <w:widowControl w:val="0"/>
        <w:rPr>
          <w:rFonts w:cs="Arial"/>
        </w:rPr>
      </w:pPr>
      <w:r w:rsidRPr="003A4B56">
        <w:rPr>
          <w:rFonts w:cs="Arial"/>
        </w:rPr>
        <w:t xml:space="preserve">El olivo se cultiva en Chile desde </w:t>
      </w:r>
      <w:smartTag w:uri="urn:schemas-microsoft-com:office:smarttags" w:element="PersonName">
        <w:smartTagPr>
          <w:attr w:name="ProductID" w:val="la I"/>
        </w:smartTagPr>
        <w:r w:rsidRPr="003A4B56">
          <w:rPr>
            <w:rFonts w:cs="Arial"/>
          </w:rPr>
          <w:t>la I</w:t>
        </w:r>
      </w:smartTag>
      <w:r w:rsidRPr="003A4B56">
        <w:rPr>
          <w:rFonts w:cs="Arial"/>
        </w:rPr>
        <w:t xml:space="preserve"> a </w:t>
      </w:r>
      <w:smartTag w:uri="urn:schemas-microsoft-com:office:smarttags" w:element="PersonName">
        <w:smartTagPr>
          <w:attr w:name="ProductID" w:val="la IX Región"/>
        </w:smartTagPr>
        <w:r w:rsidRPr="003A4B56">
          <w:rPr>
            <w:rFonts w:cs="Arial"/>
          </w:rPr>
          <w:t>la IX Región</w:t>
        </w:r>
      </w:smartTag>
      <w:r w:rsidRPr="003A4B56">
        <w:rPr>
          <w:rFonts w:cs="Arial"/>
        </w:rPr>
        <w:t xml:space="preserve">,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se concentra el 14,3% de la superficie total, equivalente a </w:t>
      </w:r>
      <w:smartTag w:uri="urn:schemas-microsoft-com:office:smarttags" w:element="metricconverter">
        <w:smartTagPr>
          <w:attr w:name="ProductID" w:val="2.362,4 ha"/>
        </w:smartTagPr>
        <w:r w:rsidRPr="003A4B56">
          <w:rPr>
            <w:rFonts w:cs="Arial"/>
          </w:rPr>
          <w:t>2.362,4 ha</w:t>
        </w:r>
      </w:smartTag>
      <w:r w:rsidRPr="003A4B56">
        <w:rPr>
          <w:rFonts w:cs="Arial"/>
        </w:rPr>
        <w:t xml:space="preserve">, de éstas el 21% se ubica en la provincia de Cachapoal, el 36,5% en Cardenal Caro, y el 42,5% restante en Colchagua.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Cabe señalar que hacia fines de la década de 1990, casi el 60% de la superficie plantada en Chile con olivos, correspondía a cultivares de mesa y el resto a productores de aceite, proporción que se ha modificado en los últimos años, como consecuencia de los cambios de hábito en los consumidores.</w:t>
      </w:r>
    </w:p>
    <w:p w:rsidR="000A1474" w:rsidRPr="003A4B56" w:rsidRDefault="000A1474" w:rsidP="00B51B51">
      <w:pPr>
        <w:widowControl w:val="0"/>
        <w:tabs>
          <w:tab w:val="left" w:pos="1418"/>
        </w:tabs>
        <w:rPr>
          <w:rFonts w:cs="Arial"/>
        </w:rPr>
      </w:pPr>
    </w:p>
    <w:p w:rsidR="000A1474" w:rsidRDefault="000A1474" w:rsidP="00B51B51">
      <w:pPr>
        <w:widowControl w:val="0"/>
        <w:tabs>
          <w:tab w:val="left" w:pos="1418"/>
        </w:tabs>
        <w:rPr>
          <w:rFonts w:cs="Arial"/>
        </w:rPr>
      </w:pPr>
      <w:r w:rsidRPr="003A4B56">
        <w:rPr>
          <w:rFonts w:cs="Arial"/>
        </w:rPr>
        <w:t xml:space="preserve">Los envíos al exterior del producto en salmuera han exhibido fuertes variaciones durante el período de análisis, pero que en promedio han significado una ligera tendencia a la baja,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_Ref336590503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5.49</w:t>
      </w:r>
      <w:r w:rsidRPr="003A4B56">
        <w:rPr>
          <w:rFonts w:cs="Arial"/>
        </w:rPr>
        <w:fldChar w:fldCharType="end"/>
      </w:r>
      <w:r w:rsidRPr="003A4B56">
        <w:rPr>
          <w:rFonts w:cs="Arial"/>
        </w:rPr>
        <w:t xml:space="preserve">. </w:t>
      </w:r>
    </w:p>
    <w:p w:rsidR="00100BAE" w:rsidRDefault="00100BAE" w:rsidP="00B51B51">
      <w:pPr>
        <w:widowControl w:val="0"/>
        <w:tabs>
          <w:tab w:val="left" w:pos="1418"/>
        </w:tabs>
        <w:rPr>
          <w:rFonts w:cs="Arial"/>
        </w:rPr>
      </w:pPr>
    </w:p>
    <w:p w:rsidR="00100BAE" w:rsidRPr="003A4B56" w:rsidRDefault="00100BAE" w:rsidP="00B51B51">
      <w:pPr>
        <w:widowControl w:val="0"/>
        <w:tabs>
          <w:tab w:val="left" w:pos="1418"/>
        </w:tabs>
        <w:rPr>
          <w:rFonts w:cs="Arial"/>
        </w:rPr>
      </w:pP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3" w:name="_Ref336590503"/>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49</w:t>
      </w:r>
      <w:r w:rsidR="00951FEC">
        <w:rPr>
          <w:b/>
        </w:rPr>
        <w:fldChar w:fldCharType="end"/>
      </w:r>
      <w:bookmarkEnd w:id="343"/>
    </w:p>
    <w:p w:rsidR="000A1474" w:rsidRPr="003A4B56" w:rsidRDefault="00254CE2" w:rsidP="00B51B51">
      <w:pPr>
        <w:widowControl w:val="0"/>
        <w:tabs>
          <w:tab w:val="left" w:pos="0"/>
          <w:tab w:val="left" w:pos="1418"/>
        </w:tabs>
        <w:jc w:val="center"/>
        <w:rPr>
          <w:rFonts w:cs="Arial"/>
          <w:noProof/>
        </w:rPr>
      </w:pPr>
      <w:r>
        <w:rPr>
          <w:noProof/>
          <w:lang w:val="es-CL" w:eastAsia="es-CL"/>
        </w:rPr>
        <w:drawing>
          <wp:inline distT="0" distB="0" distL="0" distR="0">
            <wp:extent cx="4657090" cy="2232660"/>
            <wp:effectExtent l="0" t="0" r="0" b="0"/>
            <wp:docPr id="15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657090" cy="2232660"/>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noProof/>
          <w:sz w:val="20"/>
          <w:szCs w:val="20"/>
        </w:rPr>
      </w:pPr>
      <w:r w:rsidRPr="003A4B56">
        <w:rPr>
          <w:rFonts w:cs="Arial"/>
          <w:noProof/>
          <w:sz w:val="20"/>
          <w:szCs w:val="20"/>
        </w:rPr>
        <w:t>Fuente: elaboración propia, en base a antecedentes de ODEPA.</w:t>
      </w:r>
    </w:p>
    <w:p w:rsidR="000A1474" w:rsidRPr="0006493D" w:rsidRDefault="000A1474" w:rsidP="00B51B51">
      <w:pPr>
        <w:widowControl w:val="0"/>
        <w:tabs>
          <w:tab w:val="left" w:pos="0"/>
          <w:tab w:val="left" w:pos="1418"/>
        </w:tabs>
        <w:rPr>
          <w:rFonts w:cs="Arial"/>
          <w:noProof/>
          <w:highlight w:val="yellow"/>
        </w:rPr>
      </w:pPr>
    </w:p>
    <w:p w:rsidR="000A1474" w:rsidRPr="003A4B56" w:rsidRDefault="000A1474" w:rsidP="00B51B51">
      <w:pPr>
        <w:widowControl w:val="0"/>
        <w:tabs>
          <w:tab w:val="left" w:pos="1418"/>
        </w:tabs>
        <w:rPr>
          <w:rFonts w:cs="Arial"/>
        </w:rPr>
      </w:pPr>
      <w:r w:rsidRPr="003A4B56">
        <w:rPr>
          <w:rFonts w:cs="Arial"/>
        </w:rPr>
        <w:t>En el año 2011 el principal destino de los embarques estuvo constituido por Estados Unidos, país que absorbió más del 55% de los envíos. Le siguen a distancia, en orden de importancia, Venezuela, Kuwait, Perú, Canadá y México, entre otros.</w:t>
      </w:r>
    </w:p>
    <w:p w:rsidR="000A1474" w:rsidRPr="00100BAE" w:rsidRDefault="000A1474" w:rsidP="00B51B51">
      <w:pPr>
        <w:widowControl w:val="0"/>
        <w:tabs>
          <w:tab w:val="left" w:pos="0"/>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Tradicionalmente Brasil había sido un destino relevante para el producto chileno, pero el descenso exhibido en 1997 significó la apertura de nuevos mercados ampliándose los embarques hacia Australia, Estados Unidos y Venezuela, entre otros. </w:t>
      </w:r>
    </w:p>
    <w:p w:rsidR="000A1474" w:rsidRPr="00100BAE" w:rsidRDefault="000A1474" w:rsidP="00B51B51">
      <w:pPr>
        <w:widowControl w:val="0"/>
        <w:tabs>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En este contexto, cabe señalar que este producto en el marco del Acuerdo con MERCOSUR, quedó en la lista de productos sensibles, aunque su desgravación arancelaria culminó en 2006. En el Acuerdo suscrito con Perú, el arancel de internación se igualó a cero el año 2003; en el caso de Bolivia, este producto tiene una preferencia de un 12%, por lo que paga un arancel de un 8,8%. En Venezuela, la desgravación arancelaria concluyó el año 1997. </w:t>
      </w:r>
    </w:p>
    <w:p w:rsidR="000A1474" w:rsidRPr="00100BAE" w:rsidRDefault="000A1474" w:rsidP="00B51B51">
      <w:pPr>
        <w:widowControl w:val="0"/>
        <w:tabs>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En relación a los acuerdos más recientes, se debe tener presente que la situación es muy favorable, ya que los envíos de aceitunas en salmuera dejaron de pagar arancel de internación a la entrada en vigencia de los tratados de libre comercio de Estados Unidos y Corea, en tanto que a los países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lo hizo en el año 2007, es decir, al cuarto año de entrada en vigencia del acuerdo.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Por el contrario, en el caso de las olivas en conserva, las transacciones al exterior repuntaron desde el año 2002, totalizando en 2009 algo más de 2.928 toneladas,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_Ref336590526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5.50</w:t>
      </w:r>
      <w:r w:rsidRPr="003A4B56">
        <w:rPr>
          <w:rFonts w:cs="Arial"/>
        </w:rPr>
        <w:fldChar w:fldCharType="end"/>
      </w:r>
      <w:r w:rsidRPr="003A4B56">
        <w:rPr>
          <w:rFonts w:cs="Arial"/>
        </w:rPr>
        <w:t xml:space="preserve">.  Posteriormente, los envíos descendieron levemente y en 2011 éstos sumaron casi 1.990 toneladas, equivalentes a US$4,8 millones FOB. </w:t>
      </w:r>
    </w:p>
    <w:p w:rsidR="000A1474" w:rsidRPr="00100BAE" w:rsidRDefault="000A1474" w:rsidP="00B51B51">
      <w:pPr>
        <w:widowControl w:val="0"/>
        <w:tabs>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En 2011 los embarques tuvieron como destino a Australia, Italia, Brasil, Arabia Saudita, México y Canadá, entre otros. </w:t>
      </w:r>
    </w:p>
    <w:p w:rsidR="000A1474" w:rsidRPr="003A4B56" w:rsidRDefault="000A1474" w:rsidP="00B51B51">
      <w:pPr>
        <w:widowControl w:val="0"/>
        <w:tabs>
          <w:tab w:val="left" w:pos="0"/>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MERCOSUR los envíos chilenos de aceitunas en conserva entran sin pagar arancel a partir del año 2004; en Bolivia, entretanto este producto goza de una preferencia de 12%, por lo que el arancel de ingreso alcanza a 8,8%, en tanto que a Venezuela entra sin pagar impuesto desde </w:t>
      </w:r>
      <w:smartTag w:uri="urn:schemas-microsoft-com:office:smarttags" w:element="metricconverter">
        <w:smartTagPr>
          <w:attr w:name="ProductID" w:val="1997. A"/>
        </w:smartTagPr>
        <w:r w:rsidRPr="003A4B56">
          <w:rPr>
            <w:rFonts w:cs="Arial"/>
          </w:rPr>
          <w:t>1997. A</w:t>
        </w:r>
      </w:smartTag>
      <w:r w:rsidRPr="003A4B56">
        <w:rPr>
          <w:rFonts w:cs="Arial"/>
        </w:rPr>
        <w:t xml:space="preserve"> </w:t>
      </w:r>
      <w:smartTag w:uri="urn:schemas-microsoft-com:office:smarttags" w:element="PersonName">
        <w:smartTagPr>
          <w:attr w:name="ProductID" w:val="la Unión Europea"/>
        </w:smartTagPr>
        <w:r w:rsidRPr="003A4B56">
          <w:rPr>
            <w:rFonts w:cs="Arial"/>
          </w:rPr>
          <w:t>la Unión Europea</w:t>
        </w:r>
      </w:smartTag>
      <w:r w:rsidRPr="003A4B56">
        <w:rPr>
          <w:rFonts w:cs="Arial"/>
        </w:rPr>
        <w:t>, si bien ya comenzó la desgravación arancelaria, ésta concluyó el año 7 (2010), mientras que en Corea y Estados Unidos el arancel de internación se igualó a cero al momento de la firma de los acuerdos.</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4" w:name="_Ref336590526"/>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50</w:t>
      </w:r>
      <w:r w:rsidR="00951FEC">
        <w:rPr>
          <w:b/>
        </w:rPr>
        <w:fldChar w:fldCharType="end"/>
      </w:r>
      <w:bookmarkEnd w:id="344"/>
    </w:p>
    <w:p w:rsidR="000A1474" w:rsidRPr="003A4B56" w:rsidRDefault="00254CE2" w:rsidP="00B51B51">
      <w:pPr>
        <w:widowControl w:val="0"/>
        <w:tabs>
          <w:tab w:val="left" w:pos="0"/>
          <w:tab w:val="left" w:pos="1418"/>
        </w:tabs>
        <w:jc w:val="center"/>
        <w:rPr>
          <w:rFonts w:cs="Arial"/>
          <w:noProof/>
        </w:rPr>
      </w:pPr>
      <w:r>
        <w:rPr>
          <w:noProof/>
          <w:lang w:val="es-CL" w:eastAsia="es-CL"/>
        </w:rPr>
        <w:drawing>
          <wp:inline distT="0" distB="0" distL="0" distR="0">
            <wp:extent cx="4848225" cy="2105025"/>
            <wp:effectExtent l="0" t="0" r="9525" b="9525"/>
            <wp:docPr id="15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848225" cy="2105025"/>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noProof/>
          <w:sz w:val="20"/>
          <w:szCs w:val="20"/>
        </w:rPr>
      </w:pPr>
      <w:r w:rsidRPr="003A4B56">
        <w:rPr>
          <w:rFonts w:cs="Arial"/>
          <w:noProof/>
          <w:sz w:val="20"/>
          <w:szCs w:val="20"/>
        </w:rPr>
        <w:t>Fuente: elaboración propia, en base a antecedentes de ODEPA</w:t>
      </w:r>
    </w:p>
    <w:p w:rsidR="000A1474" w:rsidRPr="003A4B56" w:rsidRDefault="000A1474" w:rsidP="00B51B51">
      <w:pPr>
        <w:widowControl w:val="0"/>
        <w:tabs>
          <w:tab w:val="left" w:pos="0"/>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 Chile, la producción de aceite de oliva había oscilado entre 150 y 200 toneladas anuales, actualmente la elaboración de este producto se estima por sobre las 8 mil toneladas y lo más probable es que en  los próximos años se incremente significativamente. Asimismo, el consumo, ha mostrado un sostenido crecimiento y había sido abastecido fundamentalmente a través de importaciones.</w:t>
      </w:r>
    </w:p>
    <w:p w:rsidR="000A1474" w:rsidRPr="003A4B56" w:rsidRDefault="000A1474" w:rsidP="00B51B51">
      <w:pPr>
        <w:widowControl w:val="0"/>
        <w:tabs>
          <w:tab w:val="left" w:pos="1418"/>
        </w:tabs>
        <w:rPr>
          <w:rFonts w:cs="Arial"/>
        </w:rPr>
      </w:pPr>
    </w:p>
    <w:p w:rsidR="000A1474" w:rsidRDefault="000A1474" w:rsidP="00B51B51">
      <w:pPr>
        <w:widowControl w:val="0"/>
        <w:tabs>
          <w:tab w:val="left" w:pos="1418"/>
        </w:tabs>
        <w:rPr>
          <w:rFonts w:cs="Arial"/>
        </w:rPr>
      </w:pPr>
      <w:r w:rsidRPr="003A4B56">
        <w:rPr>
          <w:rFonts w:cs="Arial"/>
        </w:rPr>
        <w:t>Es así como las internaciones de aceite de oliva virgen entre 1990 y 2011, se incrementaron en casi 18 veces, al pasar de 40 toneladas a 695 toneladas, lo que ha significado una marcada tendencia alcista (</w:t>
      </w:r>
      <w:r w:rsidRPr="003A4B56">
        <w:rPr>
          <w:rFonts w:cs="Arial"/>
        </w:rPr>
        <w:fldChar w:fldCharType="begin"/>
      </w:r>
      <w:r w:rsidRPr="003A4B56">
        <w:rPr>
          <w:rFonts w:cs="Arial"/>
        </w:rPr>
        <w:instrText xml:space="preserve"> REF _Ref336590588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5.51</w:t>
      </w:r>
      <w:r w:rsidRPr="003A4B56">
        <w:rPr>
          <w:rFonts w:cs="Arial"/>
        </w:rPr>
        <w:fldChar w:fldCharType="end"/>
      </w:r>
      <w:r w:rsidRPr="003A4B56">
        <w:rPr>
          <w:rFonts w:cs="Arial"/>
        </w:rPr>
        <w:t xml:space="preserve">). Durante el año 2011 los oferentes de mayor relevancia fueron Argentina, Italia, España y Turquía, entre otros. </w:t>
      </w:r>
    </w:p>
    <w:p w:rsidR="00B36772" w:rsidRDefault="00B36772" w:rsidP="00B51B51">
      <w:pPr>
        <w:widowControl w:val="0"/>
        <w:tabs>
          <w:tab w:val="left" w:pos="1418"/>
        </w:tabs>
        <w:rPr>
          <w:rFonts w:cs="Arial"/>
        </w:rPr>
      </w:pPr>
    </w:p>
    <w:p w:rsidR="00B36772" w:rsidRPr="003A4B56" w:rsidRDefault="00B36772" w:rsidP="00B51B51">
      <w:pPr>
        <w:widowControl w:val="0"/>
        <w:tabs>
          <w:tab w:val="left" w:pos="0"/>
          <w:tab w:val="left" w:pos="426"/>
          <w:tab w:val="left" w:pos="851"/>
          <w:tab w:val="left" w:pos="1418"/>
          <w:tab w:val="left" w:pos="8789"/>
        </w:tabs>
        <w:ind w:right="49"/>
        <w:jc w:val="center"/>
        <w:rPr>
          <w:rFonts w:cs="Arial"/>
          <w:b/>
          <w:bCs/>
          <w:noProof/>
          <w:spacing w:val="-3"/>
        </w:rPr>
      </w:pPr>
      <w:bookmarkStart w:id="345" w:name="_Ref336590588"/>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51</w:t>
      </w:r>
      <w:r w:rsidR="00951FEC">
        <w:rPr>
          <w:b/>
        </w:rPr>
        <w:fldChar w:fldCharType="end"/>
      </w:r>
      <w:bookmarkEnd w:id="345"/>
    </w:p>
    <w:p w:rsidR="00B36772" w:rsidRPr="003A4B56" w:rsidRDefault="00254CE2" w:rsidP="00B51B51">
      <w:pPr>
        <w:widowControl w:val="0"/>
        <w:tabs>
          <w:tab w:val="left" w:pos="0"/>
          <w:tab w:val="left" w:pos="1418"/>
        </w:tabs>
        <w:jc w:val="center"/>
        <w:rPr>
          <w:rFonts w:cs="Arial"/>
          <w:noProof/>
        </w:rPr>
      </w:pPr>
      <w:r>
        <w:rPr>
          <w:noProof/>
          <w:lang w:val="es-CL" w:eastAsia="es-CL"/>
        </w:rPr>
        <w:drawing>
          <wp:inline distT="0" distB="0" distL="0" distR="0">
            <wp:extent cx="4561205" cy="221170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561205" cy="2211705"/>
                    </a:xfrm>
                    <a:prstGeom prst="rect">
                      <a:avLst/>
                    </a:prstGeom>
                    <a:noFill/>
                    <a:ln>
                      <a:noFill/>
                    </a:ln>
                  </pic:spPr>
                </pic:pic>
              </a:graphicData>
            </a:graphic>
          </wp:inline>
        </w:drawing>
      </w:r>
    </w:p>
    <w:p w:rsidR="00B36772" w:rsidRPr="00B36772" w:rsidRDefault="00B36772" w:rsidP="00B51B51">
      <w:pPr>
        <w:widowControl w:val="0"/>
        <w:tabs>
          <w:tab w:val="left" w:pos="0"/>
          <w:tab w:val="left" w:pos="1418"/>
        </w:tabs>
        <w:jc w:val="center"/>
        <w:rPr>
          <w:rFonts w:cs="Arial"/>
          <w:sz w:val="20"/>
          <w:szCs w:val="20"/>
        </w:rPr>
      </w:pPr>
      <w:r w:rsidRPr="003A4B56">
        <w:rPr>
          <w:rFonts w:cs="Arial"/>
          <w:sz w:val="20"/>
          <w:szCs w:val="20"/>
        </w:rPr>
        <w:t>Fuente: Elaboración propia, en base a antecedentes de ODEPA.</w:t>
      </w:r>
    </w:p>
    <w:p w:rsidR="00100BAE" w:rsidRDefault="00100BAE"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Cabe destacar que desde el año 2005 se ha evidenciado una caída en las importaciones de aceite de oliva virgen lo que se atribuye directamente al aumento de la producción interna de aceite de esa calidad.</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Si bien las internaciones de aceite de oliva refinado han presentado mayores fluctuaciones que las del producto virgen, entre 1990 y 2011 anotaron una tendencia casi estable, debido al </w:t>
      </w:r>
      <w:r w:rsidRPr="003A4B56">
        <w:rPr>
          <w:rFonts w:cs="Arial"/>
        </w:rPr>
        <w:lastRenderedPageBreak/>
        <w:t>descenso de las internaciones de este producto manifestada partir del año 2002, evolución que contrarrestó el sostenido aumento entre los años 1990 y 1995 (</w:t>
      </w:r>
      <w:r w:rsidRPr="003A4B56">
        <w:rPr>
          <w:rFonts w:cs="Arial"/>
        </w:rPr>
        <w:fldChar w:fldCharType="begin"/>
      </w:r>
      <w:r w:rsidRPr="003A4B56">
        <w:rPr>
          <w:rFonts w:cs="Arial"/>
        </w:rPr>
        <w:instrText xml:space="preserve"> REF _Ref336590620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5.52</w:t>
      </w:r>
      <w:r w:rsidRPr="003A4B56">
        <w:rPr>
          <w:rFonts w:cs="Arial"/>
        </w:rPr>
        <w:fldChar w:fldCharType="end"/>
      </w:r>
      <w:r w:rsidRPr="003A4B56">
        <w:rPr>
          <w:rFonts w:cs="Arial"/>
        </w:rPr>
        <w:t xml:space="preserve">). Asimismo, el origen de este producto estuvo constituido fundamentalmente por Argentina y España. </w:t>
      </w:r>
    </w:p>
    <w:p w:rsidR="000A1474" w:rsidRPr="003A4B56" w:rsidRDefault="000A1474" w:rsidP="00B51B51">
      <w:pPr>
        <w:widowControl w:val="0"/>
        <w:tabs>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En el Acuerdo de MERCOSUR, la desgravación arancelaria de las importaciones de aceite de oliva virgen y refinado concluyó en el año 2011, pero Chile otorgó preferencias arancelarias regionales, las que alcanzan a un 12% para Argentina y Brasil, a un 20% para Uruguay y a un 34% para el producto procedente desde Paraguay. En el caso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la desgravación arancelaria concluirá el año 10, es decir, en 2013; pero Chile concedió la entrada libre de arancel a una cuota de 3 mil toneladas, con un incremento anual de 5%.</w:t>
      </w:r>
    </w:p>
    <w:p w:rsidR="000A1474" w:rsidRPr="003A4B56" w:rsidRDefault="000A1474" w:rsidP="00B51B51">
      <w:pPr>
        <w:widowControl w:val="0"/>
        <w:tabs>
          <w:tab w:val="left" w:pos="1418"/>
        </w:tabs>
        <w:rPr>
          <w:rFonts w:cs="Arial"/>
          <w:sz w:val="18"/>
        </w:rPr>
      </w:pPr>
    </w:p>
    <w:p w:rsidR="000A1474" w:rsidRPr="003A4B56" w:rsidRDefault="000A1474" w:rsidP="00B51B51">
      <w:pPr>
        <w:widowControl w:val="0"/>
        <w:tabs>
          <w:tab w:val="left" w:pos="1418"/>
        </w:tabs>
        <w:rPr>
          <w:rFonts w:cs="Arial"/>
        </w:rPr>
      </w:pPr>
      <w:r w:rsidRPr="003A4B56">
        <w:rPr>
          <w:rFonts w:cs="Arial"/>
        </w:rPr>
        <w:t xml:space="preserve">Como consecuencia del crecimiento de la producción doméstica de aceite de oliva, Chile está exportando este producto, actividad que si bien comenzó en forma marginal respecto de las importaciones, con el tiempo se ha transformado en una alternativa real.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6" w:name="_Ref336590620"/>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52</w:t>
      </w:r>
      <w:r w:rsidR="00951FEC">
        <w:rPr>
          <w:b/>
        </w:rPr>
        <w:fldChar w:fldCharType="end"/>
      </w:r>
      <w:bookmarkEnd w:id="346"/>
    </w:p>
    <w:p w:rsidR="000A1474" w:rsidRPr="003A4B56" w:rsidRDefault="00254CE2" w:rsidP="00B51B51">
      <w:pPr>
        <w:widowControl w:val="0"/>
        <w:tabs>
          <w:tab w:val="left" w:pos="0"/>
          <w:tab w:val="left" w:pos="1418"/>
        </w:tabs>
        <w:jc w:val="center"/>
        <w:rPr>
          <w:rFonts w:cs="Arial"/>
          <w:noProof/>
        </w:rPr>
      </w:pPr>
      <w:r>
        <w:rPr>
          <w:noProof/>
          <w:lang w:val="es-CL" w:eastAsia="es-CL"/>
        </w:rPr>
        <w:drawing>
          <wp:inline distT="0" distB="0" distL="0" distR="0">
            <wp:extent cx="4561205" cy="2265045"/>
            <wp:effectExtent l="0" t="0" r="0" b="1905"/>
            <wp:docPr id="15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561205" cy="2265045"/>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sz w:val="20"/>
          <w:szCs w:val="20"/>
        </w:rPr>
      </w:pPr>
      <w:r w:rsidRPr="003A4B56">
        <w:rPr>
          <w:rFonts w:cs="Arial"/>
          <w:sz w:val="20"/>
          <w:szCs w:val="20"/>
        </w:rPr>
        <w:t>Fuente: Elaboración propia, en base a antecedentes de ODEPA.</w:t>
      </w:r>
    </w:p>
    <w:p w:rsidR="00B36772" w:rsidRDefault="00B36772"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De hecho, los envíos de aceite de oliva virgen el año 2002 totalizaron del orden de 9 toneladas y en 2011 sumaron 6.650 toneladas, equivalentes a US$24,1 millones FOB</w:t>
      </w:r>
      <w:r w:rsidR="00E776FD">
        <w:rPr>
          <w:rFonts w:cs="Arial"/>
        </w:rPr>
        <w:t>.</w:t>
      </w:r>
      <w:r w:rsidRPr="003A4B56">
        <w:rPr>
          <w:rFonts w:cs="Arial"/>
        </w:rPr>
        <w:t xml:space="preserve"> El destino principal de los embarques fue Estados Unidos, Italia, España, Brasil, Canadá y Venezuela, entre otros.</w:t>
      </w:r>
    </w:p>
    <w:p w:rsidR="000A1474" w:rsidRDefault="000A1474" w:rsidP="00B51B51">
      <w:pPr>
        <w:widowControl w:val="0"/>
        <w:tabs>
          <w:tab w:val="left" w:pos="1418"/>
        </w:tabs>
        <w:rPr>
          <w:rFonts w:cs="Arial"/>
        </w:rPr>
      </w:pPr>
    </w:p>
    <w:p w:rsidR="00B36772" w:rsidRDefault="00B36772"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1418"/>
        </w:tabs>
        <w:rPr>
          <w:rFonts w:cs="Arial"/>
        </w:rPr>
      </w:pPr>
    </w:p>
    <w:p w:rsidR="00100BAE" w:rsidRDefault="00100BAE" w:rsidP="00B51B51">
      <w:pPr>
        <w:widowControl w:val="0"/>
        <w:tabs>
          <w:tab w:val="left" w:pos="0"/>
          <w:tab w:val="left" w:pos="426"/>
          <w:tab w:val="left" w:pos="851"/>
          <w:tab w:val="left" w:pos="1418"/>
          <w:tab w:val="left" w:pos="8789"/>
        </w:tabs>
        <w:ind w:right="49"/>
        <w:jc w:val="center"/>
        <w:rPr>
          <w:rFonts w:cs="Arial"/>
        </w:rPr>
      </w:pPr>
      <w:bookmarkStart w:id="347" w:name="_Ref336590678"/>
    </w:p>
    <w:p w:rsidR="00E776FD" w:rsidRDefault="00E776FD" w:rsidP="00B51B51">
      <w:pPr>
        <w:widowControl w:val="0"/>
        <w:tabs>
          <w:tab w:val="left" w:pos="0"/>
          <w:tab w:val="left" w:pos="426"/>
          <w:tab w:val="left" w:pos="851"/>
          <w:tab w:val="left" w:pos="1418"/>
          <w:tab w:val="left" w:pos="8789"/>
        </w:tabs>
        <w:ind w:right="49"/>
        <w:jc w:val="center"/>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53</w:t>
      </w:r>
      <w:r w:rsidR="00951FEC">
        <w:rPr>
          <w:b/>
        </w:rPr>
        <w:fldChar w:fldCharType="end"/>
      </w:r>
      <w:bookmarkEnd w:id="347"/>
    </w:p>
    <w:p w:rsidR="000A1474" w:rsidRPr="003A4B56" w:rsidRDefault="00254CE2" w:rsidP="00B51B51">
      <w:pPr>
        <w:widowControl w:val="0"/>
        <w:tabs>
          <w:tab w:val="left" w:pos="0"/>
          <w:tab w:val="left" w:pos="1418"/>
        </w:tabs>
        <w:jc w:val="center"/>
        <w:rPr>
          <w:rFonts w:cs="Arial"/>
        </w:rPr>
      </w:pPr>
      <w:r>
        <w:rPr>
          <w:noProof/>
          <w:lang w:val="es-CL" w:eastAsia="es-CL"/>
        </w:rPr>
        <w:drawing>
          <wp:inline distT="0" distB="0" distL="0" distR="0">
            <wp:extent cx="3636645" cy="2200910"/>
            <wp:effectExtent l="0" t="0" r="1905" b="8890"/>
            <wp:docPr id="15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636645" cy="2200910"/>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sz w:val="20"/>
          <w:szCs w:val="20"/>
        </w:rPr>
      </w:pPr>
      <w:r w:rsidRPr="003A4B56">
        <w:rPr>
          <w:rFonts w:cs="Arial"/>
          <w:sz w:val="20"/>
          <w:szCs w:val="20"/>
        </w:rPr>
        <w:t>Fuente: Elaboración propia, en base a antecedentes de ODEPA.</w:t>
      </w:r>
    </w:p>
    <w:p w:rsidR="000A1474" w:rsidRPr="003A4B56" w:rsidRDefault="000A1474" w:rsidP="00B51B51">
      <w:pPr>
        <w:widowControl w:val="0"/>
        <w:tabs>
          <w:tab w:val="left" w:pos="0"/>
          <w:tab w:val="left" w:pos="1418"/>
        </w:tabs>
        <w:rPr>
          <w:rFonts w:cs="Arial"/>
        </w:rPr>
      </w:pPr>
    </w:p>
    <w:p w:rsidR="000A1474" w:rsidRPr="003A4B56" w:rsidRDefault="000A1474" w:rsidP="00B51B51">
      <w:pPr>
        <w:widowControl w:val="0"/>
        <w:tabs>
          <w:tab w:val="left" w:pos="1418"/>
        </w:tabs>
        <w:rPr>
          <w:rFonts w:cs="Arial"/>
        </w:rPr>
      </w:pPr>
      <w:r w:rsidRPr="003A4B56">
        <w:rPr>
          <w:rFonts w:cs="Arial"/>
        </w:rPr>
        <w:t>Se debe tener en consideración que el mercado potencial para este producto está constituido por aquellos países que muestran importaciones crecientes, como por ejemplo Brasil, Estados Unidos, Italia y Alemania. Otros destinos, también en vías de expansión, son Corea, Japón, Canadá, México y Francia.</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Los envíos chilenos de aceite de oliva, tienen una preferencia de 12% en Bolivia, por lo que el arancel de importación alcanza a 8,8%, mientras que en Ecuador se encuentran en lista de excepción, por lo que deben cancelar un impuesto de 20%. En el caso de Perú, el arancel de internación se igualará a cero el año 2013.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La situación de este producto es muy favorable en Estados Unidos, ya que desde un arancel inicial que fluctuaba entre 3,4 y 5,4 centavos de dólar por kilo, con ocasión del acuerdo, este tributo se igualó a cero. Asimismo, en Corea las internaciones de aceite de oliva chilena disminuyeron su gravamen de entrada desde 8% a 0% en cinco años, es decir, en 2009; en China  pasarán de 10% a 0%, en 10 años (2016). En Japón se desgravó totalmente el arancel de internación desde la entrada en vigencia del acuerdo.</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En el ámbito productivo, cabe señalar que a nivel nacional el olivo se ha caracterizado por presentar añerismo y baja productividad. Las plantaciones fueron establecidas a baja densidad, formación inadecuada y han recibido un escaso manejo, con rendimientos del orden de </w:t>
      </w:r>
      <w:smartTag w:uri="urn:schemas-microsoft-com:office:smarttags" w:element="metricconverter">
        <w:smartTagPr>
          <w:attr w:name="ProductID" w:val="3 a"/>
        </w:smartTagPr>
        <w:r w:rsidRPr="003A4B56">
          <w:rPr>
            <w:rFonts w:cs="Arial"/>
          </w:rPr>
          <w:t>3 a</w:t>
        </w:r>
      </w:smartTag>
      <w:r w:rsidRPr="003A4B56">
        <w:rPr>
          <w:rFonts w:cs="Arial"/>
        </w:rPr>
        <w:t xml:space="preserve"> 4 ton de olivas/ha.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 xml:space="preserve">Actualmente, las plantaciones han evolucionado en los aspectos anteriormente señalados, y se están evaluando distintas variedades traídas del extranjero y algunas seleccionadas en el país. Lo ideal es hacer una combinación de variedades según su época de madurez, con la finalidad de escalonar tanto la cosecha como la elaboración de aceite. </w:t>
      </w:r>
    </w:p>
    <w:p w:rsidR="000A1474" w:rsidRPr="003A4B56" w:rsidRDefault="000A1474" w:rsidP="00B51B51">
      <w:pPr>
        <w:widowControl w:val="0"/>
        <w:tabs>
          <w:tab w:val="left" w:pos="1418"/>
        </w:tabs>
        <w:rPr>
          <w:rFonts w:cs="Arial"/>
        </w:rPr>
      </w:pPr>
    </w:p>
    <w:p w:rsidR="000A1474" w:rsidRPr="003A4B56" w:rsidRDefault="000A1474" w:rsidP="00B51B51">
      <w:pPr>
        <w:widowControl w:val="0"/>
        <w:tabs>
          <w:tab w:val="left" w:pos="1418"/>
        </w:tabs>
        <w:rPr>
          <w:rFonts w:cs="Arial"/>
        </w:rPr>
      </w:pPr>
      <w:r w:rsidRPr="003A4B56">
        <w:rPr>
          <w:rFonts w:cs="Arial"/>
        </w:rPr>
        <w:t>En este contexto, es interesante destacar el aumento que ha exhibido el consumo mundial de aceite de oliva y las escasas posibilidades de incrementar el cultivo de la especie en los países del Mediterráneo. Esta evolución ha llevado a identificar áreas potenciales para su desarrollo, detectándose en el hemisferio norte, sectores en Estados Unidos y México, en tanto que en el hemisferio sur, se visualizan zonas con potencial en Argentina, Chile, Sudáfrica, Australia y Nueva Zelanda.</w:t>
      </w:r>
    </w:p>
    <w:p w:rsidR="000A1474" w:rsidRPr="003A4B56" w:rsidRDefault="000A1474" w:rsidP="00B51B51">
      <w:pPr>
        <w:widowControl w:val="0"/>
        <w:tabs>
          <w:tab w:val="left" w:pos="0"/>
          <w:tab w:val="left" w:pos="1418"/>
        </w:tabs>
        <w:rPr>
          <w:rFonts w:cs="Arial"/>
        </w:rPr>
      </w:pPr>
      <w:r w:rsidRPr="003A4B56">
        <w:rPr>
          <w:rFonts w:cs="Arial"/>
        </w:rPr>
        <w:lastRenderedPageBreak/>
        <w:t>De hecho, en Argentina, Perú y Chile se percibe una tendencia creciente en la cosecha de aceitunas de mesa, comportamiento que es aun más evidente en la producción de aceite de oliva, cuyo consumo se encuentra en proceso de expansión por los beneficios que otorga a la salud. En efecto, el aceite de oliva posee un alto contenido de ácido oleico que disminuye el colesterol.</w:t>
      </w:r>
    </w:p>
    <w:p w:rsidR="000A1474" w:rsidRPr="003A4B56" w:rsidRDefault="000A1474" w:rsidP="00B51B51">
      <w:pPr>
        <w:widowControl w:val="0"/>
        <w:tabs>
          <w:tab w:val="left" w:pos="0"/>
          <w:tab w:val="left" w:pos="1418"/>
        </w:tabs>
        <w:rPr>
          <w:rFonts w:cs="Arial"/>
          <w:noProof/>
        </w:rPr>
      </w:pPr>
    </w:p>
    <w:p w:rsidR="000A1474" w:rsidRPr="003A4B56" w:rsidRDefault="000A1474" w:rsidP="00B51B51">
      <w:pPr>
        <w:widowControl w:val="0"/>
        <w:tabs>
          <w:tab w:val="left" w:pos="0"/>
          <w:tab w:val="left" w:pos="1418"/>
        </w:tabs>
        <w:rPr>
          <w:rFonts w:cs="Arial"/>
        </w:rPr>
      </w:pPr>
      <w:r w:rsidRPr="003A4B56">
        <w:rPr>
          <w:rFonts w:cs="Arial"/>
        </w:rPr>
        <w:t xml:space="preserve">No obstante, las olivas en salmuera chilenas en los últimos años se han visto amenazadas por las crecientes internaciones desde Perú, cuyos precios han descendido respecto de años anteriores y su competencia en Brasil se torna más fuerte. </w:t>
      </w:r>
    </w:p>
    <w:p w:rsidR="000A1474" w:rsidRPr="003A4B56" w:rsidRDefault="000A1474" w:rsidP="00B51B51">
      <w:pPr>
        <w:widowControl w:val="0"/>
        <w:tabs>
          <w:tab w:val="left" w:pos="1418"/>
        </w:tabs>
        <w:rPr>
          <w:rFonts w:cs="Arial"/>
        </w:rPr>
      </w:pPr>
    </w:p>
    <w:p w:rsidR="000A1474" w:rsidRPr="003A4B56" w:rsidRDefault="00F36FC3" w:rsidP="00B51B51">
      <w:pPr>
        <w:widowControl w:val="0"/>
      </w:pPr>
      <w:r w:rsidRPr="003A4B56">
        <w:t>-</w:t>
      </w:r>
      <w:r w:rsidRPr="003A4B56">
        <w:tab/>
      </w:r>
      <w:r w:rsidR="000A1474" w:rsidRPr="003A4B56">
        <w:t>Palto</w:t>
      </w:r>
    </w:p>
    <w:p w:rsidR="000A1474" w:rsidRPr="003A4B56" w:rsidRDefault="000A1474" w:rsidP="00B51B51">
      <w:pPr>
        <w:widowControl w:val="0"/>
        <w:tabs>
          <w:tab w:val="left" w:pos="0"/>
          <w:tab w:val="left" w:pos="1418"/>
        </w:tabs>
        <w:rPr>
          <w:rFonts w:cs="Arial"/>
          <w:lang w:val="es-CL"/>
        </w:rPr>
      </w:pPr>
    </w:p>
    <w:p w:rsidR="000A1474" w:rsidRPr="003A4B56" w:rsidRDefault="000A1474" w:rsidP="00B51B51">
      <w:pPr>
        <w:widowControl w:val="0"/>
        <w:tabs>
          <w:tab w:val="left" w:pos="0"/>
          <w:tab w:val="left" w:pos="426"/>
          <w:tab w:val="left" w:pos="720"/>
        </w:tabs>
        <w:rPr>
          <w:rFonts w:cs="Arial"/>
        </w:rPr>
      </w:pPr>
      <w:r w:rsidRPr="003A4B56">
        <w:rPr>
          <w:rFonts w:cs="Arial"/>
        </w:rPr>
        <w:t>En la actualidad, el palto es la segunda especie frutal, en términos de superficie, cultivada en Chile, después de uva de mesa. Esta posición ha sido consecuencia de la expansión que han experimentado las plantaciones en los últimos años.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Es así como INE a través del VII Censo Nacional Agropecuario señala para la temporada 2006/07 una superficie nacional dedicada a esta especie del orden de </w:t>
      </w:r>
      <w:smartTag w:uri="urn:schemas-microsoft-com:office:smarttags" w:element="metricconverter">
        <w:smartTagPr>
          <w:attr w:name="ProductID" w:val="39.303 hectáreas"/>
        </w:smartTagPr>
        <w:r w:rsidRPr="003A4B56">
          <w:rPr>
            <w:rFonts w:cs="Arial"/>
          </w:rPr>
          <w:t>39.303 hectáreas</w:t>
        </w:r>
      </w:smartTag>
      <w:r w:rsidRPr="003A4B56">
        <w:rPr>
          <w:rFonts w:cs="Arial"/>
        </w:rPr>
        <w:t xml:space="preserve">, lo que revela una expansión de 132% en relación a la existente en 1997 con </w:t>
      </w:r>
      <w:smartTag w:uri="urn:schemas-microsoft-com:office:smarttags" w:element="metricconverter">
        <w:smartTagPr>
          <w:attr w:name="ProductID" w:val="16.919,4 hectáreas"/>
        </w:smartTagPr>
        <w:r w:rsidRPr="003A4B56">
          <w:rPr>
            <w:rFonts w:cs="Arial"/>
          </w:rPr>
          <w:t>16.919,4 hectáreas</w:t>
        </w:r>
      </w:smartTag>
      <w:r w:rsidRPr="003A4B56">
        <w:rPr>
          <w:rFonts w:cs="Arial"/>
        </w:rPr>
        <w:t xml:space="preserve">. La misma fuente indica que en 2007 existían </w:t>
      </w:r>
      <w:smartTag w:uri="urn:schemas-microsoft-com:office:smarttags" w:element="metricconverter">
        <w:smartTagPr>
          <w:attr w:name="ProductID" w:val="2.908,2 ha"/>
        </w:smartTagPr>
        <w:r w:rsidRPr="003A4B56">
          <w:rPr>
            <w:rFonts w:cs="Arial"/>
          </w:rPr>
          <w:t>2.908,2 ha</w:t>
        </w:r>
      </w:smartTag>
      <w:r w:rsidRPr="003A4B56">
        <w:rPr>
          <w:rFonts w:cs="Arial"/>
        </w:rPr>
        <w:t xml:space="preserve"> de paltos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distribuidas en 91,6% en la provincia de Cachapoal; 5,2% en Cardenal Caro y el 3,2% restante en Colchagua.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Asimismo, según las estadísticas de ODEPA, la producción ha exhibido una notable expansión, al pasar de 37.580 toneladas en la temporada 1989/90 a unas 160 mil toneladas en el período 2004/2005. Al respecto, cabe señalar que este comportamiento debería constatarse con más fuerza en los próximos años, en la medida que se inicien las cosechas de los huertos nuevos, en los que se esperan rendimientos superiores a los obtenidos en las plantaciones tradicionales, debido a la adopción de modernas tecnologías.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El destino de la producción de paltas es fundamentalmente la exportación y, en menor proporción, al mercado interno. No obstante, como se estima una mayor oferta en los próximos años una alternativa para este producto sería la industrialización.</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En relación a las ventas al exterior, como se observa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_Ref336590746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5.54</w:t>
      </w:r>
      <w:r w:rsidRPr="003A4B56">
        <w:rPr>
          <w:rFonts w:cs="Arial"/>
        </w:rPr>
        <w:fldChar w:fldCharType="end"/>
      </w:r>
      <w:r w:rsidRPr="003A4B56">
        <w:rPr>
          <w:rFonts w:cs="Arial"/>
        </w:rPr>
        <w:t xml:space="preserve">, si bien éstas entre 1990 y 2011 han exhibido importantes fluctuaciones, la tendencia ha sido al alza. De esta manera los envíos chilenos al exterior entre 1990 y 2011 aumentaron en casi nueve veces, totalizando en 2011 un volumen del orden de 102 mil toneladas equivalentes a US$ 167 millones FOB. </w:t>
      </w:r>
    </w:p>
    <w:p w:rsidR="00B36772" w:rsidRDefault="00B36772" w:rsidP="00B51B51">
      <w:pPr>
        <w:widowControl w:val="0"/>
        <w:tabs>
          <w:tab w:val="left" w:pos="0"/>
          <w:tab w:val="left" w:pos="426"/>
          <w:tab w:val="left" w:pos="720"/>
        </w:tabs>
        <w:rPr>
          <w:rFonts w:cs="Arial"/>
        </w:rPr>
      </w:pPr>
    </w:p>
    <w:p w:rsidR="00B36772" w:rsidRPr="003A4B56" w:rsidRDefault="00B36772" w:rsidP="00B51B51">
      <w:pPr>
        <w:widowControl w:val="0"/>
        <w:tabs>
          <w:tab w:val="left" w:pos="0"/>
          <w:tab w:val="left" w:pos="426"/>
          <w:tab w:val="left" w:pos="720"/>
        </w:tabs>
        <w:rPr>
          <w:rFonts w:cs="Arial"/>
        </w:rPr>
      </w:pPr>
      <w:r w:rsidRPr="003A4B56">
        <w:rPr>
          <w:rFonts w:cs="Arial"/>
        </w:rPr>
        <w:t xml:space="preserve">El destino de esos embarques estuvo constituido en 66% por Estados Unidos; otras plazas de colocación fueron países de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como Reino Unido, España, Francia y Holanda; constatándose una pequeña participación de otros </w:t>
      </w:r>
      <w:r>
        <w:rPr>
          <w:rFonts w:cs="Arial"/>
        </w:rPr>
        <w:t>países como Japón y Argentina.</w:t>
      </w:r>
    </w:p>
    <w:p w:rsidR="00B36772" w:rsidRPr="003A4B56" w:rsidRDefault="00B36772" w:rsidP="00B51B51">
      <w:pPr>
        <w:widowControl w:val="0"/>
        <w:tabs>
          <w:tab w:val="left" w:pos="0"/>
          <w:tab w:val="left" w:pos="426"/>
          <w:tab w:val="left" w:pos="720"/>
        </w:tabs>
        <w:rPr>
          <w:rFonts w:cs="Arial"/>
        </w:rPr>
      </w:pPr>
    </w:p>
    <w:p w:rsidR="00B36772" w:rsidRDefault="00B36772" w:rsidP="00B51B51">
      <w:pPr>
        <w:widowControl w:val="0"/>
        <w:tabs>
          <w:tab w:val="left" w:pos="0"/>
          <w:tab w:val="left" w:pos="426"/>
          <w:tab w:val="left" w:pos="720"/>
        </w:tabs>
        <w:rPr>
          <w:rFonts w:cs="Arial"/>
        </w:rPr>
      </w:pPr>
      <w:r w:rsidRPr="003A4B56">
        <w:rPr>
          <w:rFonts w:cs="Arial"/>
        </w:rPr>
        <w:t>Como consecuencia del aumento de la oferta chilena de paltas en los próximos años será necesario diversificar los mercados. Los que presentan mejores perspectivas además de Estados Unidos, serían Europa y Argentina, en este último se han llevado a cabo campañas promocionales para incentivar el consumo de esta fruta. En este sentido, cabe señalar que Japón autorizó el ingreso de paltas chilenas, lo que constituye una interesante alternativa para nuestra producción.</w:t>
      </w:r>
    </w:p>
    <w:p w:rsidR="00791F11" w:rsidRPr="003A4B56" w:rsidRDefault="00791F11"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1418"/>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8" w:name="_Ref336590746"/>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54</w:t>
      </w:r>
      <w:r w:rsidR="00951FEC">
        <w:rPr>
          <w:b/>
        </w:rPr>
        <w:fldChar w:fldCharType="end"/>
      </w:r>
      <w:bookmarkEnd w:id="348"/>
    </w:p>
    <w:p w:rsidR="000A1474" w:rsidRPr="003A4B56" w:rsidRDefault="00254CE2" w:rsidP="00B51B51">
      <w:pPr>
        <w:widowControl w:val="0"/>
        <w:tabs>
          <w:tab w:val="left" w:pos="0"/>
          <w:tab w:val="left" w:pos="1418"/>
        </w:tabs>
        <w:jc w:val="center"/>
        <w:rPr>
          <w:rFonts w:cs="Arial"/>
          <w:lang w:val="es-CL"/>
        </w:rPr>
      </w:pPr>
      <w:r>
        <w:rPr>
          <w:noProof/>
          <w:lang w:val="es-CL" w:eastAsia="es-CL"/>
        </w:rPr>
        <w:drawing>
          <wp:inline distT="0" distB="0" distL="0" distR="0">
            <wp:extent cx="4795520" cy="2115820"/>
            <wp:effectExtent l="0" t="0" r="508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95520" cy="2115820"/>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sz w:val="20"/>
          <w:szCs w:val="20"/>
          <w:lang w:val="es-CL"/>
        </w:rPr>
      </w:pPr>
      <w:r w:rsidRPr="003A4B56">
        <w:rPr>
          <w:rFonts w:cs="Arial"/>
          <w:sz w:val="20"/>
          <w:szCs w:val="20"/>
          <w:lang w:val="es-CL"/>
        </w:rPr>
        <w:t>Fuente: Elaboración propia, en base a antecedentes de ODEPA</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el acuerdo de MERCOSUR, antes de 1997 el arancel vigente para los envíos de paltas era de 13%; en 2006 éste tributo se igualó a cero. Los envíos a Ecuador están liberados de pagar arancel desde el año 1998, en tanto que los correspondientes a Bolivia gozan de una preferencia de 12%, por lo que pagan un impuesto de 8,8%.</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Los embarques a Estados Unidos, por su parte, cancelaban un arancel de internación de 11,2 centavos de dólar por kilo, y requieren de una inspección conjunta SAG/USDA-APHIS. Con ocasión del tratado de libre comercio, dicho país otorgó cupos a los envíos chilenos libre de arancel. Así, entre el 1 de enero y 30 de septiembre el cupo es de 15.750 toneladas y entre el 1 de octubre y el 31 de diciembre es de 35.700 toneladas, ambos montos se incrementarán en 5% anual, hasta el año 2015, cuando la totalidad de los embarques dejen de pagar arancel. </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A Europa, si bien se han efectuado exportaciones, los precios registrados son levemente más bajos que los logrados en Estados Unidos y el costo del flete es más alto; aunque se debe destacar que los precios logrados en ese bloque comercial en 2007 superaron a los registrados en Estados Unidos. Asimismo, en el acuerdo de libre comercio suscrito con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las paltas provenientes de Chile quedaron en la lista de desgravación inmediata, lo que significa que desde enero del 2003 ingresan a ese bloque comercial sin pagar arancel de internación, lo que ha aumentado su competitividad frente al producto proveniente de otros países como por ejemplo Sudáfrica. Cabe señalar que las paltas debían gravar su ingreso a esos países pagando un tributo de 5,1% desde el 1 de junio hasta el 31 de noviembre de cada año. </w:t>
      </w:r>
    </w:p>
    <w:p w:rsidR="00100BAE" w:rsidRPr="00100BAE" w:rsidRDefault="00100BAE" w:rsidP="00B51B51">
      <w:pPr>
        <w:widowControl w:val="0"/>
        <w:tabs>
          <w:tab w:val="left" w:pos="0"/>
          <w:tab w:val="left" w:pos="426"/>
          <w:tab w:val="left" w:pos="720"/>
        </w:tabs>
        <w:rPr>
          <w:rFonts w:cs="Arial"/>
          <w:sz w:val="24"/>
        </w:rPr>
      </w:pPr>
    </w:p>
    <w:p w:rsidR="000A1474" w:rsidRPr="003A4B56" w:rsidRDefault="000A1474" w:rsidP="00B51B51">
      <w:pPr>
        <w:widowControl w:val="0"/>
        <w:tabs>
          <w:tab w:val="left" w:pos="0"/>
          <w:tab w:val="left" w:pos="426"/>
          <w:tab w:val="left" w:pos="720"/>
        </w:tabs>
        <w:rPr>
          <w:rFonts w:cs="Arial"/>
        </w:rPr>
      </w:pPr>
      <w:r w:rsidRPr="003A4B56">
        <w:rPr>
          <w:rFonts w:cs="Arial"/>
        </w:rPr>
        <w:t>En el caso de Corea la desgravación arancelaria concluyó el año 7 (2010), en China el arancel inicial de 25% se igualará a cero al año 10 (2014) y en Japón la desgravación del tributo de internación fue inmediata (2007).</w:t>
      </w:r>
    </w:p>
    <w:p w:rsidR="000A1474" w:rsidRPr="00100BAE" w:rsidRDefault="000A1474" w:rsidP="00B51B51">
      <w:pPr>
        <w:widowControl w:val="0"/>
        <w:tabs>
          <w:tab w:val="left" w:pos="0"/>
          <w:tab w:val="left" w:pos="426"/>
          <w:tab w:val="left" w:pos="720"/>
        </w:tabs>
        <w:rPr>
          <w:rFonts w:cs="Arial"/>
          <w:sz w:val="24"/>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Es así como el crecimiento de la producción nacional de paltas necesariamente deberá traducirse en un deterioro de los precios. Para esto, es fundamental diversificar los mercados de exportación, promover el consumo nacional de esta fruta y optar por el desarrollo de la agroindustria. </w:t>
      </w:r>
    </w:p>
    <w:p w:rsidR="000A1474" w:rsidRPr="00100BAE" w:rsidRDefault="000A1474" w:rsidP="00B51B51">
      <w:pPr>
        <w:widowControl w:val="0"/>
        <w:tabs>
          <w:tab w:val="left" w:pos="0"/>
          <w:tab w:val="left" w:pos="426"/>
          <w:tab w:val="left" w:pos="720"/>
        </w:tabs>
        <w:rPr>
          <w:rFonts w:cs="Arial"/>
          <w:sz w:val="26"/>
        </w:rPr>
      </w:pPr>
    </w:p>
    <w:p w:rsidR="000A1474" w:rsidRDefault="000A1474" w:rsidP="00B51B51">
      <w:pPr>
        <w:widowControl w:val="0"/>
        <w:tabs>
          <w:tab w:val="left" w:pos="0"/>
          <w:tab w:val="left" w:pos="426"/>
          <w:tab w:val="left" w:pos="720"/>
        </w:tabs>
        <w:rPr>
          <w:rFonts w:cs="Arial"/>
        </w:rPr>
      </w:pPr>
      <w:r w:rsidRPr="003A4B56">
        <w:rPr>
          <w:rFonts w:cs="Arial"/>
        </w:rPr>
        <w:t xml:space="preserve">De hecho, a pesar del gran crecimiento que ha experimentado tanto la producción interna como la mundial, agentes ligados al sector están optimistas en relación a las transacciones de esta </w:t>
      </w:r>
      <w:r w:rsidRPr="003A4B56">
        <w:rPr>
          <w:rFonts w:cs="Arial"/>
        </w:rPr>
        <w:lastRenderedPageBreak/>
        <w:t>especie en los próximos años, por cuanto estiman que el consumo percápita de esta fruta continuará en alza, lo que favorecerá la colocación de volúmenes crecientes.</w:t>
      </w:r>
    </w:p>
    <w:p w:rsidR="00100BAE" w:rsidRPr="003A4B56" w:rsidRDefault="00100BAE" w:rsidP="00B51B51">
      <w:pPr>
        <w:widowControl w:val="0"/>
        <w:tabs>
          <w:tab w:val="left" w:pos="0"/>
          <w:tab w:val="left" w:pos="426"/>
          <w:tab w:val="left" w:pos="720"/>
        </w:tabs>
        <w:rPr>
          <w:rFonts w:cs="Arial"/>
        </w:rPr>
      </w:pPr>
    </w:p>
    <w:p w:rsidR="000A1474" w:rsidRPr="003A4B56" w:rsidRDefault="00F36FC3" w:rsidP="00B51B51">
      <w:pPr>
        <w:widowControl w:val="0"/>
      </w:pPr>
      <w:r w:rsidRPr="003A4B56">
        <w:t>-</w:t>
      </w:r>
      <w:r w:rsidRPr="003A4B56">
        <w:tab/>
      </w:r>
      <w:r w:rsidR="000A1474" w:rsidRPr="003A4B56">
        <w:t>Peral</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pPr>
      <w:r w:rsidRPr="003A4B56">
        <w:t xml:space="preserve">El peral europeo, en términos de superficie, es la segunda pomácea en importancia cultivada en Chile, después del manzano. A nivel nacional, el área dedicada a este frutal en la última década experimentó una caída del orden de un 26,7%, al  pasar de </w:t>
      </w:r>
      <w:smartTag w:uri="urn:schemas-microsoft-com:office:smarttags" w:element="metricconverter">
        <w:smartTagPr>
          <w:attr w:name="ProductID" w:val="14.550 hectáreas"/>
        </w:smartTagPr>
        <w:r w:rsidRPr="003A4B56">
          <w:t>14.550 hectáreas</w:t>
        </w:r>
      </w:smartTag>
      <w:r w:rsidRPr="003A4B56">
        <w:t xml:space="preserve"> en </w:t>
      </w:r>
      <w:smartTag w:uri="urn:schemas-microsoft-com:office:smarttags" w:element="metricconverter">
        <w:smartTagPr>
          <w:attr w:name="ProductID" w:val="1990 a"/>
        </w:smartTagPr>
        <w:r w:rsidRPr="003A4B56">
          <w:t>1990 a</w:t>
        </w:r>
      </w:smartTag>
      <w:r w:rsidRPr="003A4B56">
        <w:t xml:space="preserve"> </w:t>
      </w:r>
      <w:smartTag w:uri="urn:schemas-microsoft-com:office:smarttags" w:element="metricconverter">
        <w:smartTagPr>
          <w:attr w:name="ProductID" w:val="10.672 hectáreas"/>
        </w:smartTagPr>
        <w:r w:rsidRPr="003A4B56">
          <w:t>10.672 hectáreas</w:t>
        </w:r>
      </w:smartTag>
      <w:r w:rsidRPr="003A4B56">
        <w:t xml:space="preserve"> en 1997. </w:t>
      </w:r>
    </w:p>
    <w:p w:rsidR="000A1474" w:rsidRPr="003A4B56" w:rsidRDefault="000A1474" w:rsidP="00B51B51">
      <w:pPr>
        <w:widowControl w:val="0"/>
      </w:pPr>
    </w:p>
    <w:p w:rsidR="000A1474" w:rsidRPr="003A4B56" w:rsidRDefault="000A1474" w:rsidP="00B51B51">
      <w:pPr>
        <w:widowControl w:val="0"/>
      </w:pPr>
      <w:r w:rsidRPr="003A4B56">
        <w:t>Este descenso sería atribuible, por una parte, a la expansión que experimentó la oferta como consecuencia de la entrada en producción de nuevas plantaciones y, por otra, a la aparición de diversos problemas, que contribuyeron a que sobre el 30% de la producción fuera descartada para exportación, al no cumplir con los estándares internacionales. Todo lo anterior significó un deterioro de los precios y, por consiguiente, de la rentabilidad del cultivo.</w:t>
      </w:r>
    </w:p>
    <w:p w:rsidR="000A1474" w:rsidRPr="003A4B56" w:rsidRDefault="000A1474" w:rsidP="00B51B51">
      <w:pPr>
        <w:widowControl w:val="0"/>
      </w:pPr>
    </w:p>
    <w:p w:rsidR="000A1474" w:rsidRPr="003A4B56" w:rsidRDefault="000A1474" w:rsidP="00B51B51">
      <w:pPr>
        <w:widowControl w:val="0"/>
      </w:pPr>
      <w:r w:rsidRPr="003A4B56">
        <w:t xml:space="preserve">Posteriormente, la reducción de las plantaciones continuó constatándose y en 2007 éstas sumaban </w:t>
      </w:r>
      <w:smartTag w:uri="urn:schemas-microsoft-com:office:smarttags" w:element="metricconverter">
        <w:smartTagPr>
          <w:attr w:name="ProductID" w:val="6.589,9 ha"/>
        </w:smartTagPr>
        <w:r w:rsidRPr="003A4B56">
          <w:t>6.589,9 ha</w:t>
        </w:r>
      </w:smartTag>
      <w:r w:rsidRPr="003A4B56">
        <w:t xml:space="preserve">, área 38,2% más baja que la existente en 1997. Esta misma tendencia se evidenció en </w:t>
      </w:r>
      <w:smartTag w:uri="urn:schemas-microsoft-com:office:smarttags" w:element="PersonName">
        <w:smartTagPr>
          <w:attr w:name="ProductID" w:val="la VI Región"/>
        </w:smartTagPr>
        <w:r w:rsidRPr="003A4B56">
          <w:t>la VI Región</w:t>
        </w:r>
      </w:smartTag>
      <w:r w:rsidRPr="003A4B56">
        <w:t xml:space="preserve">, donde el área cultivada disminuyó desde </w:t>
      </w:r>
      <w:smartTag w:uri="urn:schemas-microsoft-com:office:smarttags" w:element="metricconverter">
        <w:smartTagPr>
          <w:attr w:name="ProductID" w:val="4.963 ha"/>
        </w:smartTagPr>
        <w:r w:rsidRPr="003A4B56">
          <w:t>4.963 ha</w:t>
        </w:r>
      </w:smartTag>
      <w:r w:rsidRPr="003A4B56">
        <w:t xml:space="preserve"> hasta </w:t>
      </w:r>
      <w:smartTag w:uri="urn:schemas-microsoft-com:office:smarttags" w:element="metricconverter">
        <w:smartTagPr>
          <w:attr w:name="ProductID" w:val="3.554 ha"/>
        </w:smartTagPr>
        <w:r w:rsidRPr="003A4B56">
          <w:t>3.554 ha</w:t>
        </w:r>
      </w:smartTag>
      <w:r w:rsidRPr="003A4B56">
        <w:t xml:space="preserve">, es decir, en 28,4%. </w:t>
      </w:r>
    </w:p>
    <w:p w:rsidR="000A1474" w:rsidRPr="003A4B56" w:rsidRDefault="000A1474" w:rsidP="00B51B51">
      <w:pPr>
        <w:widowControl w:val="0"/>
      </w:pPr>
    </w:p>
    <w:p w:rsidR="000A1474" w:rsidRPr="003A4B56" w:rsidRDefault="000A1474" w:rsidP="00B51B51">
      <w:pPr>
        <w:widowControl w:val="0"/>
      </w:pPr>
      <w:r w:rsidRPr="003A4B56">
        <w:t xml:space="preserve">Cabe señalar que el peral se distribuye desde </w:t>
      </w:r>
      <w:smartTag w:uri="urn:schemas-microsoft-com:office:smarttags" w:element="PersonName">
        <w:smartTagPr>
          <w:attr w:name="ProductID" w:val="la I"/>
        </w:smartTagPr>
        <w:r w:rsidRPr="003A4B56">
          <w:t>la I</w:t>
        </w:r>
      </w:smartTag>
      <w:r w:rsidRPr="003A4B56">
        <w:t xml:space="preserve"> a </w:t>
      </w:r>
      <w:smartTag w:uri="urn:schemas-microsoft-com:office:smarttags" w:element="PersonName">
        <w:smartTagPr>
          <w:attr w:name="ProductID" w:val="la X Región"/>
        </w:smartTagPr>
        <w:r w:rsidRPr="003A4B56">
          <w:t>la X Región</w:t>
        </w:r>
      </w:smartTag>
      <w:r w:rsidRPr="003A4B56">
        <w:t xml:space="preserve">, pero se concentra en más de un 92% entre el </w:t>
      </w:r>
      <w:r w:rsidR="00F6533B" w:rsidRPr="003A4B56">
        <w:t>Área</w:t>
      </w:r>
      <w:r w:rsidRPr="003A4B56">
        <w:t xml:space="preserve"> Metropolitana y </w:t>
      </w:r>
      <w:smartTag w:uri="urn:schemas-microsoft-com:office:smarttags" w:element="PersonName">
        <w:smartTagPr>
          <w:attr w:name="ProductID" w:val="la VII Región."/>
        </w:smartTagPr>
        <w:r w:rsidRPr="003A4B56">
          <w:t>la VII Región.</w:t>
        </w:r>
      </w:smartTag>
      <w:r w:rsidRPr="003A4B56">
        <w:t xml:space="preserve"> Al interior de </w:t>
      </w:r>
      <w:smartTag w:uri="urn:schemas-microsoft-com:office:smarttags" w:element="PersonName">
        <w:smartTagPr>
          <w:attr w:name="ProductID" w:val="la VI Región"/>
        </w:smartTagPr>
        <w:r w:rsidRPr="003A4B56">
          <w:t>la VI Región</w:t>
        </w:r>
      </w:smartTag>
      <w:r w:rsidRPr="003A4B56">
        <w:t xml:space="preserve"> este frutal se extiende en 71,9% en la provincia de Cachapoal; 27,9% en Colchagua y el 0,2% restante en Cardenal Caro. </w:t>
      </w:r>
    </w:p>
    <w:p w:rsidR="000A1474" w:rsidRPr="003A4B56" w:rsidRDefault="000A1474" w:rsidP="00B51B51">
      <w:pPr>
        <w:widowControl w:val="0"/>
      </w:pPr>
    </w:p>
    <w:p w:rsidR="000A1474" w:rsidRPr="003A4B56" w:rsidRDefault="000A1474" w:rsidP="00B51B51">
      <w:pPr>
        <w:widowControl w:val="0"/>
      </w:pPr>
      <w:r w:rsidRPr="003A4B56">
        <w:t xml:space="preserve">El destino de la producción nacional es principalmente la exportación, y el descarte de esta actividad se distribuye entre el consumo interno y la agroindustria. </w:t>
      </w:r>
    </w:p>
    <w:p w:rsidR="000A1474" w:rsidRPr="003A4B56" w:rsidRDefault="000A1474" w:rsidP="00B51B51">
      <w:pPr>
        <w:widowControl w:val="0"/>
      </w:pPr>
    </w:p>
    <w:p w:rsidR="000A1474" w:rsidRPr="003A4B56" w:rsidRDefault="000A1474" w:rsidP="00B51B51">
      <w:pPr>
        <w:widowControl w:val="0"/>
      </w:pPr>
      <w:r w:rsidRPr="003A4B56">
        <w:t xml:space="preserve">Las exportaciones de pera, por su parte, mostraron una tendencia alcista hasta el año 1994, posteriormente éstas se situaron entre 147 mil y 162 mil toneladas, y en el año 2000 éstas descendieron, en volumen, en más de un 20% respecto de las anotadas en 1999. Posteriormente, éstas se mantuvieron relativamente estables entre 120 mil y 130 toneladas.  </w:t>
      </w:r>
    </w:p>
    <w:p w:rsidR="000A1474" w:rsidRPr="003A4B56" w:rsidRDefault="000A1474" w:rsidP="00B51B51">
      <w:pPr>
        <w:widowControl w:val="0"/>
      </w:pPr>
    </w:p>
    <w:p w:rsidR="000A1474" w:rsidRPr="003A4B56" w:rsidRDefault="000A1474" w:rsidP="00B51B51">
      <w:pPr>
        <w:widowControl w:val="0"/>
      </w:pPr>
      <w:r w:rsidRPr="003A4B56">
        <w:t xml:space="preserve">En el transcurso del año 2011 los embarques repuntaron levemente totalizando del orden de unas 134 mil toneladas equivalentes a US$124,4 millones FOB. Todas estas fluctuaciones de los envíos significaron una leve tendencia a la baja, como se aprecia claramente en </w:t>
      </w:r>
      <w:smartTag w:uri="urn:schemas-microsoft-com:office:smarttags" w:element="PersonName">
        <w:smartTagPr>
          <w:attr w:name="ProductID" w:val="la ￼￼￼￼￼￼￼￼￼￼￼￼￼￼￼￼￼￼￼￼￼￼￼￼￼Figura"/>
        </w:smartTagPr>
        <w:r w:rsidRPr="003A4B56">
          <w:t xml:space="preserve">la </w:t>
        </w:r>
        <w:r w:rsidRPr="003A4B56">
          <w:fldChar w:fldCharType="begin"/>
        </w:r>
        <w:r w:rsidRPr="003A4B56">
          <w:instrText xml:space="preserve"> REF _Ref336590789 \h </w:instrText>
        </w:r>
        <w:r w:rsidRPr="003A4B56">
          <w:instrText xml:space="preserve"> \* MERGEFORMAT </w:instrText>
        </w:r>
        <w:r w:rsidRPr="003A4B56">
          <w:fldChar w:fldCharType="separate"/>
        </w:r>
        <w:r w:rsidR="00264070" w:rsidRPr="00264070">
          <w:t>Figura</w:t>
        </w:r>
      </w:smartTag>
      <w:r w:rsidR="00264070" w:rsidRPr="00264070">
        <w:t xml:space="preserve"> </w:t>
      </w:r>
      <w:r w:rsidR="00264070" w:rsidRPr="00264070">
        <w:rPr>
          <w:noProof/>
        </w:rPr>
        <w:t>5.55</w:t>
      </w:r>
      <w:r w:rsidRPr="003A4B56">
        <w:fldChar w:fldCharType="end"/>
      </w:r>
      <w:r w:rsidRPr="003A4B56">
        <w:t>.</w:t>
      </w:r>
    </w:p>
    <w:p w:rsidR="000A1474" w:rsidRPr="003A4B56" w:rsidRDefault="000A1474" w:rsidP="00B51B51">
      <w:pPr>
        <w:widowControl w:val="0"/>
        <w:rPr>
          <w:b/>
          <w:bCs/>
          <w:noProof/>
          <w:spacing w:val="-3"/>
        </w:rPr>
      </w:pPr>
    </w:p>
    <w:p w:rsidR="000A1474" w:rsidRPr="003A4B56" w:rsidRDefault="000A1474" w:rsidP="00B51B51">
      <w:pPr>
        <w:widowControl w:val="0"/>
      </w:pPr>
      <w:r w:rsidRPr="003A4B56">
        <w:t>Las principales plazas de colocación de los envíos chilenos en 2011 estuvieron constituidas, en orden de importancia, por  Estados Unidos y Holanda, cada uno con el 15% de las adquisiciones, luego destacan Colombia, Italia, Perú</w:t>
      </w:r>
      <w:r w:rsidR="00F6533B">
        <w:t>, Ecuador, Venezuela, Alemania,</w:t>
      </w:r>
      <w:r w:rsidRPr="003A4B56">
        <w:t xml:space="preserve"> Rusia, España y México, entre otros.</w:t>
      </w:r>
    </w:p>
    <w:p w:rsidR="000A1474" w:rsidRPr="003A4B56" w:rsidRDefault="000A1474" w:rsidP="00B51B51">
      <w:pPr>
        <w:widowControl w:val="0"/>
        <w:rPr>
          <w:noProof/>
        </w:rPr>
      </w:pPr>
    </w:p>
    <w:p w:rsidR="000A1474" w:rsidRDefault="000A1474" w:rsidP="00B51B51">
      <w:pPr>
        <w:widowControl w:val="0"/>
      </w:pPr>
      <w:r w:rsidRPr="003A4B56">
        <w:t>En este contexto, cabe señalar que Chile ha suscrito acuerdos comerciales con algunos países donde envía esta fruta. Entre ellos figura Estados Unidos, Unión Europea, Colombia, Venezuela, Canadá, México y Ecuador, donde actualmente esta fruta no paga arancel de internación. En Perú el arancel se igualó a cero el año 2008, en tanto que en MERCOSUR la preferencia arancelaria es de 100% sólo a partir del 2011. En Bolivia los envíos chilenos continuarán pagando un tributo de internación de un 10%.</w:t>
      </w: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49" w:name="_Ref336590789"/>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55</w:t>
      </w:r>
      <w:r w:rsidR="00951FEC">
        <w:rPr>
          <w:b/>
        </w:rPr>
        <w:fldChar w:fldCharType="end"/>
      </w:r>
      <w:bookmarkEnd w:id="349"/>
    </w:p>
    <w:p w:rsidR="000A1474" w:rsidRPr="003A4B56" w:rsidRDefault="00254CE2" w:rsidP="00B51B51">
      <w:pPr>
        <w:pStyle w:val="Sangradetextonormal"/>
        <w:widowControl w:val="0"/>
        <w:tabs>
          <w:tab w:val="left" w:pos="851"/>
        </w:tabs>
        <w:jc w:val="center"/>
        <w:rPr>
          <w:rFonts w:cs="Arial"/>
          <w:noProof/>
        </w:rPr>
      </w:pPr>
      <w:r>
        <w:rPr>
          <w:noProof/>
          <w:lang w:val="es-CL" w:eastAsia="es-CL"/>
        </w:rPr>
        <w:drawing>
          <wp:inline distT="0" distB="0" distL="0" distR="0">
            <wp:extent cx="4827270" cy="1849755"/>
            <wp:effectExtent l="0" t="0" r="0" b="0"/>
            <wp:docPr id="161"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827270" cy="1849755"/>
                    </a:xfrm>
                    <a:prstGeom prst="rect">
                      <a:avLst/>
                    </a:prstGeom>
                    <a:noFill/>
                    <a:ln>
                      <a:noFill/>
                    </a:ln>
                  </pic:spPr>
                </pic:pic>
              </a:graphicData>
            </a:graphic>
          </wp:inline>
        </w:drawing>
      </w:r>
    </w:p>
    <w:p w:rsidR="000A1474" w:rsidRPr="003A4B56" w:rsidRDefault="000A1474" w:rsidP="00B51B51">
      <w:pPr>
        <w:widowControl w:val="0"/>
        <w:tabs>
          <w:tab w:val="left" w:pos="851"/>
          <w:tab w:val="left" w:pos="8789"/>
        </w:tabs>
        <w:ind w:left="708" w:right="49" w:firstLine="568"/>
        <w:jc w:val="center"/>
        <w:rPr>
          <w:rFonts w:cs="Arial"/>
          <w:noProof/>
          <w:sz w:val="20"/>
          <w:szCs w:val="20"/>
        </w:rPr>
      </w:pPr>
      <w:r w:rsidRPr="003A4B56">
        <w:rPr>
          <w:rFonts w:cs="Arial"/>
          <w:noProof/>
          <w:sz w:val="20"/>
          <w:szCs w:val="20"/>
        </w:rPr>
        <w:t>Fuente: elaboración propia, en base a antecedentes de ODEPA</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Entretanto, en Japón la desgravación arancelaria será total al año 8 desde entrada en vigencia del acuerdo y en China  a par</w:t>
      </w:r>
      <w:r w:rsidR="00F6533B" w:rsidRPr="00100BAE">
        <w:rPr>
          <w:rFonts w:cs="Arial"/>
          <w:szCs w:val="22"/>
        </w:rPr>
        <w:t>t</w:t>
      </w:r>
      <w:r w:rsidRPr="00100BAE">
        <w:rPr>
          <w:rFonts w:cs="Arial"/>
          <w:szCs w:val="22"/>
        </w:rPr>
        <w:t>ir del año 10; los aranceles iniciales eran de 6% y 10%, respectivamente.</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En el plano internacional, es preciso tener en consideración que la producción mundial se encuentra en vías de expansión, especialmente en China, Argentina y Sudáfrica. El primero lidera la producción mundial, pero más de un 90% de la cosecha se consume en forma interna; los segundos, tiene especial relevancia, ya que compiten con las exportaciones chilenas.</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Dada la expansión en la producción de esta fruta en el mundo, y por consiguiente la oferta, es poco probable que tenga lugar un alza de precios en el mercado internacional. La tendencia sería más bien a una estabilidad o leve baja, de mantenerse los actuales stocks mundiales de pera.</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En el hemisferio sur, las perspectivas para Chile pueden ser promisorias, en el sentido de capturar nuevos mercados latinos, además de aumentar las colocaciones de esta fruta en los mercados que actualmente el país abastece. Como se mencionó anteriormente, Argentina, nuestro vecino competidor, está incrementando su producción por lo cual la competencia nacional deberá basarse en una mejor calidad, precios competitivos </w:t>
      </w:r>
      <w:r w:rsidR="00F6533B" w:rsidRPr="00100BAE">
        <w:rPr>
          <w:rFonts w:cs="Arial"/>
          <w:szCs w:val="22"/>
        </w:rPr>
        <w:t>y mantener una oferta oportuna,</w:t>
      </w:r>
      <w:r w:rsidRPr="00100BAE">
        <w:rPr>
          <w:rFonts w:cs="Arial"/>
          <w:szCs w:val="22"/>
        </w:rPr>
        <w:t xml:space="preserve"> acorde con la época de demanda.</w:t>
      </w:r>
    </w:p>
    <w:p w:rsidR="00D33176" w:rsidRPr="00100BAE" w:rsidRDefault="00D33176" w:rsidP="00B51B51">
      <w:pPr>
        <w:widowControl w:val="0"/>
        <w:tabs>
          <w:tab w:val="left" w:pos="0"/>
          <w:tab w:val="left" w:pos="426"/>
          <w:tab w:val="left" w:pos="720"/>
        </w:tabs>
        <w:rPr>
          <w:rFonts w:cs="Arial"/>
          <w:szCs w:val="22"/>
        </w:rPr>
      </w:pPr>
    </w:p>
    <w:p w:rsidR="000A1474" w:rsidRPr="00100BAE" w:rsidRDefault="00F36FC3" w:rsidP="00B51B51">
      <w:pPr>
        <w:widowControl w:val="0"/>
        <w:rPr>
          <w:szCs w:val="22"/>
        </w:rPr>
      </w:pPr>
      <w:r w:rsidRPr="00100BAE">
        <w:rPr>
          <w:szCs w:val="22"/>
        </w:rPr>
        <w:t>-</w:t>
      </w:r>
      <w:r w:rsidRPr="00100BAE">
        <w:rPr>
          <w:szCs w:val="22"/>
        </w:rPr>
        <w:tab/>
      </w:r>
      <w:r w:rsidR="000A1474" w:rsidRPr="00100BAE">
        <w:rPr>
          <w:szCs w:val="22"/>
        </w:rPr>
        <w:t>Uva de Mesa</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La uva de mesa, en términos de superficie, es la principal especie frutal cultivada en Chile. Se distribuye entre </w:t>
      </w:r>
      <w:smartTag w:uri="urn:schemas-microsoft-com:office:smarttags" w:element="PersonName">
        <w:smartTagPr>
          <w:attr w:name="ProductID" w:val="la I"/>
        </w:smartTagPr>
        <w:r w:rsidRPr="00100BAE">
          <w:rPr>
            <w:rFonts w:cs="Arial"/>
            <w:szCs w:val="22"/>
          </w:rPr>
          <w:t>la I</w:t>
        </w:r>
      </w:smartTag>
      <w:r w:rsidRPr="00100BAE">
        <w:rPr>
          <w:rFonts w:cs="Arial"/>
          <w:szCs w:val="22"/>
        </w:rPr>
        <w:t xml:space="preserve"> y </w:t>
      </w:r>
      <w:smartTag w:uri="urn:schemas-microsoft-com:office:smarttags" w:element="PersonName">
        <w:smartTagPr>
          <w:attr w:name="ProductID" w:val="la IX Región"/>
        </w:smartTagPr>
        <w:r w:rsidRPr="00100BAE">
          <w:rPr>
            <w:rFonts w:cs="Arial"/>
            <w:szCs w:val="22"/>
          </w:rPr>
          <w:t>la IX Región</w:t>
        </w:r>
      </w:smartTag>
      <w:r w:rsidRPr="00100BAE">
        <w:rPr>
          <w:rFonts w:cs="Arial"/>
          <w:szCs w:val="22"/>
        </w:rPr>
        <w:t xml:space="preserve">, pero se concentra en más de 99% desde </w:t>
      </w:r>
      <w:smartTag w:uri="urn:schemas-microsoft-com:office:smarttags" w:element="PersonName">
        <w:smartTagPr>
          <w:attr w:name="ProductID" w:val="la III"/>
        </w:smartTagPr>
        <w:r w:rsidRPr="00100BAE">
          <w:rPr>
            <w:rFonts w:cs="Arial"/>
            <w:szCs w:val="22"/>
          </w:rPr>
          <w:t>la III</w:t>
        </w:r>
      </w:smartTag>
      <w:r w:rsidRPr="00100BAE">
        <w:rPr>
          <w:rFonts w:cs="Arial"/>
          <w:szCs w:val="22"/>
        </w:rPr>
        <w:t xml:space="preserve"> a </w:t>
      </w:r>
      <w:smartTag w:uri="urn:schemas-microsoft-com:office:smarttags" w:element="PersonName">
        <w:smartTagPr>
          <w:attr w:name="ProductID" w:val="la VI Región."/>
        </w:smartTagPr>
        <w:r w:rsidRPr="00100BAE">
          <w:rPr>
            <w:rFonts w:cs="Arial"/>
            <w:szCs w:val="22"/>
          </w:rPr>
          <w:t>la VI Región.</w:t>
        </w:r>
      </w:smartTag>
      <w:r w:rsidRPr="00100BAE">
        <w:rPr>
          <w:rFonts w:cs="Arial"/>
          <w:szCs w:val="22"/>
        </w:rPr>
        <w:t xml:space="preserve"> </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De acuerdo a la información proporcionada por el VII Censo Nacional Agropecuario realizado por INE en 2007 las plantaciones de uva de mesa en la temporada 2006/07 se situaban en torno a </w:t>
      </w:r>
      <w:smartTag w:uri="urn:schemas-microsoft-com:office:smarttags" w:element="metricconverter">
        <w:smartTagPr>
          <w:attr w:name="ProductID" w:val="62.411 hectáreas"/>
        </w:smartTagPr>
        <w:r w:rsidRPr="00100BAE">
          <w:rPr>
            <w:rFonts w:cs="Arial"/>
            <w:szCs w:val="22"/>
          </w:rPr>
          <w:t>62.411 hectáreas</w:t>
        </w:r>
      </w:smartTag>
      <w:r w:rsidRPr="00100BAE">
        <w:rPr>
          <w:rFonts w:cs="Arial"/>
          <w:szCs w:val="22"/>
        </w:rPr>
        <w:t xml:space="preserve"> concentradas en 27,11% en </w:t>
      </w:r>
      <w:smartTag w:uri="urn:schemas-microsoft-com:office:smarttags" w:element="PersonName">
        <w:smartTagPr>
          <w:attr w:name="ProductID" w:val="la VI Región."/>
        </w:smartTagPr>
        <w:r w:rsidRPr="00100BAE">
          <w:rPr>
            <w:rFonts w:cs="Arial"/>
            <w:szCs w:val="22"/>
          </w:rPr>
          <w:t>la VI Región.</w:t>
        </w:r>
      </w:smartTag>
      <w:r w:rsidRPr="00100BAE">
        <w:rPr>
          <w:rFonts w:cs="Arial"/>
          <w:szCs w:val="22"/>
        </w:rPr>
        <w:t xml:space="preserve"> Al interior de la región, esta especie se distribuye en 67,7% en la provincia de Cachapoal; 32,1% en Colchagua y el 0,2% restante en la correspondiente a Cardenal Caro.</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De esta manera, a nivel nacional, la superficie dedicada a esta especie entre 1997 y 2007 experimentó un crecimiento del orden de 45,2%, al pasar de </w:t>
      </w:r>
      <w:smartTag w:uri="urn:schemas-microsoft-com:office:smarttags" w:element="metricconverter">
        <w:smartTagPr>
          <w:attr w:name="ProductID" w:val="45.785,7 hectáreas"/>
        </w:smartTagPr>
        <w:r w:rsidRPr="00100BAE">
          <w:rPr>
            <w:rFonts w:cs="Arial"/>
            <w:szCs w:val="22"/>
          </w:rPr>
          <w:t>45.785,7 hectáreas</w:t>
        </w:r>
      </w:smartTag>
      <w:r w:rsidRPr="00100BAE">
        <w:rPr>
          <w:rFonts w:cs="Arial"/>
          <w:szCs w:val="22"/>
        </w:rPr>
        <w:t xml:space="preserve"> a </w:t>
      </w:r>
      <w:smartTag w:uri="urn:schemas-microsoft-com:office:smarttags" w:element="metricconverter">
        <w:smartTagPr>
          <w:attr w:name="ProductID" w:val="62.411 hectáreas"/>
        </w:smartTagPr>
        <w:r w:rsidRPr="00100BAE">
          <w:rPr>
            <w:rFonts w:cs="Arial"/>
            <w:szCs w:val="22"/>
          </w:rPr>
          <w:t xml:space="preserve">62.411 </w:t>
        </w:r>
        <w:r w:rsidRPr="00100BAE">
          <w:rPr>
            <w:rFonts w:cs="Arial"/>
            <w:szCs w:val="22"/>
          </w:rPr>
          <w:lastRenderedPageBreak/>
          <w:t>hectáreas</w:t>
        </w:r>
      </w:smartTag>
      <w:r w:rsidRPr="00100BAE">
        <w:rPr>
          <w:rFonts w:cs="Arial"/>
          <w:szCs w:val="22"/>
        </w:rPr>
        <w:t xml:space="preserve">. La misma tendencia se evidenció en </w:t>
      </w:r>
      <w:smartTag w:uri="urn:schemas-microsoft-com:office:smarttags" w:element="PersonName">
        <w:smartTagPr>
          <w:attr w:name="ProductID" w:val="la VI Región"/>
        </w:smartTagPr>
        <w:r w:rsidRPr="00100BAE">
          <w:rPr>
            <w:rFonts w:cs="Arial"/>
            <w:szCs w:val="22"/>
          </w:rPr>
          <w:t>la VI Región</w:t>
        </w:r>
      </w:smartTag>
      <w:r w:rsidRPr="00100BAE">
        <w:rPr>
          <w:rFonts w:cs="Arial"/>
          <w:szCs w:val="22"/>
        </w:rPr>
        <w:t xml:space="preserve">, cuyas plantaciones aumentaron, en el mismo período, en torno al 86%, al pasar desde </w:t>
      </w:r>
      <w:smartTag w:uri="urn:schemas-microsoft-com:office:smarttags" w:element="metricconverter">
        <w:smartTagPr>
          <w:attr w:name="ProductID" w:val="9.104 ha"/>
        </w:smartTagPr>
        <w:r w:rsidRPr="00100BAE">
          <w:rPr>
            <w:rFonts w:cs="Arial"/>
            <w:szCs w:val="22"/>
          </w:rPr>
          <w:t>9.104 ha</w:t>
        </w:r>
      </w:smartTag>
      <w:r w:rsidRPr="00100BAE">
        <w:rPr>
          <w:rFonts w:cs="Arial"/>
          <w:szCs w:val="22"/>
        </w:rPr>
        <w:t xml:space="preserve"> a </w:t>
      </w:r>
      <w:smartTag w:uri="urn:schemas-microsoft-com:office:smarttags" w:element="metricconverter">
        <w:smartTagPr>
          <w:attr w:name="ProductID" w:val="16.923 ha"/>
        </w:smartTagPr>
        <w:r w:rsidRPr="00100BAE">
          <w:rPr>
            <w:rFonts w:cs="Arial"/>
            <w:szCs w:val="22"/>
          </w:rPr>
          <w:t>16.923 ha</w:t>
        </w:r>
      </w:smartTag>
      <w:r w:rsidRPr="00100BAE">
        <w:rPr>
          <w:rFonts w:cs="Arial"/>
          <w:szCs w:val="22"/>
        </w:rPr>
        <w:t>.</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El destino de la producción de uva de mesa es principalmente la exportación del producto fresco, el resto se comercializa en el mercado interno en estado fresco, y otra fracción se destina a la agroindustria para la elaboración de pasas, entre otros. </w:t>
      </w:r>
    </w:p>
    <w:p w:rsidR="000A1474" w:rsidRPr="00100BAE" w:rsidRDefault="000A1474" w:rsidP="00B51B51">
      <w:pPr>
        <w:widowControl w:val="0"/>
        <w:tabs>
          <w:tab w:val="left" w:pos="0"/>
          <w:tab w:val="left" w:pos="426"/>
          <w:tab w:val="left" w:pos="720"/>
        </w:tabs>
        <w:rPr>
          <w:rFonts w:cs="Arial"/>
          <w:szCs w:val="22"/>
        </w:rPr>
      </w:pPr>
    </w:p>
    <w:p w:rsidR="000A1474" w:rsidRPr="00100BAE" w:rsidRDefault="000A1474" w:rsidP="00B51B51">
      <w:pPr>
        <w:widowControl w:val="0"/>
        <w:tabs>
          <w:tab w:val="left" w:pos="0"/>
          <w:tab w:val="left" w:pos="426"/>
          <w:tab w:val="left" w:pos="720"/>
        </w:tabs>
        <w:rPr>
          <w:rFonts w:cs="Arial"/>
          <w:szCs w:val="22"/>
        </w:rPr>
      </w:pPr>
      <w:r w:rsidRPr="00100BAE">
        <w:rPr>
          <w:rFonts w:cs="Arial"/>
          <w:szCs w:val="22"/>
        </w:rPr>
        <w:t xml:space="preserve">En el plano nacional, es interesante destacar que existe una marcada estacionalidad en los precios, por cuanto la temporada se inicia en noviembre, con valores casi tres veces más altos que los anotados entre febrero y abril, cuando tiene lugar el grueso de la cosecha. Esta tendencia también se observa en las ventas en el mercado internacional, razón por la cual han aumentado las plantaciones de esta especie en </w:t>
      </w:r>
      <w:smartTag w:uri="urn:schemas-microsoft-com:office:smarttags" w:element="PersonName">
        <w:smartTagPr>
          <w:attr w:name="ProductID" w:val="la III"/>
        </w:smartTagPr>
        <w:r w:rsidRPr="00100BAE">
          <w:rPr>
            <w:rFonts w:cs="Arial"/>
            <w:szCs w:val="22"/>
          </w:rPr>
          <w:t>la III</w:t>
        </w:r>
      </w:smartTag>
      <w:r w:rsidRPr="00100BAE">
        <w:rPr>
          <w:rFonts w:cs="Arial"/>
          <w:szCs w:val="22"/>
        </w:rPr>
        <w:t xml:space="preserve"> y IV Región del país, las que se caracterizan por su temprana producción.</w:t>
      </w:r>
    </w:p>
    <w:p w:rsidR="00D33176" w:rsidRPr="00100BAE" w:rsidRDefault="00D33176" w:rsidP="00B51B51">
      <w:pPr>
        <w:widowControl w:val="0"/>
        <w:tabs>
          <w:tab w:val="left" w:pos="0"/>
          <w:tab w:val="left" w:pos="426"/>
          <w:tab w:val="left" w:pos="720"/>
        </w:tabs>
        <w:rPr>
          <w:rFonts w:cs="Arial"/>
          <w:szCs w:val="22"/>
        </w:rPr>
      </w:pPr>
    </w:p>
    <w:p w:rsidR="000A1474" w:rsidRDefault="000A1474" w:rsidP="00B51B51">
      <w:pPr>
        <w:widowControl w:val="0"/>
        <w:tabs>
          <w:tab w:val="left" w:pos="0"/>
          <w:tab w:val="left" w:pos="426"/>
          <w:tab w:val="left" w:pos="720"/>
        </w:tabs>
        <w:rPr>
          <w:rFonts w:cs="Arial"/>
        </w:rPr>
      </w:pPr>
      <w:r w:rsidRPr="00100BAE">
        <w:rPr>
          <w:rFonts w:cs="Arial"/>
          <w:szCs w:val="22"/>
        </w:rPr>
        <w:t>En términos generales, cabe señalar que las exportaciones chilenas, han mostrado importantes fluctuaciones, tanto en términos de volumen como de valor. En efecto, los volúmenes más elevados se constataron en lo año 2011 con 853 mil toneladas; en tanto que los envíos más bajos se registraron en 1991 con 425 mil toneladas. Así, la tendencia general ha sido al alza,</w:t>
      </w:r>
      <w:r w:rsidRPr="003A4B56">
        <w:rPr>
          <w:rFonts w:cs="Arial"/>
        </w:rPr>
        <w:t xml:space="preserve"> como se aprecia claramente en </w:t>
      </w:r>
      <w:smartTag w:uri="urn:schemas-microsoft-com:office:smarttags" w:element="PersonName">
        <w:smartTagPr>
          <w:attr w:name="ProductID" w:val="la ￼￼￼￼￼￼￼￼￼￼￼￼￼￼￼￼￼￼￼￼￼￼￼￼￼Figura"/>
        </w:smartTagPr>
        <w:r w:rsidRPr="003A4B56">
          <w:rPr>
            <w:rFonts w:cs="Arial"/>
          </w:rPr>
          <w:t xml:space="preserve">la </w:t>
        </w:r>
        <w:r w:rsidRPr="003A4B56">
          <w:rPr>
            <w:rFonts w:cs="Arial"/>
          </w:rPr>
          <w:fldChar w:fldCharType="begin"/>
        </w:r>
        <w:r w:rsidRPr="003A4B56">
          <w:rPr>
            <w:rFonts w:cs="Arial"/>
          </w:rPr>
          <w:instrText xml:space="preserve"> REF _Ref336591076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Figura</w:t>
        </w:r>
      </w:smartTag>
      <w:r w:rsidR="00264070" w:rsidRPr="00264070">
        <w:t xml:space="preserve"> </w:t>
      </w:r>
      <w:r w:rsidR="00264070" w:rsidRPr="00264070">
        <w:rPr>
          <w:noProof/>
        </w:rPr>
        <w:t>5.56</w:t>
      </w:r>
      <w:r w:rsidRPr="003A4B56">
        <w:rPr>
          <w:rFonts w:cs="Arial"/>
        </w:rPr>
        <w:fldChar w:fldCharType="end"/>
      </w:r>
      <w:r w:rsidRPr="003A4B56">
        <w:rPr>
          <w:rFonts w:cs="Arial"/>
        </w:rPr>
        <w:t>.</w:t>
      </w:r>
    </w:p>
    <w:p w:rsidR="00100BAE" w:rsidRPr="003A4B56" w:rsidRDefault="00100BAE" w:rsidP="00B51B51">
      <w:pPr>
        <w:widowControl w:val="0"/>
        <w:tabs>
          <w:tab w:val="left" w:pos="0"/>
          <w:tab w:val="left" w:pos="426"/>
          <w:tab w:val="left" w:pos="720"/>
        </w:tabs>
        <w:rPr>
          <w:rFonts w:cs="Arial"/>
        </w:rPr>
      </w:pPr>
    </w:p>
    <w:p w:rsidR="000A1474" w:rsidRPr="00D33176" w:rsidRDefault="000A1474" w:rsidP="00B51B51">
      <w:pPr>
        <w:widowControl w:val="0"/>
        <w:tabs>
          <w:tab w:val="left" w:pos="0"/>
          <w:tab w:val="left" w:pos="426"/>
          <w:tab w:val="left" w:pos="720"/>
        </w:tabs>
        <w:rPr>
          <w:rFonts w:cs="Arial"/>
          <w:sz w:val="10"/>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50" w:name="_Ref336591076"/>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56</w:t>
      </w:r>
      <w:r w:rsidR="00951FEC">
        <w:rPr>
          <w:b/>
        </w:rPr>
        <w:fldChar w:fldCharType="end"/>
      </w:r>
      <w:bookmarkEnd w:id="350"/>
    </w:p>
    <w:p w:rsidR="000A1474" w:rsidRPr="003A4B56" w:rsidRDefault="00254CE2" w:rsidP="00B51B51">
      <w:pPr>
        <w:pStyle w:val="Epgrafe"/>
        <w:widowControl w:val="0"/>
        <w:tabs>
          <w:tab w:val="left" w:pos="851"/>
          <w:tab w:val="left" w:pos="1560"/>
        </w:tabs>
        <w:rPr>
          <w:rFonts w:ascii="Bookman Old Style" w:hAnsi="Bookman Old Style" w:cs="Bookman Old Style"/>
          <w:sz w:val="20"/>
          <w:szCs w:val="20"/>
          <w:lang w:val="es-CL"/>
        </w:rPr>
      </w:pPr>
      <w:r>
        <w:rPr>
          <w:noProof/>
          <w:lang w:val="es-CL" w:eastAsia="es-CL"/>
        </w:rPr>
        <w:drawing>
          <wp:inline distT="0" distB="0" distL="0" distR="0">
            <wp:extent cx="4773930" cy="2541270"/>
            <wp:effectExtent l="0" t="0" r="762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773930" cy="2541270"/>
                    </a:xfrm>
                    <a:prstGeom prst="rect">
                      <a:avLst/>
                    </a:prstGeom>
                    <a:noFill/>
                    <a:ln>
                      <a:noFill/>
                    </a:ln>
                  </pic:spPr>
                </pic:pic>
              </a:graphicData>
            </a:graphic>
          </wp:inline>
        </w:drawing>
      </w:r>
    </w:p>
    <w:p w:rsidR="000A1474" w:rsidRPr="003A4B56" w:rsidRDefault="000A1474" w:rsidP="00B51B51">
      <w:pPr>
        <w:widowControl w:val="0"/>
        <w:tabs>
          <w:tab w:val="left" w:pos="0"/>
          <w:tab w:val="left" w:pos="1418"/>
        </w:tabs>
        <w:jc w:val="center"/>
        <w:rPr>
          <w:rFonts w:cs="Arial"/>
          <w:sz w:val="20"/>
          <w:szCs w:val="20"/>
          <w:lang w:val="es-CL"/>
        </w:rPr>
      </w:pPr>
      <w:r w:rsidRPr="003A4B56">
        <w:rPr>
          <w:rFonts w:cs="Arial"/>
          <w:sz w:val="20"/>
          <w:szCs w:val="20"/>
          <w:lang w:val="es-CL"/>
        </w:rPr>
        <w:t>Fuente: Elaboración propia, en base a antecedentes de ODEPA</w:t>
      </w:r>
    </w:p>
    <w:p w:rsidR="00B36772" w:rsidRDefault="00B36772"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Durante el año 2011 las exportaciones de uva de mesa chilena acumularon un retorno de casi US$ 1.428 millones FOB. El principal nicho de colocación fue  Estados Unidos, país que absorbió más del 47% de los envíos; le siguen en orden de importancia Holanda, Reino Unido, Hong Kong, Corea del Sur, Rusia,  China, México y Canadá, entre otros. Cabe destacar que entre las principales variedades exportadas por Chile figuran Thompson Seedless, Flame Seedless y Red Globe, las que en conjunto superan el 65% de los envíos.</w:t>
      </w:r>
    </w:p>
    <w:p w:rsidR="000A1474" w:rsidRPr="003A4B56" w:rsidRDefault="000A1474" w:rsidP="00B51B51">
      <w:pPr>
        <w:widowControl w:val="0"/>
        <w:tabs>
          <w:tab w:val="left" w:pos="0"/>
          <w:tab w:val="left" w:pos="144"/>
          <w:tab w:val="left" w:pos="426"/>
          <w:tab w:val="left" w:pos="720"/>
          <w:tab w:val="left" w:pos="864"/>
          <w:tab w:val="left" w:pos="1440"/>
          <w:tab w:val="left" w:pos="216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este contexto, es interesante destacar que la situación arancelaria de este producto varía según la plaza de colocación. Así, en los países que conforman el MERCOSUR como también en Perú el arancel de internación se igualó a cero a partir del año 2011. En Canadá, Colombia, Venezuela y Ecuador el arancel de internación es cero.</w:t>
      </w: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En México, la desgravación arancelaria llegó a cero en 1998, pero existe un período de excepción que va desde el 15 de abril hasta el 31 de mayo de cada año en que el arancel es de 45%. En Bolivia, entretanto, continuarán pagando un impuesto del orden de 10%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otros países de destino los aranceles vigentes para el producto chileno varían considerablemente. De tal forma, en Estados Unidos el tributo fluctuaba entre 0 y 1,85 dólares por m</w:t>
      </w:r>
      <w:r w:rsidRPr="003A4B56">
        <w:rPr>
          <w:rFonts w:cs="Arial"/>
          <w:vertAlign w:val="superscript"/>
        </w:rPr>
        <w:t>3</w:t>
      </w:r>
      <w:r w:rsidRPr="003A4B56">
        <w:rPr>
          <w:rFonts w:cs="Arial"/>
        </w:rPr>
        <w:t>, según la fecha de entrada; del 15/02 al 31/03 era de US$1,18/m</w:t>
      </w:r>
      <w:r w:rsidRPr="003A4B56">
        <w:rPr>
          <w:rFonts w:cs="Arial"/>
          <w:vertAlign w:val="superscript"/>
        </w:rPr>
        <w:t>3</w:t>
      </w:r>
      <w:r w:rsidRPr="003A4B56">
        <w:rPr>
          <w:rFonts w:cs="Arial"/>
        </w:rPr>
        <w:t>, desde el 1/04 al 30/06 era 0 y en otra fecha ascendía al máximo de US$1,85/m</w:t>
      </w:r>
      <w:r w:rsidRPr="003A4B56">
        <w:rPr>
          <w:rFonts w:cs="Arial"/>
          <w:vertAlign w:val="superscript"/>
        </w:rPr>
        <w:t>3</w:t>
      </w:r>
      <w:r w:rsidRPr="003A4B56">
        <w:rPr>
          <w:rFonts w:cs="Arial"/>
        </w:rPr>
        <w:t xml:space="preserve">; con ocasión del tratado de libre comercio con Chile, todos los envíos actualmente no pagan arancel de internación, sólo requiere de fumigación con bromuro de metilo ya sea en origen o en destino.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Arabia Saudita el tributo asciende a 12% y en Taiwán a 42,5%. En Japón, depende de la fecha de ingreso, desde el 1 de noviembre a fines de febrero es de 9,5% y fuera de ese período es de 18%.</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Corea del Sur y China, antes de la firma de los Tratados de Libre Comercio suscritos con Chile, el arancel de internación ascendía a 48% y 13%, respectivamente; con ocasión de los acuerdos este producto ingresará a esos países sin pagar arancel al año 10 de entrada en vigencia, es decir en el año 2014, en ambos casos.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los embarques chilenos debían cancelar un arancel que fluctuaba entre 11,5% y 14,4%, según la fecha y precio de entrada. No obstante, con ocasión del tratado de libre comercio,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estableció cuotas liberadas para dos períodos de exportación, los que se extienden desde el 1 de enero al 14 de julio para 37.000 toneladas y, el otro, va desde el 1 de noviembre al 31 de diciembre para 3.000 toneladas. Los incrementos anuales serán de 1.850 y 150 toneladas, respectivamente. La desgravación total tuvo lugar en el año 4, es decir, en 2007. Esta situación debería incidir positivamente en las exportaciones hacia ese bloque comercial, por cuanto el producto chileno se torna más competitivo respecto de la fruta proveniente de otros países, como por ejemplo Sudáfrica.</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No obstante, es preciso señalar que las perspectivas de este rubro dependerán del manejo de esta especie tanto en pre como en postcosecha, ya que en la medida que se produzca fruta de buena calidad, sin problemas de condición y con rendimientos potenciales según la variedad, Chile será competitivo en el contexto internacional. </w:t>
      </w:r>
    </w:p>
    <w:p w:rsidR="00D33176" w:rsidRPr="003A4B56" w:rsidRDefault="00D33176" w:rsidP="00B51B51">
      <w:pPr>
        <w:widowControl w:val="0"/>
        <w:tabs>
          <w:tab w:val="left" w:pos="0"/>
          <w:tab w:val="left" w:pos="426"/>
          <w:tab w:val="left" w:pos="720"/>
        </w:tabs>
        <w:rPr>
          <w:rFonts w:cs="Arial"/>
        </w:rPr>
      </w:pPr>
    </w:p>
    <w:p w:rsidR="000A1474" w:rsidRPr="003A4B56" w:rsidRDefault="000A1474" w:rsidP="00145762">
      <w:pPr>
        <w:widowControl w:val="0"/>
        <w:numPr>
          <w:ilvl w:val="0"/>
          <w:numId w:val="7"/>
        </w:numPr>
        <w:tabs>
          <w:tab w:val="clear" w:pos="720"/>
        </w:tabs>
        <w:ind w:hanging="720"/>
      </w:pPr>
      <w:r w:rsidRPr="003A4B56">
        <w:t>Vid Vinífera</w:t>
      </w:r>
    </w:p>
    <w:p w:rsidR="000A1474" w:rsidRPr="003A4B56" w:rsidRDefault="000A1474" w:rsidP="00B51B51">
      <w:pPr>
        <w:widowControl w:val="0"/>
        <w:tabs>
          <w:tab w:val="left" w:pos="1418"/>
        </w:tabs>
        <w:rPr>
          <w:rFonts w:cs="Arial"/>
          <w:b/>
          <w:bCs/>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Chile el cultivo de la vid vinífera se extiende desde </w:t>
      </w:r>
      <w:smartTag w:uri="urn:schemas-microsoft-com:office:smarttags" w:element="PersonName">
        <w:smartTagPr>
          <w:attr w:name="ProductID" w:val="la IV"/>
        </w:smartTagPr>
        <w:r w:rsidRPr="003A4B56">
          <w:rPr>
            <w:rFonts w:cs="Arial"/>
          </w:rPr>
          <w:t>la IV</w:t>
        </w:r>
      </w:smartTag>
      <w:r w:rsidRPr="003A4B56">
        <w:rPr>
          <w:rFonts w:cs="Arial"/>
        </w:rPr>
        <w:t xml:space="preserve"> a </w:t>
      </w:r>
      <w:smartTag w:uri="urn:schemas-microsoft-com:office:smarttags" w:element="PersonName">
        <w:smartTagPr>
          <w:attr w:name="ProductID" w:val="la IX Región"/>
        </w:smartTagPr>
        <w:r w:rsidRPr="003A4B56">
          <w:rPr>
            <w:rFonts w:cs="Arial"/>
          </w:rPr>
          <w:t>la IX Región</w:t>
        </w:r>
      </w:smartTag>
      <w:r w:rsidRPr="003A4B56">
        <w:rPr>
          <w:rFonts w:cs="Arial"/>
        </w:rPr>
        <w:t xml:space="preserve">, pero las principales zonas productoras se localizan entre </w:t>
      </w:r>
      <w:smartTag w:uri="urn:schemas-microsoft-com:office:smarttags" w:element="PersonName">
        <w:smartTagPr>
          <w:attr w:name="ProductID" w:val="la VI"/>
        </w:smartTagPr>
        <w:r w:rsidRPr="003A4B56">
          <w:rPr>
            <w:rFonts w:cs="Arial"/>
          </w:rPr>
          <w:t>la VI</w:t>
        </w:r>
      </w:smartTag>
      <w:r w:rsidRPr="003A4B56">
        <w:rPr>
          <w:rFonts w:cs="Arial"/>
        </w:rPr>
        <w:t xml:space="preserve"> y </w:t>
      </w:r>
      <w:smartTag w:uri="urn:schemas-microsoft-com:office:smarttags" w:element="PersonName">
        <w:smartTagPr>
          <w:attr w:name="ProductID" w:val="la VIII Región"/>
        </w:smartTagPr>
        <w:r w:rsidRPr="003A4B56">
          <w:rPr>
            <w:rFonts w:cs="Arial"/>
          </w:rPr>
          <w:t>la VIII Región</w:t>
        </w:r>
      </w:smartTag>
      <w:r w:rsidRPr="003A4B56">
        <w:rPr>
          <w:rFonts w:cs="Arial"/>
        </w:rPr>
        <w:t>, las que en conjunto representan más del 85% de la superficie dedicada a este rubro.</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Cabe destacar que la superficie de esta especie entre 1986 y 1993 experimentó un fuerte descenso, al pasar de </w:t>
      </w:r>
      <w:smartTag w:uri="urn:schemas-microsoft-com:office:smarttags" w:element="metricconverter">
        <w:smartTagPr>
          <w:attr w:name="ProductID" w:val="67.138 hectáreas"/>
        </w:smartTagPr>
        <w:r w:rsidRPr="003A4B56">
          <w:rPr>
            <w:rFonts w:cs="Arial"/>
          </w:rPr>
          <w:t>67.138 hectáreas</w:t>
        </w:r>
      </w:smartTag>
      <w:r w:rsidRPr="003A4B56">
        <w:rPr>
          <w:rFonts w:cs="Arial"/>
        </w:rPr>
        <w:t xml:space="preserve"> a </w:t>
      </w:r>
      <w:smartTag w:uri="urn:schemas-microsoft-com:office:smarttags" w:element="metricconverter">
        <w:smartTagPr>
          <w:attr w:name="ProductID" w:val="53.093 hectáreas"/>
        </w:smartTagPr>
        <w:r w:rsidRPr="003A4B56">
          <w:rPr>
            <w:rFonts w:cs="Arial"/>
          </w:rPr>
          <w:t>53.093 hectáreas</w:t>
        </w:r>
      </w:smartTag>
      <w:r w:rsidRPr="003A4B56">
        <w:rPr>
          <w:rFonts w:cs="Arial"/>
        </w:rPr>
        <w:t xml:space="preserve">, como consecuencia de la crisis que afectó al sector; posteriormente, la tendencia a la baja revirtió, y en el año 2004 el área abarcaba </w:t>
      </w:r>
      <w:smartTag w:uri="urn:schemas-microsoft-com:office:smarttags" w:element="metricconverter">
        <w:smartTagPr>
          <w:attr w:name="ProductID" w:val="110.097 hectáreas"/>
        </w:smartTagPr>
        <w:r w:rsidRPr="003A4B56">
          <w:rPr>
            <w:rFonts w:cs="Arial"/>
          </w:rPr>
          <w:t>110.097 hectáreas</w:t>
        </w:r>
      </w:smartTag>
      <w:r w:rsidRPr="003A4B56">
        <w:rPr>
          <w:rFonts w:cs="Arial"/>
        </w:rPr>
        <w:t xml:space="preserve">, lo que revela una expansión del 29% respecto de las </w:t>
      </w:r>
      <w:smartTag w:uri="urn:schemas-microsoft-com:office:smarttags" w:element="metricconverter">
        <w:smartTagPr>
          <w:attr w:name="ProductID" w:val="85.357 hectáreas"/>
        </w:smartTagPr>
        <w:r w:rsidRPr="003A4B56">
          <w:rPr>
            <w:rFonts w:cs="Arial"/>
          </w:rPr>
          <w:t>85.357 hectáreas</w:t>
        </w:r>
      </w:smartTag>
      <w:r w:rsidRPr="003A4B56">
        <w:rPr>
          <w:rFonts w:cs="Arial"/>
        </w:rPr>
        <w:t xml:space="preserve"> existentes en 1999. Esta expansión continuó constatándose en los años siguientes y según INE en 2007 el área dedicada a vid vinífera abarcaba </w:t>
      </w:r>
      <w:smartTag w:uri="urn:schemas-microsoft-com:office:smarttags" w:element="metricconverter">
        <w:smartTagPr>
          <w:attr w:name="ProductID" w:val="118.488 hectáreas"/>
        </w:smartTagPr>
        <w:r w:rsidRPr="003A4B56">
          <w:rPr>
            <w:rFonts w:cs="Arial"/>
          </w:rPr>
          <w:t>118.488 hectáreas</w:t>
        </w:r>
      </w:smartTag>
      <w:r w:rsidRPr="003A4B56">
        <w:rPr>
          <w:rFonts w:cs="Arial"/>
        </w:rPr>
        <w:t>.</w:t>
      </w:r>
    </w:p>
    <w:p w:rsidR="00B36772" w:rsidRPr="003A4B56" w:rsidRDefault="00B36772"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Esta especie se desarrolla en condiciones de riego y de secano, proporción que a nivel nacional, según el VI Censo Nacional Agropecuario realizado por INE en 1997 era de 54,4% y </w:t>
      </w:r>
      <w:r w:rsidRPr="003A4B56">
        <w:rPr>
          <w:rFonts w:cs="Arial"/>
        </w:rPr>
        <w:lastRenderedPageBreak/>
        <w:t>45,6%, respectivamente. Esta proporción, según cifras de la misma entidad, pero en el VII Censo de 2007, era de 79,2% en riego y 20,8% en condiciones hídricas de secano. Este incremento de la proporción de viñedos en condiciones de riego, revela la mayor participación de cepajes finos, en desmedro de los corrientes.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2007 en </w:t>
      </w:r>
      <w:smartTag w:uri="urn:schemas-microsoft-com:office:smarttags" w:element="PersonName">
        <w:smartTagPr>
          <w:attr w:name="ProductID" w:val="la VI Región"/>
        </w:smartTagPr>
        <w:r w:rsidRPr="003A4B56">
          <w:rPr>
            <w:rFonts w:cs="Arial"/>
          </w:rPr>
          <w:t>la VI Región</w:t>
        </w:r>
      </w:smartTag>
      <w:r w:rsidRPr="003A4B56">
        <w:rPr>
          <w:rFonts w:cs="Arial"/>
        </w:rPr>
        <w:t xml:space="preserve"> la superficie ascendía a </w:t>
      </w:r>
      <w:smartTag w:uri="urn:schemas-microsoft-com:office:smarttags" w:element="metricconverter">
        <w:smartTagPr>
          <w:attr w:name="ProductID" w:val="34.074,5 hectáreas"/>
        </w:smartTagPr>
        <w:r w:rsidRPr="003A4B56">
          <w:rPr>
            <w:rFonts w:cs="Arial"/>
          </w:rPr>
          <w:t>34.074,5 hectáreas</w:t>
        </w:r>
      </w:smartTag>
      <w:r w:rsidRPr="003A4B56">
        <w:rPr>
          <w:rFonts w:cs="Arial"/>
        </w:rPr>
        <w:t xml:space="preserve">, distribuidas en 30,5% en la provincia de Cachapoal; 59% en Colchagua  y, por último, el 10,5% en Cardenal Caro.  Cabe señalar que las plantaciones de uva vinífera en esta región, entre los años 1997 y 2007, experimentaron una importante expansión al pasar de </w:t>
      </w:r>
      <w:smartTag w:uri="urn:schemas-microsoft-com:office:smarttags" w:element="metricconverter">
        <w:smartTagPr>
          <w:attr w:name="ProductID" w:val="11.451 ha"/>
        </w:smartTagPr>
        <w:r w:rsidRPr="003A4B56">
          <w:rPr>
            <w:rFonts w:cs="Arial"/>
          </w:rPr>
          <w:t>11.451 ha</w:t>
        </w:r>
      </w:smartTag>
      <w:r w:rsidRPr="003A4B56">
        <w:rPr>
          <w:rFonts w:cs="Arial"/>
        </w:rPr>
        <w:t xml:space="preserve"> a </w:t>
      </w:r>
      <w:smartTag w:uri="urn:schemas-microsoft-com:office:smarttags" w:element="metricconverter">
        <w:smartTagPr>
          <w:attr w:name="ProductID" w:val="34.075 ha"/>
        </w:smartTagPr>
        <w:r w:rsidRPr="003A4B56">
          <w:rPr>
            <w:rFonts w:cs="Arial"/>
          </w:rPr>
          <w:t>34.075 ha</w:t>
        </w:r>
      </w:smartTag>
      <w:r w:rsidRPr="003A4B56">
        <w:rPr>
          <w:rFonts w:cs="Arial"/>
        </w:rPr>
        <w:t>.</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este contexto, cabe destacar que el aumento más significativo de las plantaciones de esta especie se constató entre los años 1999 y 2000, cuando la superficie total pasó desde </w:t>
      </w:r>
      <w:smartTag w:uri="urn:schemas-microsoft-com:office:smarttags" w:element="metricconverter">
        <w:smartTagPr>
          <w:attr w:name="ProductID" w:val="86.357 hectáreas"/>
        </w:smartTagPr>
        <w:r w:rsidRPr="003A4B56">
          <w:rPr>
            <w:rFonts w:cs="Arial"/>
          </w:rPr>
          <w:t>86.357 hectáreas</w:t>
        </w:r>
      </w:smartTag>
      <w:r w:rsidRPr="003A4B56">
        <w:rPr>
          <w:rFonts w:cs="Arial"/>
        </w:rPr>
        <w:t xml:space="preserve"> a un total de </w:t>
      </w:r>
      <w:smartTag w:uri="urn:schemas-microsoft-com:office:smarttags" w:element="metricconverter">
        <w:smartTagPr>
          <w:attr w:name="ProductID" w:val="103.876 ha"/>
        </w:smartTagPr>
        <w:r w:rsidRPr="003A4B56">
          <w:rPr>
            <w:rFonts w:cs="Arial"/>
          </w:rPr>
          <w:t>103.876 ha</w:t>
        </w:r>
      </w:smartTag>
      <w:r w:rsidRPr="003A4B56">
        <w:rPr>
          <w:rFonts w:cs="Arial"/>
        </w:rPr>
        <w:t>. Esta evolución tuvo lugar tanto en cepajes blancos como tintos, ya que los primeros anotaron un incremento promedio de 1,3%, lo que estuvo asociado a nuevas plantaciones de Chardonnay, Sauvignon Blanc, Viognier y Sauvignon Vert, las que lograron contrarrestar el arranque de los cultivares Moscatel de Alejandría, Torontel, Chenin Blanc y Semillón. En tintos, se registró un significativo aumento del orden de 30,3%, siendo los más relevantes los anotados por Cabernet Sauvignon, Merlot, Carmenere, Sirah y Pinot Noir.</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De esta manera, según la información del INE en el año 2007, las variedades blancas representan 26,4% del total plantado y las tintas el 73,6% restante. Del total nacional, el 73,2% corresponde a cepajes finos y el 26,8% a variedades corrientes.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La tendencia es hacia una expansión de las plantaciones de esta especie, y el objetivo es la exportación de vinos finos con denominación de origen. No obstante, el aumento de los viñedos se ha atenuado en los últimos años con el objeto de mantener el escenario favorable que caracteriza hoy en día a este sector, principalmente en el caso de los vinos de calidad.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la actualidad la producción nacional de vinos se caracteriza por una gran heterogeneidad, debido a diversas gamas de cepajes o variedades, zonas agroclimáticas y procesos de elaboración. De hecho, existen productores, incluidas las industrias, que cultivan vides en zonas de riego con un alto nivel tecnológico y variedades exportables. Por otro lado, hay productores pequeños localizados en áreas de secano, con bajo nivel tecnológico y cuyas variedades, del tipo corriente, abastecen de preferencia el mercado interno, en los segmentos menos exigentes.</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Este rubro presenta diferentes modos de comercialización. La uva puede ser adquirida en estado fresco o como vino por las distintas empresas vitivinícolas. Asimismo, existe la alternativa que el predio sea de propiedad de una empresa vitivinícola y ésta elabore su propio vino y los exporte o bien lo transe en el mercado nacional. También existe la posibilidad de que el productor venda la uva o el vino directamente en el predio.</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Los envíos totales de vinos chilenos entre 1990 y 2011 experimentaron una expansión de algo más de 33 veces, al pasar de US$50,5 millones a US$1.665 millones FOB. El principal producto exportado corresponde a los vinos con denominación de origen, cuyas ventas en ese período se elevaron desde 22 millones de litros a 397 millones de litros, es decir,  en casi 18 veces (</w:t>
      </w:r>
      <w:r w:rsidRPr="003A4B56">
        <w:rPr>
          <w:rFonts w:cs="Arial"/>
        </w:rPr>
        <w:fldChar w:fldCharType="begin"/>
      </w:r>
      <w:r w:rsidRPr="003A4B56">
        <w:rPr>
          <w:rFonts w:cs="Arial"/>
        </w:rPr>
        <w:instrText xml:space="preserve"> REF _Ref336591167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5.57</w:t>
      </w:r>
      <w:r w:rsidRPr="003A4B56">
        <w:rPr>
          <w:rFonts w:cs="Arial"/>
        </w:rPr>
        <w:fldChar w:fldCharType="end"/>
      </w:r>
      <w:r w:rsidRPr="003A4B56">
        <w:rPr>
          <w:rFonts w:cs="Arial"/>
        </w:rPr>
        <w:t>); esta evolución, en valor alcanzó a más de 34 veces, lo que revela, además, un fortalecimiento de los precios unitarios.</w:t>
      </w:r>
    </w:p>
    <w:p w:rsidR="00993C21" w:rsidRDefault="00993C21" w:rsidP="00B51B51">
      <w:pPr>
        <w:widowControl w:val="0"/>
        <w:tabs>
          <w:tab w:val="left" w:pos="0"/>
          <w:tab w:val="left" w:pos="426"/>
          <w:tab w:val="left" w:pos="720"/>
        </w:tabs>
        <w:rPr>
          <w:rFonts w:cs="Arial"/>
        </w:rPr>
      </w:pPr>
    </w:p>
    <w:p w:rsidR="00993C21" w:rsidRPr="003A4B56" w:rsidRDefault="00993C21"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51" w:name="_Ref336591167"/>
      <w:r w:rsidRPr="003A4B56">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57</w:t>
      </w:r>
      <w:r w:rsidR="00951FEC">
        <w:rPr>
          <w:b/>
        </w:rPr>
        <w:fldChar w:fldCharType="end"/>
      </w:r>
      <w:bookmarkEnd w:id="351"/>
    </w:p>
    <w:p w:rsidR="000A1474" w:rsidRPr="003A4B56" w:rsidRDefault="00254CE2" w:rsidP="00B51B51">
      <w:pPr>
        <w:widowControl w:val="0"/>
        <w:tabs>
          <w:tab w:val="left" w:pos="0"/>
          <w:tab w:val="left" w:pos="426"/>
          <w:tab w:val="left" w:pos="720"/>
          <w:tab w:val="left" w:pos="851"/>
          <w:tab w:val="left" w:pos="8789"/>
        </w:tabs>
        <w:ind w:right="49"/>
        <w:jc w:val="center"/>
        <w:rPr>
          <w:rFonts w:cs="Arial"/>
          <w:noProof/>
          <w:szCs w:val="22"/>
        </w:rPr>
      </w:pPr>
      <w:r>
        <w:rPr>
          <w:rFonts w:cs="Arial"/>
          <w:noProof/>
          <w:lang w:val="es-CL" w:eastAsia="es-CL"/>
        </w:rPr>
        <w:drawing>
          <wp:inline distT="0" distB="0" distL="0" distR="0">
            <wp:extent cx="4795520" cy="2190115"/>
            <wp:effectExtent l="0" t="0" r="5080" b="635"/>
            <wp:docPr id="1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795520" cy="219011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el año 2011 las principales plazas de colocación de los vinos con denominación de origen fueron Reino Unido, Estados Unidos, Holanda, Brasil,  Japón, China, Irlanda, Canadá, Rusia, Dinamarca, Alemania  y México,  los que en conjunto adquirieron más del 74% de los envíos. El gravamen que deben pagar a su ingreso varía según el país de destino.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Así, actualmente, los envíos a México, Venezuela, Colombia, Ecuador, Canadá y MERCOSUR, no pagan arancel; en tanto que en los dirigidos a Perú, este tributo se igualará a cero en 2013; las exportaciones a Bolivia continuarán pagando un arancel de internación de 10%. En el caso específico de Brasil, perteneciente al MERCOSUR, para los vinos finos de mesa administró anualmente un cupo de 10 mil cajas de 12 botellas de 750 cc, con un precio mínimo de US$30/caja y otro de 280 mil cajas, con un precio mínimo de US$10,8 por caja, ambos contaban con una preferencia de 30% hasta el año 2007, cuando fuera superado por el programa de desgravación del producto.</w:t>
      </w:r>
    </w:p>
    <w:p w:rsidR="000A1474" w:rsidRPr="003A4B56" w:rsidRDefault="000A1474" w:rsidP="00B51B51">
      <w:pPr>
        <w:widowControl w:val="0"/>
        <w:tabs>
          <w:tab w:val="left" w:pos="0"/>
          <w:tab w:val="left" w:pos="426"/>
          <w:tab w:val="left" w:pos="720"/>
        </w:tabs>
        <w:rPr>
          <w:rFonts w:cs="Arial"/>
        </w:rPr>
      </w:pPr>
    </w:p>
    <w:p w:rsidR="000A1474" w:rsidRDefault="000A1474" w:rsidP="00B51B51">
      <w:pPr>
        <w:widowControl w:val="0"/>
        <w:tabs>
          <w:tab w:val="left" w:pos="0"/>
          <w:tab w:val="left" w:pos="426"/>
          <w:tab w:val="left" w:pos="720"/>
        </w:tabs>
        <w:rPr>
          <w:rFonts w:cs="Arial"/>
        </w:rPr>
      </w:pPr>
      <w:r w:rsidRPr="003A4B56">
        <w:rPr>
          <w:rFonts w:cs="Arial"/>
        </w:rPr>
        <w:t xml:space="preserve">Por otra parte, en los embarques destinados a los países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el arancel de entrada fluctuaba entre 13,7 Euro/Hl y 33,3 Euro/Hl, según el tipo de vino y contenido de alcohol; con ocasión del acuerdo comercial entre Chile y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estos aranceles, en términos recíprocos, fueron eliminados en cuatro años, es decir, en 2007. Como contraparte, Chile deberá renunciar, en un período variable de </w:t>
      </w:r>
      <w:smartTag w:uri="urn:schemas-microsoft-com:office:smarttags" w:element="metricconverter">
        <w:smartTagPr>
          <w:attr w:name="ProductID" w:val="5 a"/>
        </w:smartTagPr>
        <w:r w:rsidRPr="003A4B56">
          <w:rPr>
            <w:rFonts w:cs="Arial"/>
          </w:rPr>
          <w:t>5 a</w:t>
        </w:r>
      </w:smartTag>
      <w:r w:rsidRPr="003A4B56">
        <w:rPr>
          <w:rFonts w:cs="Arial"/>
        </w:rPr>
        <w:t xml:space="preserve"> 12 años, al uso de algunas denominaciones y marcas que pasan a ser exclusivas de la contraparte. </w:t>
      </w:r>
    </w:p>
    <w:p w:rsidR="00791F11" w:rsidRPr="003A4B56" w:rsidRDefault="00791F11"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Estados Unidos, el vino quedó en lista de degravación arancelaria a 12 años; no obstante, dicho país extenderá automáticamente, al producto chileno, los beneficios que otorgue a futuros socios comerciales. Actualmente este tributo, según el tipo de vino, fluctúa entre 5,3 y 16,9 centavos de dólar por litro.  En China, desde un arancel de 14% disminuirá a 0% el año 10. En Corea, la situación es más favorable, ya que la desgravación arancelaria concluyó en 5 años, es decir, en 2009; antes del acuerdo comercial con Chile, el arancel de internación era de 15%. Entretanto, en Japón, el arancel disminuirá hasta cero en el año 13 de entrada en vigencia del acuerdo.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relación a los vinos transados en recipientes con capacidad de hasta </w:t>
      </w:r>
      <w:smartTag w:uri="urn:schemas-microsoft-com:office:smarttags" w:element="metricconverter">
        <w:smartTagPr>
          <w:attr w:name="ProductID" w:val="2 litros"/>
        </w:smartTagPr>
        <w:r w:rsidRPr="003A4B56">
          <w:rPr>
            <w:rFonts w:cs="Arial"/>
          </w:rPr>
          <w:t>2 litros</w:t>
        </w:r>
      </w:smartTag>
      <w:r w:rsidRPr="003A4B56">
        <w:rPr>
          <w:rFonts w:cs="Arial"/>
        </w:rPr>
        <w:t xml:space="preserve">, las ventas entre 1990 y 2011, aumentaron en alrededor de ocho veces, al pasar de </w:t>
      </w:r>
      <w:smartTag w:uri="urn:schemas-microsoft-com:office:smarttags" w:element="metricconverter">
        <w:smartTagPr>
          <w:attr w:name="ProductID" w:val="5,7 a"/>
        </w:smartTagPr>
        <w:r w:rsidRPr="003A4B56">
          <w:rPr>
            <w:rFonts w:cs="Arial"/>
          </w:rPr>
          <w:t>5,7 a</w:t>
        </w:r>
      </w:smartTag>
      <w:r w:rsidRPr="003A4B56">
        <w:rPr>
          <w:rFonts w:cs="Arial"/>
        </w:rPr>
        <w:t xml:space="preserve"> 49,5 millones de litros. Se debe señalar que entre los años 1996 y 2001 se constató una </w:t>
      </w:r>
      <w:r w:rsidR="00525535" w:rsidRPr="003A4B56">
        <w:rPr>
          <w:rFonts w:cs="Arial"/>
        </w:rPr>
        <w:t>estabilización</w:t>
      </w:r>
      <w:r w:rsidRPr="003A4B56">
        <w:rPr>
          <w:rFonts w:cs="Arial"/>
        </w:rPr>
        <w:t xml:space="preserve"> de los </w:t>
      </w:r>
      <w:r w:rsidRPr="003A4B56">
        <w:rPr>
          <w:rFonts w:cs="Arial"/>
        </w:rPr>
        <w:lastRenderedPageBreak/>
        <w:t>envíos, lo que sería atribuible al reemplazo de esta categoría por los con denominación de origen, que en ese período aumentaron sostenidamente (</w:t>
      </w:r>
      <w:r w:rsidRPr="003A4B56">
        <w:rPr>
          <w:rFonts w:cs="Arial"/>
        </w:rPr>
        <w:fldChar w:fldCharType="begin"/>
      </w:r>
      <w:r w:rsidRPr="003A4B56">
        <w:rPr>
          <w:rFonts w:cs="Arial"/>
        </w:rPr>
        <w:instrText xml:space="preserve"> REF _Ref336591197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5.58</w:t>
      </w:r>
      <w:r w:rsidRPr="003A4B56">
        <w:rPr>
          <w:rFonts w:cs="Arial"/>
        </w:rPr>
        <w:fldChar w:fldCharType="end"/>
      </w:r>
      <w:r w:rsidRPr="003A4B56">
        <w:rPr>
          <w:rFonts w:cs="Arial"/>
        </w:rPr>
        <w:t xml:space="preserve">). El principal demandante de este producto en 2011 fue Estados Unidos, seguido por Canadá, Costa Rica, Perú y Japón.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El arancel de internación que deben pagar los envases de hasta dos litros en los países de destino es igual al de los vinos con denominación de origen; la situación cambia en Canadá, donde la desgravación es total desde el año 2001 y en China, el arancel desde 20% disminuirá a 0% al año 10.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52" w:name="_Ref336591197"/>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58</w:t>
      </w:r>
      <w:r w:rsidR="00951FEC">
        <w:rPr>
          <w:b/>
        </w:rPr>
        <w:fldChar w:fldCharType="end"/>
      </w:r>
      <w:bookmarkEnd w:id="352"/>
    </w:p>
    <w:p w:rsidR="000A1474" w:rsidRPr="003A4B56" w:rsidRDefault="00254CE2" w:rsidP="00B51B51">
      <w:pPr>
        <w:widowControl w:val="0"/>
        <w:tabs>
          <w:tab w:val="left" w:pos="0"/>
          <w:tab w:val="left" w:pos="426"/>
          <w:tab w:val="left" w:pos="720"/>
          <w:tab w:val="left" w:pos="851"/>
          <w:tab w:val="left" w:pos="8789"/>
        </w:tabs>
        <w:ind w:right="49"/>
        <w:jc w:val="center"/>
        <w:rPr>
          <w:rFonts w:cs="Arial"/>
          <w:noProof/>
          <w:szCs w:val="22"/>
        </w:rPr>
      </w:pPr>
      <w:r>
        <w:rPr>
          <w:rFonts w:cs="Arial"/>
          <w:noProof/>
          <w:lang w:val="es-CL" w:eastAsia="es-CL"/>
        </w:rPr>
        <w:drawing>
          <wp:inline distT="0" distB="0" distL="0" distR="0">
            <wp:extent cx="4592955" cy="2179955"/>
            <wp:effectExtent l="0" t="0" r="0" b="0"/>
            <wp:docPr id="16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592955" cy="2179955"/>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Pr="003A4B56" w:rsidRDefault="000A1474" w:rsidP="00B51B51">
      <w:pPr>
        <w:widowControl w:val="0"/>
        <w:tabs>
          <w:tab w:val="left" w:pos="0"/>
          <w:tab w:val="left" w:pos="426"/>
          <w:tab w:val="left" w:pos="720"/>
        </w:tabs>
        <w:rPr>
          <w:rFonts w:cs="Arial"/>
        </w:rPr>
      </w:pPr>
    </w:p>
    <w:p w:rsidR="00D33176" w:rsidRDefault="000A1474" w:rsidP="00B51B51">
      <w:pPr>
        <w:widowControl w:val="0"/>
        <w:tabs>
          <w:tab w:val="left" w:pos="0"/>
          <w:tab w:val="left" w:pos="426"/>
          <w:tab w:val="left" w:pos="720"/>
        </w:tabs>
        <w:rPr>
          <w:rFonts w:cs="Arial"/>
        </w:rPr>
      </w:pPr>
      <w:r w:rsidRPr="003A4B56">
        <w:rPr>
          <w:rFonts w:cs="Arial"/>
        </w:rPr>
        <w:t xml:space="preserve">Por último, las exportaciones de los demás vinos entre 1990 y 1997 mostraron un crecimiento sostenido, pero en 1998 y 1999 esta tendencia cambió, registrando el último año algo más de 60 millones de litros; posteriormente estas transacciones se han mantenido fluctuantes, registrando los envíos más elevados en 2009 y 2010. En 2011 las ventas al </w:t>
      </w:r>
      <w:r w:rsidR="00525535" w:rsidRPr="003A4B56">
        <w:rPr>
          <w:rFonts w:cs="Arial"/>
        </w:rPr>
        <w:t>exterior</w:t>
      </w:r>
      <w:r w:rsidRPr="003A4B56">
        <w:rPr>
          <w:rFonts w:cs="Arial"/>
        </w:rPr>
        <w:t xml:space="preserve"> de los demás vinos sumaron más de 210 millones de litros equivalentes a US$245 millones FOB (</w:t>
      </w:r>
      <w:r w:rsidRPr="003A4B56">
        <w:rPr>
          <w:rFonts w:cs="Arial"/>
        </w:rPr>
        <w:fldChar w:fldCharType="begin"/>
      </w:r>
      <w:r w:rsidRPr="003A4B56">
        <w:rPr>
          <w:rFonts w:cs="Arial"/>
        </w:rPr>
        <w:instrText xml:space="preserve"> REF _Ref336591237 \h </w:instrText>
      </w:r>
      <w:r w:rsidRPr="003A4B56">
        <w:rPr>
          <w:rFonts w:cs="Arial"/>
        </w:rPr>
      </w:r>
      <w:r w:rsidRPr="003A4B56">
        <w:rPr>
          <w:rFonts w:cs="Arial"/>
        </w:rPr>
        <w:instrText xml:space="preserve"> \* MERGEFORMAT </w:instrText>
      </w:r>
      <w:r w:rsidRPr="003A4B56">
        <w:rPr>
          <w:rFonts w:cs="Arial"/>
        </w:rPr>
        <w:fldChar w:fldCharType="separate"/>
      </w:r>
      <w:r w:rsidR="00264070" w:rsidRPr="00264070">
        <w:t xml:space="preserve">Figura </w:t>
      </w:r>
      <w:r w:rsidR="00264070" w:rsidRPr="00264070">
        <w:rPr>
          <w:noProof/>
        </w:rPr>
        <w:t>5.59</w:t>
      </w:r>
      <w:r w:rsidRPr="003A4B56">
        <w:rPr>
          <w:rFonts w:cs="Arial"/>
        </w:rPr>
        <w:fldChar w:fldCharType="end"/>
      </w:r>
      <w:r w:rsidRPr="003A4B56">
        <w:rPr>
          <w:rFonts w:cs="Arial"/>
        </w:rPr>
        <w:t>).</w:t>
      </w:r>
    </w:p>
    <w:p w:rsidR="00D33176" w:rsidRPr="003A4B56" w:rsidRDefault="00D33176"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851"/>
          <w:tab w:val="left" w:pos="1418"/>
          <w:tab w:val="left" w:pos="8789"/>
        </w:tabs>
        <w:ind w:right="49"/>
        <w:jc w:val="center"/>
        <w:rPr>
          <w:rFonts w:cs="Arial"/>
          <w:b/>
          <w:bCs/>
          <w:noProof/>
          <w:spacing w:val="-3"/>
        </w:rPr>
      </w:pPr>
      <w:bookmarkStart w:id="353" w:name="_Ref336591237"/>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59</w:t>
      </w:r>
      <w:r w:rsidR="00951FEC">
        <w:rPr>
          <w:b/>
        </w:rPr>
        <w:fldChar w:fldCharType="end"/>
      </w:r>
      <w:bookmarkEnd w:id="353"/>
    </w:p>
    <w:p w:rsidR="000A1474" w:rsidRPr="003A4B56" w:rsidRDefault="00254CE2" w:rsidP="00B51B51">
      <w:pPr>
        <w:widowControl w:val="0"/>
        <w:tabs>
          <w:tab w:val="left" w:pos="0"/>
          <w:tab w:val="left" w:pos="426"/>
          <w:tab w:val="left" w:pos="720"/>
          <w:tab w:val="left" w:pos="1134"/>
          <w:tab w:val="left" w:pos="8789"/>
        </w:tabs>
        <w:ind w:right="49"/>
        <w:jc w:val="center"/>
        <w:rPr>
          <w:rFonts w:cs="Arial"/>
          <w:noProof/>
          <w:szCs w:val="22"/>
        </w:rPr>
      </w:pPr>
      <w:r>
        <w:rPr>
          <w:rFonts w:cs="Arial"/>
          <w:noProof/>
          <w:lang w:val="es-CL" w:eastAsia="es-CL"/>
        </w:rPr>
        <w:drawing>
          <wp:inline distT="0" distB="0" distL="0" distR="0">
            <wp:extent cx="4572000" cy="2200910"/>
            <wp:effectExtent l="0" t="0" r="0" b="8890"/>
            <wp:docPr id="16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72000" cy="2200910"/>
                    </a:xfrm>
                    <a:prstGeom prst="rect">
                      <a:avLst/>
                    </a:prstGeom>
                    <a:noFill/>
                    <a:ln>
                      <a:noFill/>
                    </a:ln>
                  </pic:spPr>
                </pic:pic>
              </a:graphicData>
            </a:graphic>
          </wp:inline>
        </w:drawing>
      </w:r>
    </w:p>
    <w:p w:rsidR="000A1474" w:rsidRPr="003A4B56" w:rsidRDefault="000A1474" w:rsidP="00B51B51">
      <w:pPr>
        <w:widowControl w:val="0"/>
        <w:tabs>
          <w:tab w:val="left" w:pos="426"/>
        </w:tabs>
        <w:jc w:val="center"/>
        <w:rPr>
          <w:rFonts w:cs="Arial"/>
          <w:sz w:val="20"/>
          <w:szCs w:val="20"/>
        </w:rPr>
      </w:pPr>
      <w:r w:rsidRPr="003A4B56">
        <w:rPr>
          <w:rFonts w:cs="Arial"/>
          <w:sz w:val="20"/>
          <w:szCs w:val="20"/>
        </w:rPr>
        <w:t>Fuente: Elaborado en base a antecedentes de ODEPA</w:t>
      </w:r>
    </w:p>
    <w:p w:rsidR="000A1474" w:rsidRDefault="000A1474" w:rsidP="00B51B51">
      <w:pPr>
        <w:widowControl w:val="0"/>
        <w:tabs>
          <w:tab w:val="left" w:pos="0"/>
          <w:tab w:val="left" w:pos="426"/>
          <w:tab w:val="left" w:pos="720"/>
        </w:tabs>
        <w:rPr>
          <w:rFonts w:cs="Arial"/>
        </w:rPr>
      </w:pPr>
    </w:p>
    <w:p w:rsidR="00B36772" w:rsidRPr="003A4B56" w:rsidRDefault="00B36772"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lastRenderedPageBreak/>
        <w:t xml:space="preserve">El principal demandante de este producto en 2011 fue Estados Unidos, que abarcó el 27,6% de las exportaciones; le siguen en orden de importancia el Alemania, Reino Unido, China, Dinamarca, Japón y Francia, entre otros. El nivel de aranceles y los programas de desgravación son iguales a los señalados en el caso anterior, salvo en Brasil que no otorgó cupos a este producto y en Perú el impuesto se igualará a cero el año 2016.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Cabe destacar que la mejor opción para Chile es la producción de vinos tintos de calidad, producto que se ha ganado un espacio en el mercado exterior y goza de un consumo creciente, pues existe una marcada tendencia por este tipo debido a la comprobación científica del efecto positivo de los flavonoides sobre la salud humana.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Por otra parte, en el ámbito nacional el consumo interno de vino experimentó un fuerte repunte, al pasar de </w:t>
      </w:r>
      <w:smartTag w:uri="urn:schemas-microsoft-com:office:smarttags" w:element="metricconverter">
        <w:smartTagPr>
          <w:attr w:name="ProductID" w:val="13,1 litros"/>
        </w:smartTagPr>
        <w:r w:rsidRPr="003A4B56">
          <w:rPr>
            <w:rFonts w:cs="Arial"/>
          </w:rPr>
          <w:t>13,1 litros</w:t>
        </w:r>
      </w:smartTag>
      <w:r w:rsidRPr="003A4B56">
        <w:rPr>
          <w:rFonts w:cs="Arial"/>
        </w:rPr>
        <w:t xml:space="preserve"> por habitante en </w:t>
      </w:r>
      <w:smartTag w:uri="urn:schemas-microsoft-com:office:smarttags" w:element="metricconverter">
        <w:smartTagPr>
          <w:attr w:name="ProductID" w:val="1997 a"/>
        </w:smartTagPr>
        <w:r w:rsidRPr="003A4B56">
          <w:rPr>
            <w:rFonts w:cs="Arial"/>
          </w:rPr>
          <w:t>1997 a</w:t>
        </w:r>
      </w:smartTag>
      <w:r w:rsidRPr="003A4B56">
        <w:rPr>
          <w:rFonts w:cs="Arial"/>
        </w:rPr>
        <w:t xml:space="preserve"> </w:t>
      </w:r>
      <w:smartTag w:uri="urn:schemas-microsoft-com:office:smarttags" w:element="metricconverter">
        <w:smartTagPr>
          <w:attr w:name="ProductID" w:val="22,3 litros"/>
        </w:smartTagPr>
        <w:r w:rsidRPr="003A4B56">
          <w:rPr>
            <w:rFonts w:cs="Arial"/>
          </w:rPr>
          <w:t>22,3 litros</w:t>
        </w:r>
      </w:smartTag>
      <w:r w:rsidRPr="003A4B56">
        <w:rPr>
          <w:rFonts w:cs="Arial"/>
        </w:rPr>
        <w:t xml:space="preserve"> por habitante en 2003. Esta evolución, junto a la experimentada por las exportaciones, confirman las expectativas favorables para este sector.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Dentro del mercado interno, si bien el consumo </w:t>
      </w:r>
      <w:r w:rsidR="00525535" w:rsidRPr="003A4B56">
        <w:rPr>
          <w:rFonts w:cs="Arial"/>
        </w:rPr>
        <w:t>per cápita</w:t>
      </w:r>
      <w:r w:rsidRPr="003A4B56">
        <w:rPr>
          <w:rFonts w:cs="Arial"/>
        </w:rPr>
        <w:t xml:space="preserve"> ha r</w:t>
      </w:r>
      <w:r w:rsidR="00525535">
        <w:rPr>
          <w:rFonts w:cs="Arial"/>
        </w:rPr>
        <w:t>epuntado en los últimos años, aú</w:t>
      </w:r>
      <w:r w:rsidRPr="003A4B56">
        <w:rPr>
          <w:rFonts w:cs="Arial"/>
        </w:rPr>
        <w:t xml:space="preserve">n es un nicho potencial de colocación. En efecto, si se compara el consumo nacional con el registrado en países europeos como Francia, Italia y Portugal, donde este parámetro asciende a más de </w:t>
      </w:r>
      <w:smartTag w:uri="urn:schemas-microsoft-com:office:smarttags" w:element="metricconverter">
        <w:smartTagPr>
          <w:attr w:name="ProductID" w:val="58 litros"/>
        </w:smartTagPr>
        <w:r w:rsidRPr="003A4B56">
          <w:rPr>
            <w:rFonts w:cs="Arial"/>
          </w:rPr>
          <w:t>58 litros</w:t>
        </w:r>
      </w:smartTag>
      <w:r w:rsidRPr="003A4B56">
        <w:rPr>
          <w:rFonts w:cs="Arial"/>
        </w:rPr>
        <w:t xml:space="preserve"> por habitante año, se constata que existe un amplio margen que probablemente debería disminuir en los próximos años, toda vez que se promueva el consumo, basándose en las propiedades benéficas que tiene el vino sobre la salud.</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En este rubro el principal producto transado en el mercado nacional, en términos de volumen, es vino. Pero también existen transacciones de uva, en particular de variedades finas, a las que las grandes empresas aplican sus propias técnicas de proceso.</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Agentes vinculados al sector están </w:t>
      </w:r>
      <w:r w:rsidR="00525535" w:rsidRPr="003A4B56">
        <w:rPr>
          <w:rFonts w:cs="Arial"/>
        </w:rPr>
        <w:t>conscientes</w:t>
      </w:r>
      <w:r w:rsidRPr="003A4B56">
        <w:rPr>
          <w:rFonts w:cs="Arial"/>
        </w:rPr>
        <w:t xml:space="preserve"> del aumento que experimentará la oferta nacional durante los próximos años, por lo cual se están aplicando estrictas medidas técnico productivas en el manejo de los viñedos, con el objeto de controlar el rendimiento en beneficio de la calidad. Lo anterior debería contribuir, además, a ordenar las entregas y facilitar la fluidez de la comercialización.</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En este ámbito, se debe señalar que los mercados que Chile actualmente abastece presentan potencial. En efecto, Europa es un gran productor y consumidor de vinos, concentra a demandantes estables y exigentes. Asia, es un nicho que está en vías de expansión, cuenta con numerosa población, aunque con influencia musulmana que rechaza el consumo de alcohol.  </w:t>
      </w:r>
    </w:p>
    <w:p w:rsidR="000A1474" w:rsidRPr="00993C21" w:rsidRDefault="000A1474" w:rsidP="00B51B51">
      <w:pPr>
        <w:widowControl w:val="0"/>
        <w:tabs>
          <w:tab w:val="left" w:pos="0"/>
          <w:tab w:val="left" w:pos="426"/>
          <w:tab w:val="left" w:pos="720"/>
        </w:tabs>
        <w:rPr>
          <w:rFonts w:cs="Arial"/>
          <w:sz w:val="26"/>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Estados Unidos, por su parte, tiene un potencial de producción interno  muy alto y la oferta de vinos varietales ha aumentado considerablemente, aunque es preciso indicar que alrededor del 50% de su población nunca ha consumido vino, porcentaje que debiera descender en los próximos años mediante la implementación de campañas de marketing, proceso que favorecería los envíos chilenos. En este sentido, es interesante indicar que actualmente el consumo percápita de vino en dicho país no supera los </w:t>
      </w:r>
      <w:smartTag w:uri="urn:schemas-microsoft-com:office:smarttags" w:element="metricconverter">
        <w:smartTagPr>
          <w:attr w:name="ProductID" w:val="7 litros"/>
        </w:smartTagPr>
        <w:r w:rsidRPr="003A4B56">
          <w:rPr>
            <w:rFonts w:cs="Arial"/>
          </w:rPr>
          <w:t>7 litros</w:t>
        </w:r>
      </w:smartTag>
      <w:r w:rsidRPr="003A4B56">
        <w:rPr>
          <w:rFonts w:cs="Arial"/>
        </w:rPr>
        <w:t xml:space="preserve">, monto significativamente inferior a los registrados en Europa y Chile, con 58 y </w:t>
      </w:r>
      <w:smartTag w:uri="urn:schemas-microsoft-com:office:smarttags" w:element="metricconverter">
        <w:smartTagPr>
          <w:attr w:name="ProductID" w:val="22 litros"/>
        </w:smartTagPr>
        <w:r w:rsidRPr="003A4B56">
          <w:rPr>
            <w:rFonts w:cs="Arial"/>
          </w:rPr>
          <w:t>22 litros</w:t>
        </w:r>
      </w:smartTag>
      <w:r w:rsidRPr="003A4B56">
        <w:rPr>
          <w:rFonts w:cs="Arial"/>
        </w:rPr>
        <w:t>, respectivamente.</w:t>
      </w:r>
    </w:p>
    <w:p w:rsidR="000A1474" w:rsidRPr="00993C21" w:rsidRDefault="000A1474" w:rsidP="00B51B51">
      <w:pPr>
        <w:widowControl w:val="0"/>
        <w:tabs>
          <w:tab w:val="left" w:pos="0"/>
          <w:tab w:val="left" w:pos="426"/>
          <w:tab w:val="left" w:pos="720"/>
        </w:tabs>
        <w:rPr>
          <w:rFonts w:cs="Arial"/>
          <w:sz w:val="26"/>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De esta forma, el programa anual que tiene Chile para la promoción del vino, el cual incluye su participación en las principales ferias vitivinícolas del mundo y viajes comerciales, es una </w:t>
      </w:r>
      <w:r w:rsidRPr="003A4B56">
        <w:rPr>
          <w:rFonts w:cs="Arial"/>
        </w:rPr>
        <w:lastRenderedPageBreak/>
        <w:t xml:space="preserve">estrategia básica para posicionar el producto nacional en los mercados ya consolidades así como también en nuevos puntos de colocación . </w:t>
      </w:r>
    </w:p>
    <w:p w:rsidR="000A1474" w:rsidRPr="003A4B56" w:rsidRDefault="000A1474" w:rsidP="00B51B51">
      <w:pPr>
        <w:widowControl w:val="0"/>
        <w:tabs>
          <w:tab w:val="left" w:pos="0"/>
          <w:tab w:val="left" w:pos="426"/>
          <w:tab w:val="left" w:pos="720"/>
        </w:tabs>
        <w:rPr>
          <w:rFonts w:cs="Arial"/>
        </w:rPr>
      </w:pPr>
    </w:p>
    <w:p w:rsidR="000A1474" w:rsidRPr="003A4B56" w:rsidRDefault="000A1474" w:rsidP="00B51B51">
      <w:pPr>
        <w:widowControl w:val="0"/>
        <w:tabs>
          <w:tab w:val="left" w:pos="0"/>
          <w:tab w:val="left" w:pos="426"/>
          <w:tab w:val="left" w:pos="720"/>
        </w:tabs>
        <w:rPr>
          <w:rFonts w:cs="Arial"/>
        </w:rPr>
      </w:pPr>
      <w:r w:rsidRPr="003A4B56">
        <w:rPr>
          <w:rFonts w:cs="Arial"/>
        </w:rPr>
        <w:t xml:space="preserve">No obstante lo anterior, el fuerte aumento de la producción de vinos finos y la creciente competencia internacional con países como Australia, Nueva Zelanda, Sudáfrica, Argentina y otros, recomienda ser muy conservadores en la promoción de nuevas plantaciones. Sólo la producción de vinos de alta calidad </w:t>
      </w:r>
      <w:r w:rsidR="00525535" w:rsidRPr="003A4B56">
        <w:rPr>
          <w:rFonts w:cs="Arial"/>
        </w:rPr>
        <w:t>podrá</w:t>
      </w:r>
      <w:r w:rsidRPr="003A4B56">
        <w:rPr>
          <w:rFonts w:cs="Arial"/>
        </w:rPr>
        <w:t xml:space="preserve"> competir con éxito en el mercado internacional.</w:t>
      </w:r>
    </w:p>
    <w:p w:rsidR="000A1474" w:rsidRPr="003A4B56" w:rsidRDefault="000A1474" w:rsidP="00B51B51">
      <w:pPr>
        <w:widowControl w:val="0"/>
        <w:tabs>
          <w:tab w:val="left" w:pos="0"/>
          <w:tab w:val="left" w:pos="426"/>
          <w:tab w:val="left" w:pos="720"/>
        </w:tabs>
        <w:rPr>
          <w:rFonts w:cs="Arial"/>
        </w:rPr>
      </w:pPr>
    </w:p>
    <w:p w:rsidR="000A1474" w:rsidRPr="003A4B56" w:rsidRDefault="00BD249D" w:rsidP="00B51B51">
      <w:pPr>
        <w:widowControl w:val="0"/>
        <w:tabs>
          <w:tab w:val="left" w:pos="0"/>
          <w:tab w:val="left" w:pos="426"/>
          <w:tab w:val="left" w:pos="720"/>
        </w:tabs>
        <w:rPr>
          <w:rFonts w:cs="Arial"/>
        </w:rPr>
      </w:pPr>
      <w:r w:rsidRPr="003A4B56">
        <w:rPr>
          <w:rFonts w:cs="Arial"/>
        </w:rPr>
        <w:t>ii)</w:t>
      </w:r>
      <w:r w:rsidRPr="003A4B56">
        <w:rPr>
          <w:rFonts w:cs="Arial"/>
        </w:rPr>
        <w:tab/>
      </w:r>
      <w:r w:rsidR="000A1474" w:rsidRPr="003A4B56">
        <w:rPr>
          <w:rFonts w:cs="Arial"/>
        </w:rPr>
        <w:t xml:space="preserve">Conclusiones </w:t>
      </w:r>
    </w:p>
    <w:p w:rsidR="000A1474" w:rsidRPr="003A4B56" w:rsidRDefault="000A1474" w:rsidP="00B51B51">
      <w:pPr>
        <w:widowControl w:val="0"/>
        <w:tabs>
          <w:tab w:val="left" w:pos="1418"/>
        </w:tabs>
        <w:rPr>
          <w:rFonts w:cs="Arial"/>
          <w:noProof/>
        </w:rPr>
      </w:pPr>
    </w:p>
    <w:p w:rsidR="000A1474" w:rsidRPr="003A4B56" w:rsidRDefault="000A1474" w:rsidP="00B51B51">
      <w:pPr>
        <w:widowControl w:val="0"/>
        <w:rPr>
          <w:rFonts w:cs="Arial"/>
        </w:rPr>
      </w:pPr>
      <w:r w:rsidRPr="003A4B56">
        <w:rPr>
          <w:rFonts w:cs="Arial"/>
        </w:rPr>
        <w:t>Sin lugar a dudas que los distintos acuerdos comerciales suscritos por Chile han sido beneficiosos para el sector agrícola, ya que se espera un crecimiento de las exportaciones hacia los distintos nichos comerciales. No obstante, los productos que sustituyen importaciones se han visto afectados y aquellos afectos a Banda de Precios lo harán en el corto a mediano plazo.</w:t>
      </w:r>
    </w:p>
    <w:p w:rsidR="000A1474" w:rsidRPr="003A4B56" w:rsidRDefault="000A1474" w:rsidP="00B51B51">
      <w:pPr>
        <w:widowControl w:val="0"/>
        <w:ind w:firstLine="708"/>
        <w:rPr>
          <w:rFonts w:cs="Arial"/>
        </w:rPr>
      </w:pPr>
    </w:p>
    <w:p w:rsidR="000A1474" w:rsidRPr="003A4B56" w:rsidRDefault="000A1474" w:rsidP="00B51B51">
      <w:pPr>
        <w:widowControl w:val="0"/>
        <w:rPr>
          <w:rFonts w:cs="Arial"/>
        </w:rPr>
      </w:pPr>
      <w:r w:rsidRPr="003A4B56">
        <w:rPr>
          <w:rFonts w:cs="Arial"/>
        </w:rPr>
        <w:t xml:space="preserve">Se debe señalar que países como Estados Unidos y los que conforman </w:t>
      </w:r>
      <w:smartTag w:uri="urn:schemas-microsoft-com:office:smarttags" w:element="PersonName">
        <w:smartTagPr>
          <w:attr w:name="ProductID" w:val="la Unión Europea"/>
        </w:smartTagPr>
        <w:r w:rsidRPr="003A4B56">
          <w:rPr>
            <w:rFonts w:cs="Arial"/>
          </w:rPr>
          <w:t>la Unión Europea</w:t>
        </w:r>
      </w:smartTag>
      <w:r w:rsidRPr="003A4B56">
        <w:rPr>
          <w:rFonts w:cs="Arial"/>
        </w:rPr>
        <w:t xml:space="preserve"> subsidian la producción agrícola y las exportaciones, especialmente en rubros como cereales, azúcar y lácteos. Lo anterior se traduce en una reducción artificial de los precios internacionales y en una disminución de la competitividad de los países que no subsidian su agricultura, como es el caso de Chile. </w:t>
      </w:r>
    </w:p>
    <w:p w:rsidR="000A1474" w:rsidRPr="003A4B56" w:rsidRDefault="000A1474" w:rsidP="00B51B51">
      <w:pPr>
        <w:widowControl w:val="0"/>
        <w:rPr>
          <w:rFonts w:cs="Arial"/>
          <w:noProof/>
        </w:rPr>
      </w:pPr>
    </w:p>
    <w:p w:rsidR="000A1474" w:rsidRPr="003A4B56" w:rsidRDefault="000A1474" w:rsidP="00B51B51">
      <w:pPr>
        <w:widowControl w:val="0"/>
        <w:rPr>
          <w:rFonts w:cs="Arial"/>
        </w:rPr>
      </w:pPr>
      <w:r w:rsidRPr="003A4B56">
        <w:rPr>
          <w:rFonts w:cs="Arial"/>
        </w:rPr>
        <w:t xml:space="preserve">No obstante, como consecuencia de la firma de los TLC y de las reuniones ministeriales sostenidas en diversos foros como APEC y </w:t>
      </w:r>
      <w:smartTag w:uri="urn:schemas-microsoft-com:office:smarttags" w:element="PersonName">
        <w:smartTagPr>
          <w:attr w:name="ProductID" w:val="la Ronda"/>
        </w:smartTagPr>
        <w:r w:rsidRPr="003A4B56">
          <w:rPr>
            <w:rFonts w:cs="Arial"/>
          </w:rPr>
          <w:t>la Ronda</w:t>
        </w:r>
      </w:smartTag>
      <w:r w:rsidRPr="003A4B56">
        <w:rPr>
          <w:rFonts w:cs="Arial"/>
        </w:rPr>
        <w:t xml:space="preserve"> de Doha, se ha instado a la eliminación de los subsidios agrícolas, situación que en el mediano plazo se materializará, por lo cual no es relevante analizar el efecto de los subsidios en los productos importados por Chile desde esos orígenes.  </w:t>
      </w:r>
    </w:p>
    <w:p w:rsidR="000A1474" w:rsidRPr="003A4B56" w:rsidRDefault="000A1474" w:rsidP="00B51B51">
      <w:pPr>
        <w:widowControl w:val="0"/>
        <w:ind w:firstLine="708"/>
        <w:rPr>
          <w:rFonts w:cs="Arial"/>
        </w:rPr>
      </w:pPr>
    </w:p>
    <w:p w:rsidR="000A1474" w:rsidRDefault="000A1474" w:rsidP="00B51B51">
      <w:pPr>
        <w:widowControl w:val="0"/>
        <w:rPr>
          <w:rFonts w:cs="Arial"/>
        </w:rPr>
      </w:pPr>
      <w:r w:rsidRPr="003A4B56">
        <w:rPr>
          <w:rFonts w:cs="Arial"/>
        </w:rPr>
        <w:t xml:space="preserve">Según lo expuesto en este acápite, se concluye que las exportaciones de vino, aceite de oliva, frutas frescas, secas y congeladas, como también hortalizas frescas y congeladas, debieran continuar con la tendencia creciente constatada actualmente, lo que se fundamenta en que con motivo de los acuerdos comerciales, éstas podrán competir en mejor pie en el mercado internacional, debido a la rebaja de aranceles de internación. </w:t>
      </w:r>
    </w:p>
    <w:p w:rsidR="0074394A" w:rsidRPr="003A4B56" w:rsidRDefault="0074394A" w:rsidP="00B51B51">
      <w:pPr>
        <w:widowControl w:val="0"/>
        <w:rPr>
          <w:rFonts w:cs="Arial"/>
        </w:rPr>
      </w:pPr>
    </w:p>
    <w:p w:rsidR="000A1474" w:rsidRPr="003A4B56" w:rsidRDefault="000A1474" w:rsidP="00B51B51">
      <w:pPr>
        <w:widowControl w:val="0"/>
      </w:pPr>
      <w:r w:rsidRPr="003A4B56">
        <w:t xml:space="preserve">En </w:t>
      </w:r>
      <w:smartTag w:uri="urn:schemas-microsoft-com:office:smarttags" w:element="PersonName">
        <w:smartTagPr>
          <w:attr w:name="ProductID" w:val="la ￼￼￼￼￼￼￼￼￼￼￼￼￼￼￼￼￼￼￼￼￼￼￼￼￼￼￼￼￼￼￼￼￼￼￼￼￼￼￼￼￼Tabla"/>
        </w:smartTagPr>
        <w:r w:rsidRPr="003A4B56">
          <w:t>la</w:t>
        </w:r>
        <w:r w:rsidR="0007465B">
          <w:t xml:space="preserve"> Tabla</w:t>
        </w:r>
      </w:smartTag>
      <w:r w:rsidR="0007465B">
        <w:t xml:space="preserve"> 4.75 se </w:t>
      </w:r>
      <w:r w:rsidRPr="003A4B56">
        <w:t>presentan las perspectivas para cada rubro analizado en el mediano a largo plazo, es decir, cuando los Tratados de Libre Comercio actualmente vigentes concluyan su desgravación arancelaria. El signo “+” corresponde a perspectivas favorables, el signo “-“ a desfavorables. El signo “</w:t>
      </w:r>
      <w:smartTag w:uri="urn:schemas-microsoft-com:office:smarttags" w:element="metricconverter">
        <w:smartTagPr>
          <w:attr w:name="ProductID" w:val="0”"/>
        </w:smartTagPr>
        <w:r w:rsidRPr="003A4B56">
          <w:t>0”</w:t>
        </w:r>
      </w:smartTag>
      <w:r w:rsidRPr="003A4B56">
        <w:t>, representa un escenario neutral, por cuanto se trata de productos como papas preparadas y carne bovina en que Chile tradicionalmente había sido un importador neto, pero con el crecimiento de la producción y adopción de nuevas tecnologías nuestro país se encuentra incursionando en las exportaciones hacia otros mercados, lo que contribuiría a mantener estables los precios en el mercado interno.</w:t>
      </w:r>
    </w:p>
    <w:p w:rsidR="000A1474" w:rsidRPr="003A4B56" w:rsidRDefault="000A1474" w:rsidP="00B51B51">
      <w:pPr>
        <w:widowControl w:val="0"/>
        <w:ind w:firstLine="708"/>
        <w:rPr>
          <w:rFonts w:cs="Arial"/>
        </w:rPr>
      </w:pPr>
    </w:p>
    <w:p w:rsidR="000A1474" w:rsidRPr="003A4B56" w:rsidRDefault="0074394A" w:rsidP="00B51B51">
      <w:pPr>
        <w:widowControl w:val="0"/>
        <w:tabs>
          <w:tab w:val="left" w:pos="0"/>
          <w:tab w:val="left" w:pos="426"/>
          <w:tab w:val="left" w:pos="851"/>
          <w:tab w:val="left" w:pos="1418"/>
          <w:tab w:val="left" w:pos="8789"/>
        </w:tabs>
        <w:ind w:right="49"/>
        <w:jc w:val="center"/>
        <w:rPr>
          <w:rFonts w:cs="Arial"/>
          <w:b/>
          <w:bCs/>
          <w:noProof/>
        </w:rPr>
      </w:pPr>
      <w:bookmarkStart w:id="354" w:name="_Ref336591300"/>
      <w:r>
        <w:rPr>
          <w:b/>
        </w:rPr>
        <w:br w:type="page"/>
      </w:r>
      <w:r w:rsidR="000A1474"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76</w:t>
      </w:r>
      <w:r w:rsidR="007F3102">
        <w:rPr>
          <w:b/>
        </w:rPr>
        <w:fldChar w:fldCharType="end"/>
      </w:r>
      <w:bookmarkEnd w:id="354"/>
      <w:r w:rsidR="000A1474" w:rsidRPr="003A4B56">
        <w:rPr>
          <w:rFonts w:cs="Arial"/>
          <w:b/>
          <w:bCs/>
          <w:noProof/>
        </w:rPr>
        <w:t xml:space="preserve"> Perspectivas en el Mediano a Largo Plazo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77"/>
        <w:gridCol w:w="2126"/>
      </w:tblGrid>
      <w:tr w:rsidR="000A1474" w:rsidRPr="003A4B56">
        <w:trPr>
          <w:jc w:val="center"/>
        </w:trPr>
        <w:tc>
          <w:tcPr>
            <w:tcW w:w="2977" w:type="dxa"/>
            <w:tcBorders>
              <w:top w:val="single" w:sz="4" w:space="0" w:color="auto"/>
              <w:left w:val="single" w:sz="4" w:space="0" w:color="auto"/>
              <w:bottom w:val="single" w:sz="4" w:space="0" w:color="auto"/>
              <w:right w:val="single" w:sz="4" w:space="0" w:color="auto"/>
            </w:tcBorders>
          </w:tcPr>
          <w:p w:rsidR="000A1474" w:rsidRPr="003A4B56" w:rsidRDefault="000A1474" w:rsidP="00B51B51">
            <w:pPr>
              <w:widowControl w:val="0"/>
              <w:jc w:val="center"/>
              <w:rPr>
                <w:b/>
                <w:noProof/>
                <w:sz w:val="18"/>
                <w:szCs w:val="18"/>
              </w:rPr>
            </w:pPr>
            <w:r w:rsidRPr="003A4B56">
              <w:rPr>
                <w:b/>
                <w:noProof/>
                <w:sz w:val="18"/>
                <w:szCs w:val="18"/>
              </w:rPr>
              <w:t>Producto</w:t>
            </w:r>
          </w:p>
        </w:tc>
        <w:tc>
          <w:tcPr>
            <w:tcW w:w="2126" w:type="dxa"/>
            <w:tcBorders>
              <w:top w:val="single" w:sz="4" w:space="0" w:color="auto"/>
              <w:left w:val="single" w:sz="4" w:space="0" w:color="auto"/>
              <w:bottom w:val="single" w:sz="4" w:space="0" w:color="auto"/>
              <w:right w:val="single" w:sz="4" w:space="0" w:color="auto"/>
            </w:tcBorders>
          </w:tcPr>
          <w:p w:rsidR="000A1474" w:rsidRPr="003A4B56" w:rsidRDefault="000A1474" w:rsidP="00B51B51">
            <w:pPr>
              <w:widowControl w:val="0"/>
              <w:jc w:val="center"/>
              <w:rPr>
                <w:b/>
                <w:noProof/>
                <w:sz w:val="18"/>
                <w:szCs w:val="18"/>
              </w:rPr>
            </w:pPr>
            <w:r w:rsidRPr="003A4B56">
              <w:rPr>
                <w:b/>
                <w:noProof/>
                <w:sz w:val="18"/>
                <w:szCs w:val="18"/>
              </w:rPr>
              <w:t>Perspectiva</w:t>
            </w:r>
          </w:p>
        </w:tc>
      </w:tr>
      <w:tr w:rsidR="000A1474" w:rsidRPr="003A4B56">
        <w:trPr>
          <w:jc w:val="center"/>
        </w:trPr>
        <w:tc>
          <w:tcPr>
            <w:tcW w:w="2977" w:type="dxa"/>
            <w:tcBorders>
              <w:top w:val="single" w:sz="4" w:space="0" w:color="auto"/>
              <w:left w:val="single" w:sz="4" w:space="0" w:color="auto"/>
              <w:bottom w:val="single" w:sz="4" w:space="0" w:color="auto"/>
              <w:right w:val="single" w:sz="4" w:space="0" w:color="auto"/>
            </w:tcBorders>
          </w:tcPr>
          <w:p w:rsidR="000A1474" w:rsidRPr="003A4B56" w:rsidRDefault="000A1474" w:rsidP="00B51B51">
            <w:pPr>
              <w:widowControl w:val="0"/>
              <w:jc w:val="center"/>
              <w:rPr>
                <w:rFonts w:cs="Arial"/>
                <w:noProof/>
                <w:sz w:val="18"/>
                <w:szCs w:val="18"/>
              </w:rPr>
            </w:pPr>
            <w:r w:rsidRPr="003A4B56">
              <w:rPr>
                <w:rFonts w:cs="Arial"/>
                <w:noProof/>
                <w:sz w:val="18"/>
                <w:szCs w:val="18"/>
              </w:rPr>
              <w:t>Maíz Grano</w:t>
            </w:r>
          </w:p>
          <w:p w:rsidR="000A1474" w:rsidRPr="003A4B56" w:rsidRDefault="000A1474" w:rsidP="00B51B51">
            <w:pPr>
              <w:widowControl w:val="0"/>
              <w:jc w:val="center"/>
              <w:rPr>
                <w:rFonts w:cs="Arial"/>
                <w:noProof/>
                <w:sz w:val="18"/>
                <w:szCs w:val="18"/>
              </w:rPr>
            </w:pPr>
            <w:r w:rsidRPr="003A4B56">
              <w:rPr>
                <w:rFonts w:cs="Arial"/>
                <w:noProof/>
                <w:sz w:val="18"/>
                <w:szCs w:val="18"/>
              </w:rPr>
              <w:t>Papa Semilla</w:t>
            </w:r>
          </w:p>
          <w:p w:rsidR="000A1474" w:rsidRPr="003A4B56" w:rsidRDefault="000A1474" w:rsidP="00B51B51">
            <w:pPr>
              <w:widowControl w:val="0"/>
              <w:jc w:val="center"/>
              <w:rPr>
                <w:rFonts w:cs="Arial"/>
                <w:noProof/>
                <w:sz w:val="18"/>
                <w:szCs w:val="18"/>
              </w:rPr>
            </w:pPr>
            <w:r w:rsidRPr="003A4B56">
              <w:rPr>
                <w:rFonts w:cs="Arial"/>
                <w:noProof/>
                <w:sz w:val="18"/>
                <w:szCs w:val="18"/>
              </w:rPr>
              <w:t>Papa Consumo</w:t>
            </w:r>
          </w:p>
          <w:p w:rsidR="000A1474" w:rsidRPr="003A4B56" w:rsidRDefault="000A1474" w:rsidP="00B51B51">
            <w:pPr>
              <w:widowControl w:val="0"/>
              <w:jc w:val="center"/>
              <w:rPr>
                <w:rFonts w:cs="Arial"/>
                <w:noProof/>
                <w:sz w:val="18"/>
                <w:szCs w:val="18"/>
              </w:rPr>
            </w:pPr>
            <w:r w:rsidRPr="003A4B56">
              <w:rPr>
                <w:rFonts w:cs="Arial"/>
                <w:noProof/>
                <w:sz w:val="18"/>
                <w:szCs w:val="18"/>
              </w:rPr>
              <w:t>Papas Preparadas</w:t>
            </w:r>
          </w:p>
          <w:p w:rsidR="000A1474" w:rsidRPr="003A4B56" w:rsidRDefault="000A1474" w:rsidP="00B51B51">
            <w:pPr>
              <w:widowControl w:val="0"/>
              <w:jc w:val="center"/>
              <w:rPr>
                <w:rFonts w:cs="Arial"/>
                <w:noProof/>
                <w:sz w:val="18"/>
                <w:szCs w:val="18"/>
              </w:rPr>
            </w:pPr>
            <w:r w:rsidRPr="003A4B56">
              <w:rPr>
                <w:rFonts w:cs="Arial"/>
                <w:noProof/>
                <w:sz w:val="18"/>
                <w:szCs w:val="18"/>
              </w:rPr>
              <w:t>Tabaco</w:t>
            </w:r>
          </w:p>
          <w:p w:rsidR="000A1474" w:rsidRPr="003A4B56" w:rsidRDefault="000A1474" w:rsidP="00B51B51">
            <w:pPr>
              <w:widowControl w:val="0"/>
              <w:jc w:val="center"/>
              <w:rPr>
                <w:rFonts w:cs="Arial"/>
                <w:noProof/>
                <w:sz w:val="18"/>
                <w:szCs w:val="18"/>
              </w:rPr>
            </w:pPr>
            <w:r w:rsidRPr="003A4B56">
              <w:rPr>
                <w:rFonts w:cs="Arial"/>
                <w:noProof/>
                <w:sz w:val="18"/>
                <w:szCs w:val="18"/>
              </w:rPr>
              <w:t>Trigo</w:t>
            </w:r>
          </w:p>
          <w:p w:rsidR="000A1474" w:rsidRPr="003A4B56" w:rsidRDefault="000A1474" w:rsidP="00B51B51">
            <w:pPr>
              <w:widowControl w:val="0"/>
              <w:jc w:val="center"/>
              <w:rPr>
                <w:rFonts w:cs="Arial"/>
                <w:noProof/>
                <w:sz w:val="18"/>
                <w:szCs w:val="18"/>
              </w:rPr>
            </w:pPr>
            <w:r w:rsidRPr="003A4B56">
              <w:rPr>
                <w:rFonts w:cs="Arial"/>
                <w:noProof/>
                <w:sz w:val="18"/>
                <w:szCs w:val="18"/>
              </w:rPr>
              <w:t>Carne Bovina</w:t>
            </w:r>
          </w:p>
          <w:p w:rsidR="000A1474" w:rsidRPr="003A4B56" w:rsidRDefault="000A1474" w:rsidP="00B51B51">
            <w:pPr>
              <w:widowControl w:val="0"/>
              <w:jc w:val="center"/>
              <w:rPr>
                <w:rFonts w:cs="Arial"/>
                <w:noProof/>
                <w:sz w:val="18"/>
                <w:szCs w:val="18"/>
              </w:rPr>
            </w:pPr>
            <w:r w:rsidRPr="003A4B56">
              <w:rPr>
                <w:rFonts w:cs="Arial"/>
                <w:noProof/>
                <w:sz w:val="18"/>
                <w:szCs w:val="18"/>
              </w:rPr>
              <w:t>Ajo</w:t>
            </w:r>
          </w:p>
          <w:p w:rsidR="000A1474" w:rsidRPr="003A4B56" w:rsidRDefault="000A1474" w:rsidP="00B51B51">
            <w:pPr>
              <w:widowControl w:val="0"/>
              <w:jc w:val="center"/>
              <w:rPr>
                <w:rFonts w:cs="Arial"/>
                <w:noProof/>
                <w:sz w:val="18"/>
                <w:szCs w:val="18"/>
              </w:rPr>
            </w:pPr>
            <w:r w:rsidRPr="003A4B56">
              <w:rPr>
                <w:rFonts w:cs="Arial"/>
                <w:noProof/>
                <w:sz w:val="18"/>
                <w:szCs w:val="18"/>
              </w:rPr>
              <w:t>Cebolla</w:t>
            </w:r>
          </w:p>
          <w:p w:rsidR="000A1474" w:rsidRPr="003A4B56" w:rsidRDefault="000A1474" w:rsidP="00B51B51">
            <w:pPr>
              <w:widowControl w:val="0"/>
              <w:jc w:val="center"/>
              <w:rPr>
                <w:rFonts w:cs="Arial"/>
                <w:noProof/>
                <w:sz w:val="18"/>
                <w:szCs w:val="18"/>
              </w:rPr>
            </w:pPr>
            <w:r w:rsidRPr="003A4B56">
              <w:rPr>
                <w:rFonts w:cs="Arial"/>
                <w:noProof/>
                <w:sz w:val="18"/>
                <w:szCs w:val="18"/>
              </w:rPr>
              <w:t>Choclo Congelado</w:t>
            </w:r>
          </w:p>
          <w:p w:rsidR="000A1474" w:rsidRPr="003A4B56" w:rsidRDefault="000A1474" w:rsidP="00B51B51">
            <w:pPr>
              <w:widowControl w:val="0"/>
              <w:jc w:val="center"/>
              <w:rPr>
                <w:rFonts w:cs="Arial"/>
                <w:noProof/>
                <w:sz w:val="18"/>
                <w:szCs w:val="18"/>
              </w:rPr>
            </w:pPr>
            <w:r w:rsidRPr="003A4B56">
              <w:rPr>
                <w:rFonts w:cs="Arial"/>
                <w:noProof/>
                <w:sz w:val="18"/>
                <w:szCs w:val="18"/>
              </w:rPr>
              <w:t>Tomate</w:t>
            </w:r>
          </w:p>
          <w:p w:rsidR="000A1474" w:rsidRPr="003A4B56" w:rsidRDefault="000A1474" w:rsidP="00B51B51">
            <w:pPr>
              <w:widowControl w:val="0"/>
              <w:jc w:val="center"/>
              <w:rPr>
                <w:rFonts w:cs="Arial"/>
                <w:noProof/>
                <w:sz w:val="18"/>
                <w:szCs w:val="18"/>
              </w:rPr>
            </w:pPr>
            <w:r w:rsidRPr="003A4B56">
              <w:rPr>
                <w:rFonts w:cs="Arial"/>
                <w:noProof/>
                <w:sz w:val="18"/>
                <w:szCs w:val="18"/>
              </w:rPr>
              <w:t>Aceitunas Preparadas</w:t>
            </w:r>
          </w:p>
          <w:p w:rsidR="000A1474" w:rsidRPr="003A4B56" w:rsidRDefault="000A1474" w:rsidP="00B51B51">
            <w:pPr>
              <w:widowControl w:val="0"/>
              <w:jc w:val="center"/>
              <w:rPr>
                <w:rFonts w:cs="Arial"/>
                <w:noProof/>
                <w:sz w:val="18"/>
                <w:szCs w:val="18"/>
              </w:rPr>
            </w:pPr>
            <w:r w:rsidRPr="003A4B56">
              <w:rPr>
                <w:rFonts w:cs="Arial"/>
                <w:noProof/>
                <w:sz w:val="18"/>
                <w:szCs w:val="18"/>
              </w:rPr>
              <w:t>Aceite de Oliva</w:t>
            </w:r>
          </w:p>
          <w:p w:rsidR="000A1474" w:rsidRPr="003A4B56" w:rsidRDefault="000A1474" w:rsidP="00B51B51">
            <w:pPr>
              <w:widowControl w:val="0"/>
              <w:jc w:val="center"/>
              <w:rPr>
                <w:rFonts w:cs="Arial"/>
                <w:noProof/>
                <w:sz w:val="18"/>
                <w:szCs w:val="18"/>
              </w:rPr>
            </w:pPr>
            <w:r w:rsidRPr="003A4B56">
              <w:rPr>
                <w:rFonts w:cs="Arial"/>
                <w:noProof/>
                <w:sz w:val="18"/>
                <w:szCs w:val="18"/>
              </w:rPr>
              <w:t>Almendra</w:t>
            </w:r>
          </w:p>
          <w:p w:rsidR="000A1474" w:rsidRPr="003A4B56" w:rsidRDefault="000A1474" w:rsidP="00B51B51">
            <w:pPr>
              <w:widowControl w:val="0"/>
              <w:jc w:val="center"/>
              <w:rPr>
                <w:rFonts w:cs="Arial"/>
                <w:noProof/>
                <w:sz w:val="18"/>
                <w:szCs w:val="18"/>
              </w:rPr>
            </w:pPr>
            <w:r w:rsidRPr="003A4B56">
              <w:rPr>
                <w:rFonts w:cs="Arial"/>
                <w:noProof/>
                <w:sz w:val="18"/>
                <w:szCs w:val="18"/>
              </w:rPr>
              <w:t>Ciruelas frescas y secas</w:t>
            </w:r>
          </w:p>
          <w:p w:rsidR="000A1474" w:rsidRPr="003A4B56" w:rsidRDefault="000A1474" w:rsidP="00B51B51">
            <w:pPr>
              <w:widowControl w:val="0"/>
              <w:jc w:val="center"/>
              <w:rPr>
                <w:rFonts w:cs="Arial"/>
                <w:noProof/>
                <w:sz w:val="18"/>
                <w:szCs w:val="18"/>
              </w:rPr>
            </w:pPr>
            <w:r w:rsidRPr="003A4B56">
              <w:rPr>
                <w:rFonts w:cs="Arial"/>
                <w:noProof/>
                <w:sz w:val="18"/>
                <w:szCs w:val="18"/>
              </w:rPr>
              <w:t>Durazno frescos-procesados</w:t>
            </w:r>
          </w:p>
          <w:p w:rsidR="000A1474" w:rsidRPr="003A4B56" w:rsidRDefault="000A1474" w:rsidP="00B51B51">
            <w:pPr>
              <w:widowControl w:val="0"/>
              <w:jc w:val="center"/>
              <w:rPr>
                <w:rFonts w:cs="Arial"/>
                <w:noProof/>
                <w:sz w:val="18"/>
                <w:szCs w:val="18"/>
              </w:rPr>
            </w:pPr>
            <w:r w:rsidRPr="003A4B56">
              <w:rPr>
                <w:rFonts w:cs="Arial"/>
                <w:noProof/>
                <w:sz w:val="18"/>
                <w:szCs w:val="18"/>
              </w:rPr>
              <w:t>Limón</w:t>
            </w:r>
          </w:p>
          <w:p w:rsidR="000A1474" w:rsidRPr="003A4B56" w:rsidRDefault="000A1474" w:rsidP="00B51B51">
            <w:pPr>
              <w:widowControl w:val="0"/>
              <w:jc w:val="center"/>
              <w:rPr>
                <w:rFonts w:cs="Arial"/>
                <w:noProof/>
                <w:sz w:val="18"/>
                <w:szCs w:val="18"/>
              </w:rPr>
            </w:pPr>
            <w:r w:rsidRPr="003A4B56">
              <w:rPr>
                <w:rFonts w:cs="Arial"/>
                <w:noProof/>
                <w:sz w:val="18"/>
                <w:szCs w:val="18"/>
              </w:rPr>
              <w:t>Naranja</w:t>
            </w:r>
          </w:p>
          <w:p w:rsidR="000A1474" w:rsidRPr="003A4B56" w:rsidRDefault="000A1474" w:rsidP="00B51B51">
            <w:pPr>
              <w:widowControl w:val="0"/>
              <w:jc w:val="center"/>
              <w:rPr>
                <w:rFonts w:cs="Arial"/>
                <w:noProof/>
                <w:sz w:val="18"/>
                <w:szCs w:val="18"/>
              </w:rPr>
            </w:pPr>
            <w:r w:rsidRPr="003A4B56">
              <w:rPr>
                <w:rFonts w:cs="Arial"/>
                <w:noProof/>
                <w:sz w:val="18"/>
                <w:szCs w:val="18"/>
              </w:rPr>
              <w:t>Manzanas frscas y jugo</w:t>
            </w:r>
          </w:p>
          <w:p w:rsidR="000A1474" w:rsidRPr="003A4B56" w:rsidRDefault="000A1474" w:rsidP="00B51B51">
            <w:pPr>
              <w:widowControl w:val="0"/>
              <w:jc w:val="center"/>
              <w:rPr>
                <w:rFonts w:cs="Arial"/>
                <w:noProof/>
                <w:sz w:val="18"/>
                <w:szCs w:val="18"/>
              </w:rPr>
            </w:pPr>
            <w:r w:rsidRPr="003A4B56">
              <w:rPr>
                <w:rFonts w:cs="Arial"/>
                <w:noProof/>
                <w:sz w:val="18"/>
                <w:szCs w:val="18"/>
              </w:rPr>
              <w:t>Nectarines</w:t>
            </w:r>
          </w:p>
          <w:p w:rsidR="000A1474" w:rsidRPr="003A4B56" w:rsidRDefault="000A1474" w:rsidP="00B51B51">
            <w:pPr>
              <w:widowControl w:val="0"/>
              <w:jc w:val="center"/>
              <w:rPr>
                <w:rFonts w:cs="Arial"/>
                <w:noProof/>
                <w:sz w:val="18"/>
                <w:szCs w:val="18"/>
              </w:rPr>
            </w:pPr>
            <w:r w:rsidRPr="003A4B56">
              <w:rPr>
                <w:rFonts w:cs="Arial"/>
                <w:noProof/>
                <w:sz w:val="18"/>
                <w:szCs w:val="18"/>
              </w:rPr>
              <w:t>Nueces</w:t>
            </w:r>
          </w:p>
          <w:p w:rsidR="000A1474" w:rsidRPr="003A4B56" w:rsidRDefault="000A1474" w:rsidP="00B51B51">
            <w:pPr>
              <w:widowControl w:val="0"/>
              <w:jc w:val="center"/>
              <w:rPr>
                <w:rFonts w:cs="Arial"/>
                <w:noProof/>
                <w:sz w:val="18"/>
                <w:szCs w:val="18"/>
              </w:rPr>
            </w:pPr>
            <w:r w:rsidRPr="003A4B56">
              <w:rPr>
                <w:rFonts w:cs="Arial"/>
                <w:noProof/>
                <w:sz w:val="18"/>
                <w:szCs w:val="18"/>
              </w:rPr>
              <w:t>Paltas</w:t>
            </w:r>
          </w:p>
          <w:p w:rsidR="000A1474" w:rsidRPr="003A4B56" w:rsidRDefault="000A1474" w:rsidP="00B51B51">
            <w:pPr>
              <w:widowControl w:val="0"/>
              <w:jc w:val="center"/>
              <w:rPr>
                <w:rFonts w:cs="Arial"/>
                <w:noProof/>
                <w:sz w:val="18"/>
                <w:szCs w:val="18"/>
              </w:rPr>
            </w:pPr>
            <w:r w:rsidRPr="003A4B56">
              <w:rPr>
                <w:rFonts w:cs="Arial"/>
                <w:noProof/>
                <w:sz w:val="18"/>
                <w:szCs w:val="18"/>
              </w:rPr>
              <w:t>Peras</w:t>
            </w:r>
          </w:p>
          <w:p w:rsidR="000A1474" w:rsidRPr="003A4B56" w:rsidRDefault="000A1474" w:rsidP="00B51B51">
            <w:pPr>
              <w:widowControl w:val="0"/>
              <w:jc w:val="center"/>
              <w:rPr>
                <w:rFonts w:cs="Arial"/>
                <w:noProof/>
                <w:sz w:val="18"/>
                <w:szCs w:val="18"/>
              </w:rPr>
            </w:pPr>
            <w:r w:rsidRPr="003A4B56">
              <w:rPr>
                <w:rFonts w:cs="Arial"/>
                <w:noProof/>
                <w:sz w:val="18"/>
                <w:szCs w:val="18"/>
              </w:rPr>
              <w:t>Uva de Mesa</w:t>
            </w:r>
          </w:p>
          <w:p w:rsidR="000A1474" w:rsidRPr="003A4B56" w:rsidRDefault="000A1474" w:rsidP="00B51B51">
            <w:pPr>
              <w:widowControl w:val="0"/>
              <w:jc w:val="center"/>
              <w:rPr>
                <w:rFonts w:cs="Arial"/>
                <w:noProof/>
                <w:sz w:val="18"/>
                <w:szCs w:val="18"/>
              </w:rPr>
            </w:pPr>
            <w:r w:rsidRPr="003A4B56">
              <w:rPr>
                <w:rFonts w:cs="Arial"/>
                <w:noProof/>
                <w:sz w:val="18"/>
                <w:szCs w:val="18"/>
              </w:rPr>
              <w:t>Vinos</w:t>
            </w:r>
          </w:p>
        </w:tc>
        <w:tc>
          <w:tcPr>
            <w:tcW w:w="2126" w:type="dxa"/>
            <w:tcBorders>
              <w:top w:val="single" w:sz="4" w:space="0" w:color="auto"/>
              <w:left w:val="single" w:sz="4" w:space="0" w:color="auto"/>
              <w:bottom w:val="single" w:sz="4" w:space="0" w:color="auto"/>
              <w:right w:val="single" w:sz="4" w:space="0" w:color="auto"/>
            </w:tcBorders>
          </w:tcPr>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0</w:t>
            </w:r>
          </w:p>
          <w:p w:rsidR="000A1474" w:rsidRPr="003A4B56" w:rsidRDefault="000A1474" w:rsidP="00B51B51">
            <w:pPr>
              <w:widowControl w:val="0"/>
              <w:jc w:val="center"/>
              <w:rPr>
                <w:rFonts w:cs="Arial"/>
                <w:noProof/>
                <w:sz w:val="18"/>
                <w:szCs w:val="18"/>
              </w:rPr>
            </w:pPr>
            <w:r w:rsidRPr="003A4B56">
              <w:rPr>
                <w:rFonts w:cs="Arial"/>
                <w:noProof/>
                <w:sz w:val="18"/>
                <w:szCs w:val="18"/>
              </w:rPr>
              <w:t>0</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0</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p w:rsidR="000A1474" w:rsidRPr="003A4B56" w:rsidRDefault="000A1474" w:rsidP="00B51B51">
            <w:pPr>
              <w:widowControl w:val="0"/>
              <w:jc w:val="center"/>
              <w:rPr>
                <w:rFonts w:cs="Arial"/>
                <w:noProof/>
                <w:sz w:val="18"/>
                <w:szCs w:val="18"/>
              </w:rPr>
            </w:pPr>
            <w:r w:rsidRPr="003A4B56">
              <w:rPr>
                <w:rFonts w:cs="Arial"/>
                <w:noProof/>
                <w:sz w:val="18"/>
                <w:szCs w:val="18"/>
              </w:rPr>
              <w:t>+</w:t>
            </w:r>
          </w:p>
        </w:tc>
      </w:tr>
    </w:tbl>
    <w:p w:rsidR="000A1474" w:rsidRPr="003A4B56" w:rsidRDefault="000A1474" w:rsidP="00B51B51">
      <w:pPr>
        <w:widowControl w:val="0"/>
        <w:jc w:val="center"/>
        <w:rPr>
          <w:rFonts w:cs="Arial"/>
          <w:sz w:val="20"/>
          <w:szCs w:val="20"/>
        </w:rPr>
      </w:pPr>
      <w:r w:rsidRPr="003A4B56">
        <w:rPr>
          <w:rFonts w:cs="Arial"/>
          <w:sz w:val="20"/>
          <w:szCs w:val="20"/>
        </w:rPr>
        <w:t>Fuente: Elaboración propia, en base a antecedentes recopilados.</w:t>
      </w:r>
    </w:p>
    <w:p w:rsidR="000A1474" w:rsidRPr="003A4B56" w:rsidRDefault="000A1474" w:rsidP="00B51B51">
      <w:pPr>
        <w:widowControl w:val="0"/>
        <w:tabs>
          <w:tab w:val="left" w:pos="1418"/>
        </w:tabs>
        <w:rPr>
          <w:rFonts w:cs="Arial"/>
        </w:rPr>
      </w:pPr>
    </w:p>
    <w:p w:rsidR="000A1474" w:rsidRPr="003A4B56" w:rsidRDefault="000A1474" w:rsidP="00B51B51">
      <w:pPr>
        <w:widowControl w:val="0"/>
      </w:pPr>
      <w:r w:rsidRPr="003A4B56">
        <w:t xml:space="preserve">De esta manera, las perspectivas para los productos con signo “+” son favorables, y cualquier otra zona aledaña a la del proyecto, que compita con los mismos productos, no perjudicará la producción de </w:t>
      </w:r>
      <w:smartTag w:uri="urn:schemas-microsoft-com:office:smarttags" w:element="PersonName">
        <w:smartTagPr>
          <w:attr w:name="ProductID" w:val="la VI Región"/>
        </w:smartTagPr>
        <w:r w:rsidRPr="003A4B56">
          <w:t>la VI Región</w:t>
        </w:r>
      </w:smartTag>
      <w:r w:rsidRPr="003A4B56">
        <w:t xml:space="preserve">, ya que Chile es un productor de contraestación que ha identificado plazas de colocación para su producción. </w:t>
      </w:r>
    </w:p>
    <w:p w:rsidR="000A1474" w:rsidRPr="003A4B56" w:rsidRDefault="000A1474" w:rsidP="00B51B51">
      <w:pPr>
        <w:widowControl w:val="0"/>
      </w:pPr>
    </w:p>
    <w:p w:rsidR="000A1474" w:rsidRPr="003A4B56" w:rsidRDefault="000A1474" w:rsidP="00B51B51">
      <w:pPr>
        <w:widowControl w:val="0"/>
      </w:pPr>
      <w:r w:rsidRPr="003A4B56">
        <w:t>Asimismo, en el caso de la carne bovina, si bien no se espera un aumento de los precios en el ámbito nacional, se estima que los alcanzados actualmente se mantendrán estables, por cuanto las exportaciones lograrán contrarrestar el efecto de las importaciones.</w:t>
      </w:r>
    </w:p>
    <w:p w:rsidR="000A1474" w:rsidRPr="003A4B56" w:rsidRDefault="000A1474" w:rsidP="00B51B51">
      <w:pPr>
        <w:widowControl w:val="0"/>
        <w:tabs>
          <w:tab w:val="left" w:pos="1418"/>
        </w:tabs>
        <w:rPr>
          <w:rFonts w:cs="Arial"/>
        </w:rPr>
      </w:pPr>
    </w:p>
    <w:p w:rsidR="000A1474" w:rsidRPr="003A4B56" w:rsidRDefault="000A1474" w:rsidP="00145762">
      <w:pPr>
        <w:pStyle w:val="Ttulo5"/>
        <w:widowControl w:val="0"/>
        <w:numPr>
          <w:ilvl w:val="0"/>
          <w:numId w:val="12"/>
        </w:numPr>
        <w:tabs>
          <w:tab w:val="clear" w:pos="720"/>
        </w:tabs>
        <w:spacing w:before="0" w:after="0"/>
        <w:ind w:hanging="720"/>
        <w:rPr>
          <w:i w:val="0"/>
          <w:sz w:val="22"/>
          <w:szCs w:val="22"/>
        </w:rPr>
      </w:pPr>
      <w:r w:rsidRPr="003A4B56">
        <w:rPr>
          <w:i w:val="0"/>
          <w:sz w:val="22"/>
          <w:szCs w:val="22"/>
        </w:rPr>
        <w:t>Uso del Suelo Proyectado</w:t>
      </w:r>
    </w:p>
    <w:p w:rsidR="000A1474" w:rsidRPr="003A4B56" w:rsidRDefault="000A1474" w:rsidP="00B51B51">
      <w:pPr>
        <w:widowControl w:val="0"/>
        <w:tabs>
          <w:tab w:val="left" w:pos="1418"/>
        </w:tabs>
        <w:rPr>
          <w:rFonts w:cs="Arial"/>
        </w:rPr>
      </w:pPr>
    </w:p>
    <w:p w:rsidR="000A1474" w:rsidRPr="003A4B56" w:rsidRDefault="000A1474" w:rsidP="00B51B51">
      <w:pPr>
        <w:widowControl w:val="0"/>
      </w:pPr>
      <w:r w:rsidRPr="003A4B56">
        <w:t xml:space="preserve">El uso del suelo proyectado para </w:t>
      </w:r>
      <w:smartTag w:uri="urn:schemas-microsoft-com:office:smarttags" w:element="PersonName">
        <w:smartTagPr>
          <w:attr w:name="ProductID" w:val="la VI Región"/>
        </w:smartTagPr>
        <w:r w:rsidRPr="003A4B56">
          <w:t>la VI Región</w:t>
        </w:r>
      </w:smartTag>
      <w:r w:rsidRPr="003A4B56">
        <w:t xml:space="preserve"> del Libertador Bernardo O’Higgins subdividido por subcuencas  y determinado de acuerdo a los criterios expuestos precedentemente se incluye en </w:t>
      </w:r>
      <w:smartTag w:uri="urn:schemas-microsoft-com:office:smarttags" w:element="PersonName">
        <w:smartTagPr>
          <w:attr w:name="ProductID" w:val="la ￼￼￼￼￼￼￼￼￼￼￼￼￼￼￼￼￼￼￼￼￼￼￼￼￼￼￼￼￼￼￼￼￼￼￼￼￼￼￼￼￼Tabla"/>
        </w:smartTagPr>
        <w:r w:rsidRPr="003A4B56">
          <w:t xml:space="preserve">la </w:t>
        </w:r>
        <w:r w:rsidR="002A7449" w:rsidRPr="003A4B56">
          <w:fldChar w:fldCharType="begin"/>
        </w:r>
        <w:r w:rsidR="002A7449" w:rsidRPr="003A4B56">
          <w:instrText xml:space="preserve"> REF _Ref336617203 \h </w:instrText>
        </w:r>
        <w:r w:rsidR="0006493D" w:rsidRPr="003A4B56">
          <w:instrText xml:space="preserve"> \* MERGEFORMAT </w:instrText>
        </w:r>
        <w:r w:rsidR="002A7449" w:rsidRPr="003A4B56">
          <w:fldChar w:fldCharType="separate"/>
        </w:r>
        <w:r w:rsidR="00264070" w:rsidRPr="003A4B56">
          <w:t>Tabla</w:t>
        </w:r>
      </w:smartTag>
      <w:r w:rsidR="00264070" w:rsidRPr="003A4B56">
        <w:t xml:space="preserve"> </w:t>
      </w:r>
      <w:r w:rsidR="00264070">
        <w:rPr>
          <w:noProof/>
        </w:rPr>
        <w:t>5.77</w:t>
      </w:r>
      <w:r w:rsidR="002A7449" w:rsidRPr="003A4B56">
        <w:fldChar w:fldCharType="end"/>
      </w:r>
      <w:r w:rsidRPr="003A4B56">
        <w:t>.</w:t>
      </w:r>
    </w:p>
    <w:p w:rsidR="000A1474" w:rsidRPr="003A4B56" w:rsidRDefault="000A1474" w:rsidP="00B51B51">
      <w:pPr>
        <w:pStyle w:val="Sangradetextonormal"/>
        <w:widowControl w:val="0"/>
        <w:tabs>
          <w:tab w:val="left" w:pos="1418"/>
        </w:tabs>
        <w:rPr>
          <w:rFonts w:cs="Arial"/>
        </w:rPr>
      </w:pPr>
    </w:p>
    <w:p w:rsidR="000A1474" w:rsidRPr="003A4B56" w:rsidRDefault="000A1474" w:rsidP="00B51B51">
      <w:pPr>
        <w:pStyle w:val="Sangradetextonormal"/>
        <w:widowControl w:val="0"/>
        <w:tabs>
          <w:tab w:val="left" w:pos="1418"/>
        </w:tabs>
        <w:jc w:val="center"/>
        <w:rPr>
          <w:rFonts w:cs="Arial"/>
          <w:b/>
          <w:bCs/>
        </w:rPr>
        <w:sectPr w:rsidR="000A1474" w:rsidRPr="003A4B56" w:rsidSect="000D6AA1">
          <w:pgSz w:w="12240" w:h="15840"/>
          <w:pgMar w:top="1701" w:right="1418" w:bottom="1418" w:left="1418" w:header="709" w:footer="709" w:gutter="0"/>
          <w:cols w:space="708"/>
          <w:docGrid w:linePitch="360"/>
        </w:sectPr>
      </w:pPr>
    </w:p>
    <w:p w:rsidR="000A1474" w:rsidRPr="003A4B56" w:rsidRDefault="000A1474" w:rsidP="00B51B51">
      <w:pPr>
        <w:pStyle w:val="Epgrafe"/>
        <w:widowControl w:val="0"/>
        <w:rPr>
          <w:rFonts w:cs="Arial"/>
          <w:bCs w:val="0"/>
        </w:rPr>
      </w:pPr>
      <w:bookmarkStart w:id="355" w:name="_Ref336617203"/>
      <w:r w:rsidRPr="003A4B56">
        <w:lastRenderedPageBreak/>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77</w:t>
      </w:r>
      <w:r w:rsidR="007F3102">
        <w:fldChar w:fldCharType="end"/>
      </w:r>
      <w:bookmarkEnd w:id="355"/>
      <w:r w:rsidRPr="003A4B56">
        <w:t xml:space="preserve"> </w:t>
      </w:r>
      <w:r w:rsidRPr="003A4B56">
        <w:rPr>
          <w:rFonts w:cs="Arial"/>
          <w:bCs w:val="0"/>
        </w:rPr>
        <w:t xml:space="preserve">Uso del Suelo Proyectado VI Región por Subcuencas </w:t>
      </w:r>
    </w:p>
    <w:p w:rsidR="000A1474" w:rsidRPr="003A4B56" w:rsidRDefault="00254CE2" w:rsidP="00B51B51">
      <w:pPr>
        <w:pStyle w:val="Sangradetextonormal"/>
        <w:widowControl w:val="0"/>
        <w:tabs>
          <w:tab w:val="left" w:pos="1418"/>
        </w:tabs>
        <w:jc w:val="center"/>
        <w:rPr>
          <w:rFonts w:cs="Arial"/>
          <w:b/>
          <w:bCs/>
        </w:rPr>
        <w:sectPr w:rsidR="000A1474" w:rsidRPr="003A4B56" w:rsidSect="000A1474">
          <w:pgSz w:w="15840" w:h="12240" w:orient="landscape"/>
          <w:pgMar w:top="1701" w:right="1418" w:bottom="1701" w:left="1418" w:header="709" w:footer="709" w:gutter="0"/>
          <w:cols w:space="708"/>
          <w:docGrid w:linePitch="360"/>
        </w:sectPr>
      </w:pPr>
      <w:r>
        <w:rPr>
          <w:noProof/>
          <w:lang w:val="es-CL" w:eastAsia="es-CL"/>
        </w:rPr>
        <w:drawing>
          <wp:inline distT="0" distB="0" distL="0" distR="0">
            <wp:extent cx="8208645" cy="5316220"/>
            <wp:effectExtent l="0" t="0" r="1905"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208645" cy="5316220"/>
                    </a:xfrm>
                    <a:prstGeom prst="rect">
                      <a:avLst/>
                    </a:prstGeom>
                    <a:noFill/>
                    <a:ln>
                      <a:noFill/>
                    </a:ln>
                  </pic:spPr>
                </pic:pic>
              </a:graphicData>
            </a:graphic>
          </wp:inline>
        </w:drawing>
      </w:r>
    </w:p>
    <w:p w:rsidR="000A1474" w:rsidRPr="003A4B56" w:rsidRDefault="000A1474" w:rsidP="00145762">
      <w:pPr>
        <w:pStyle w:val="Ttulo5"/>
        <w:widowControl w:val="0"/>
        <w:numPr>
          <w:ilvl w:val="0"/>
          <w:numId w:val="12"/>
        </w:numPr>
        <w:tabs>
          <w:tab w:val="clear" w:pos="720"/>
        </w:tabs>
        <w:spacing w:before="0" w:after="0"/>
        <w:ind w:hanging="720"/>
        <w:rPr>
          <w:i w:val="0"/>
          <w:sz w:val="22"/>
          <w:szCs w:val="22"/>
        </w:rPr>
      </w:pPr>
      <w:r w:rsidRPr="003A4B56">
        <w:rPr>
          <w:i w:val="0"/>
          <w:sz w:val="22"/>
          <w:szCs w:val="22"/>
        </w:rPr>
        <w:lastRenderedPageBreak/>
        <w:t>Demandas de Agua Proyectadas</w:t>
      </w:r>
    </w:p>
    <w:p w:rsidR="000A1474" w:rsidRPr="003A4B56" w:rsidRDefault="000A1474" w:rsidP="00B51B51">
      <w:pPr>
        <w:widowControl w:val="0"/>
        <w:tabs>
          <w:tab w:val="left" w:pos="1418"/>
        </w:tabs>
        <w:rPr>
          <w:rFonts w:cs="Arial"/>
        </w:rPr>
      </w:pPr>
    </w:p>
    <w:p w:rsidR="000A1474" w:rsidRPr="003A4B56" w:rsidRDefault="00136AD9" w:rsidP="00B51B51">
      <w:pPr>
        <w:widowControl w:val="0"/>
        <w:rPr>
          <w:b/>
        </w:rPr>
      </w:pPr>
      <w:r w:rsidRPr="003A4B56">
        <w:rPr>
          <w:b/>
        </w:rPr>
        <w:t>c.1)</w:t>
      </w:r>
      <w:r w:rsidRPr="003A4B56">
        <w:rPr>
          <w:b/>
        </w:rPr>
        <w:tab/>
      </w:r>
      <w:r w:rsidR="000A1474" w:rsidRPr="003A4B56">
        <w:rPr>
          <w:b/>
        </w:rPr>
        <w:t>Evapotranspiración Potencial y Real</w:t>
      </w:r>
    </w:p>
    <w:p w:rsidR="000A1474" w:rsidRPr="003A4B56" w:rsidRDefault="000A1474" w:rsidP="00B51B51">
      <w:pPr>
        <w:widowControl w:val="0"/>
      </w:pPr>
    </w:p>
    <w:p w:rsidR="000A1474" w:rsidRPr="003A4B56" w:rsidRDefault="000A1474" w:rsidP="00B51B51">
      <w:pPr>
        <w:widowControl w:val="0"/>
      </w:pPr>
      <w:r w:rsidRPr="003A4B56">
        <w:t xml:space="preserve">El valor de </w:t>
      </w:r>
      <w:smartTag w:uri="urn:schemas-microsoft-com:office:smarttags" w:element="PersonName">
        <w:smartTagPr>
          <w:attr w:name="ProductID" w:val="la Evapotranspiración Potencial"/>
        </w:smartTagPr>
        <w:r w:rsidRPr="003A4B56">
          <w:t>la Evapotranspiración Potencial</w:t>
        </w:r>
      </w:smartTag>
      <w:r w:rsidRPr="003A4B56">
        <w:t xml:space="preserve"> (ETo) se ha obtenido de los antecedentes climáticos elaborados en esta consultoría a través de la información proporcionada por el Atlas Bioclimático de Chile de </w:t>
      </w:r>
      <w:smartTag w:uri="urn:schemas-microsoft-com:office:smarttags" w:element="PersonName">
        <w:smartTagPr>
          <w:attr w:name="ProductID" w:val="la Universidad"/>
        </w:smartTagPr>
        <w:r w:rsidRPr="003A4B56">
          <w:t>la Universidad</w:t>
        </w:r>
      </w:smartTag>
      <w:r w:rsidRPr="003A4B56">
        <w:t xml:space="preserve"> de Chile. Los valores de Evapotranspiración Potencial se expresan mensualmente en mm/mes ponderados para cada subcuenca (</w:t>
      </w:r>
      <w:r w:rsidRPr="003A4B56">
        <w:fldChar w:fldCharType="begin"/>
      </w:r>
      <w:r w:rsidRPr="003A4B56">
        <w:instrText xml:space="preserve"> REF _Ref336591619 \h </w:instrText>
      </w:r>
      <w:r w:rsidRPr="003A4B56">
        <w:instrText xml:space="preserve"> \* MERGEFORMAT </w:instrText>
      </w:r>
      <w:r w:rsidRPr="003A4B56">
        <w:fldChar w:fldCharType="separate"/>
      </w:r>
      <w:r w:rsidR="00264070" w:rsidRPr="00264070">
        <w:t xml:space="preserve">Tabla </w:t>
      </w:r>
      <w:r w:rsidR="00264070" w:rsidRPr="00264070">
        <w:rPr>
          <w:noProof/>
        </w:rPr>
        <w:t>5.78</w:t>
      </w:r>
      <w:r w:rsidRPr="003A4B56">
        <w:fldChar w:fldCharType="end"/>
      </w:r>
      <w:r w:rsidRPr="003A4B56">
        <w:t>).</w:t>
      </w:r>
    </w:p>
    <w:p w:rsidR="000A1474" w:rsidRPr="003A4B56" w:rsidRDefault="000A1474" w:rsidP="00B51B51">
      <w:pPr>
        <w:widowControl w:val="0"/>
      </w:pPr>
    </w:p>
    <w:p w:rsidR="000A1474" w:rsidRPr="003A4B56" w:rsidRDefault="000A1474" w:rsidP="00B51B51">
      <w:pPr>
        <w:widowControl w:val="0"/>
        <w:jc w:val="center"/>
        <w:rPr>
          <w:rFonts w:cs="Arial"/>
          <w:b/>
          <w:bCs/>
        </w:rPr>
      </w:pPr>
      <w:bookmarkStart w:id="356" w:name="_Ref336591619"/>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78</w:t>
      </w:r>
      <w:r w:rsidR="007F3102">
        <w:rPr>
          <w:b/>
        </w:rPr>
        <w:fldChar w:fldCharType="end"/>
      </w:r>
      <w:bookmarkEnd w:id="356"/>
      <w:r w:rsidRPr="003A4B56">
        <w:rPr>
          <w:rFonts w:cs="Arial"/>
          <w:b/>
          <w:bCs/>
          <w:noProof/>
        </w:rPr>
        <w:t xml:space="preserve"> </w:t>
      </w:r>
      <w:r w:rsidRPr="003A4B56">
        <w:rPr>
          <w:b/>
        </w:rPr>
        <w:t xml:space="preserve"> </w:t>
      </w:r>
      <w:r w:rsidRPr="003A4B56">
        <w:rPr>
          <w:rFonts w:cs="Arial"/>
          <w:b/>
          <w:bCs/>
        </w:rPr>
        <w:t>Evapotranspiración Potencial por Subcuenca (mm)</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2296795"/>
            <wp:effectExtent l="0" t="0" r="0" b="825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1490" cy="2296795"/>
                    </a:xfrm>
                    <a:prstGeom prst="rect">
                      <a:avLst/>
                    </a:prstGeom>
                    <a:noFill/>
                    <a:ln>
                      <a:noFill/>
                    </a:ln>
                  </pic:spPr>
                </pic:pic>
              </a:graphicData>
            </a:graphic>
          </wp:inline>
        </w:drawing>
      </w:r>
    </w:p>
    <w:p w:rsidR="000A1474" w:rsidRPr="003A4B56" w:rsidRDefault="000A1474" w:rsidP="00B51B51">
      <w:pPr>
        <w:widowControl w:val="0"/>
      </w:pPr>
    </w:p>
    <w:p w:rsidR="000A1474" w:rsidRPr="003A4B56" w:rsidRDefault="000A1474" w:rsidP="00B51B51">
      <w:pPr>
        <w:widowControl w:val="0"/>
      </w:pPr>
      <w:r w:rsidRPr="003A4B56">
        <w:t>Paralelamente, se han determinado para cada cultivo por mes los Coeficientes de Culti</w:t>
      </w:r>
      <w:r w:rsidR="00525535">
        <w:t>vo (kc). Estos, tanto en montos como en el</w:t>
      </w:r>
      <w:r w:rsidRPr="003A4B56">
        <w:t xml:space="preserve"> procedimiento de obtención, se basaron en el FAO Irrigation and Drainage Paper 56, denominado "Crop Evapotranspiration Guidelines for computing crop water requeriments” (R. Allen, L. Pereira, D. Raes y M. Smith) (ver </w:t>
      </w:r>
      <w:r w:rsidRPr="003A4B56">
        <w:fldChar w:fldCharType="begin"/>
      </w:r>
      <w:r w:rsidRPr="003A4B56">
        <w:instrText xml:space="preserve"> REF _Ref336591668 \h </w:instrText>
      </w:r>
      <w:r w:rsidRPr="003A4B56">
        <w:instrText xml:space="preserve"> \* MERGEFORMAT </w:instrText>
      </w:r>
      <w:r w:rsidRPr="003A4B56">
        <w:fldChar w:fldCharType="separate"/>
      </w:r>
      <w:r w:rsidR="00264070" w:rsidRPr="00264070">
        <w:t xml:space="preserve">Tabla </w:t>
      </w:r>
      <w:r w:rsidR="00264070" w:rsidRPr="00264070">
        <w:rPr>
          <w:noProof/>
        </w:rPr>
        <w:t>5.79</w:t>
      </w:r>
      <w:r w:rsidRPr="003A4B56">
        <w:fldChar w:fldCharType="end"/>
      </w:r>
      <w:r w:rsidRPr="003A4B56">
        <w:t>).</w:t>
      </w:r>
    </w:p>
    <w:p w:rsidR="000A1474" w:rsidRPr="003A4B56" w:rsidRDefault="000A1474" w:rsidP="00B51B51">
      <w:pPr>
        <w:widowControl w:val="0"/>
      </w:pPr>
    </w:p>
    <w:p w:rsidR="000A1474" w:rsidRPr="003A4B56" w:rsidRDefault="000A1474" w:rsidP="00B51B51">
      <w:pPr>
        <w:widowControl w:val="0"/>
      </w:pPr>
      <w:r w:rsidRPr="003A4B56">
        <w:t xml:space="preserve">Luego, mediante la multiplicación de </w:t>
      </w:r>
      <w:smartTag w:uri="urn:schemas-microsoft-com:office:smarttags" w:element="PersonName">
        <w:smartTagPr>
          <w:attr w:name="ProductID" w:val="la Evapotranspiración Potencial"/>
        </w:smartTagPr>
        <w:r w:rsidRPr="003A4B56">
          <w:t>la Evapotranspiración Potencial</w:t>
        </w:r>
      </w:smartTag>
      <w:r w:rsidRPr="003A4B56">
        <w:t xml:space="preserve"> por los Coeficientes de Cultivo, se determinó para cada sector </w:t>
      </w:r>
      <w:smartTag w:uri="urn:schemas-microsoft-com:office:smarttags" w:element="PersonName">
        <w:smartTagPr>
          <w:attr w:name="ProductID" w:val="la Evapotranspiración Real"/>
        </w:smartTagPr>
        <w:r w:rsidRPr="003A4B56">
          <w:t>la Evapotranspiración Real</w:t>
        </w:r>
      </w:smartTag>
      <w:r w:rsidRPr="003A4B56">
        <w:t xml:space="preserve"> (ETr) mensual para cada cultivo asignado.</w:t>
      </w:r>
    </w:p>
    <w:p w:rsidR="000A1474" w:rsidRPr="003A4B56" w:rsidRDefault="000A1474" w:rsidP="00B51B51">
      <w:pPr>
        <w:widowControl w:val="0"/>
      </w:pPr>
    </w:p>
    <w:p w:rsidR="000A1474" w:rsidRPr="003A4B56" w:rsidRDefault="000A1474" w:rsidP="00B51B51">
      <w:pPr>
        <w:widowControl w:val="0"/>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357" w:name="_Ref336591668"/>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79</w:t>
      </w:r>
      <w:r w:rsidR="007F3102">
        <w:rPr>
          <w:b/>
        </w:rPr>
        <w:fldChar w:fldCharType="end"/>
      </w:r>
      <w:bookmarkEnd w:id="357"/>
      <w:r w:rsidRPr="003A4B56">
        <w:rPr>
          <w:rFonts w:cs="Arial"/>
          <w:b/>
          <w:bCs/>
          <w:noProof/>
        </w:rPr>
        <w:t xml:space="preserve"> </w:t>
      </w:r>
      <w:r w:rsidRPr="003A4B56">
        <w:rPr>
          <w:b/>
        </w:rPr>
        <w:t xml:space="preserve"> </w:t>
      </w:r>
      <w:r w:rsidRPr="003A4B56">
        <w:rPr>
          <w:rFonts w:cs="Arial"/>
          <w:b/>
          <w:bCs/>
        </w:rPr>
        <w:t>Coeficientes de Cultivo KC</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4199890" cy="7974330"/>
            <wp:effectExtent l="0" t="0" r="0" b="762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99890" cy="7974330"/>
                    </a:xfrm>
                    <a:prstGeom prst="rect">
                      <a:avLst/>
                    </a:prstGeom>
                    <a:noFill/>
                    <a:ln>
                      <a:noFill/>
                    </a:ln>
                  </pic:spPr>
                </pic:pic>
              </a:graphicData>
            </a:graphic>
          </wp:inline>
        </w:drawing>
      </w:r>
    </w:p>
    <w:p w:rsidR="000A1474" w:rsidRPr="003A4B56" w:rsidRDefault="00136AD9" w:rsidP="00B51B51">
      <w:pPr>
        <w:widowControl w:val="0"/>
        <w:rPr>
          <w:b/>
        </w:rPr>
      </w:pPr>
      <w:r w:rsidRPr="003A4B56">
        <w:rPr>
          <w:b/>
        </w:rPr>
        <w:lastRenderedPageBreak/>
        <w:t>c.2)</w:t>
      </w:r>
      <w:r w:rsidRPr="003A4B56">
        <w:rPr>
          <w:b/>
        </w:rPr>
        <w:tab/>
      </w:r>
      <w:r w:rsidR="000A1474" w:rsidRPr="003A4B56">
        <w:rPr>
          <w:b/>
        </w:rPr>
        <w:t>Demanda Neta de Agua de Riego</w:t>
      </w:r>
    </w:p>
    <w:p w:rsidR="000A1474" w:rsidRPr="003A4B56" w:rsidRDefault="000A1474" w:rsidP="00B51B51">
      <w:pPr>
        <w:widowControl w:val="0"/>
      </w:pPr>
    </w:p>
    <w:p w:rsidR="000A1474" w:rsidRPr="003A4B56" w:rsidRDefault="000A1474" w:rsidP="00B51B51">
      <w:pPr>
        <w:widowControl w:val="0"/>
      </w:pPr>
      <w:r w:rsidRPr="003A4B56">
        <w:t>Para determinar la demanda neta de agua de riego, es necesario en primer lugar conocer la precipitación efectiva (ppf) ocurrida en el área en estudio.</w:t>
      </w:r>
    </w:p>
    <w:p w:rsidR="000A1474" w:rsidRPr="003A4B56" w:rsidRDefault="000A1474" w:rsidP="00B51B51">
      <w:pPr>
        <w:widowControl w:val="0"/>
      </w:pPr>
    </w:p>
    <w:p w:rsidR="000A1474" w:rsidRPr="003A4B56" w:rsidRDefault="000A1474" w:rsidP="00B51B51">
      <w:pPr>
        <w:widowControl w:val="0"/>
      </w:pPr>
      <w:r w:rsidRPr="003A4B56">
        <w:t xml:space="preserve">Al respecto para el cálculo en la precipitación efectiva (ppf) se ha utilizado la metodología de Blanney y Criddle modificada por Horacio Merlet y Fernando Santibáñez en el año 1986, la cual representa  adecuadamente la zona de estudio. Esta metodología relaciona la precipitación efectiva con la media mensual a través de una curva. </w:t>
      </w:r>
    </w:p>
    <w:p w:rsidR="000A1474" w:rsidRPr="003A4B56" w:rsidRDefault="000A1474" w:rsidP="00B51B51">
      <w:pPr>
        <w:widowControl w:val="0"/>
      </w:pPr>
    </w:p>
    <w:p w:rsidR="000A1474" w:rsidRPr="003A4B56" w:rsidRDefault="000A1474" w:rsidP="00B51B51">
      <w:pPr>
        <w:widowControl w:val="0"/>
      </w:pPr>
      <w:r w:rsidRPr="003A4B56">
        <w:t xml:space="preserve">En </w:t>
      </w:r>
      <w:smartTag w:uri="urn:schemas-microsoft-com:office:smarttags" w:element="PersonName">
        <w:smartTagPr>
          <w:attr w:name="ProductID" w:val="la  ￼￼￼￼￼￼￼￼￼￼￼￼￼￼￼￼￼￼￼￼￼￼￼￼￼￼￼￼￼￼￼￼￼￼￼￼￼￼￼￼￼Figura"/>
        </w:smartTagPr>
        <w:r w:rsidRPr="003A4B56">
          <w:t xml:space="preserve">la  </w:t>
        </w:r>
        <w:r w:rsidRPr="003A4B56">
          <w:fldChar w:fldCharType="begin"/>
        </w:r>
        <w:r w:rsidRPr="003A4B56">
          <w:instrText xml:space="preserve"> REF _Ref336591765 \h </w:instrText>
        </w:r>
        <w:r w:rsidRPr="003A4B56">
          <w:instrText xml:space="preserve"> \* MERGEFORMAT </w:instrText>
        </w:r>
        <w:r w:rsidRPr="003A4B56">
          <w:fldChar w:fldCharType="separate"/>
        </w:r>
        <w:r w:rsidR="00264070" w:rsidRPr="00264070">
          <w:t>Figura</w:t>
        </w:r>
      </w:smartTag>
      <w:r w:rsidR="00264070" w:rsidRPr="00264070">
        <w:t xml:space="preserve"> </w:t>
      </w:r>
      <w:r w:rsidR="00264070" w:rsidRPr="00264070">
        <w:rPr>
          <w:noProof/>
        </w:rPr>
        <w:t>5.60</w:t>
      </w:r>
      <w:r w:rsidRPr="003A4B56">
        <w:fldChar w:fldCharType="end"/>
      </w:r>
      <w:r w:rsidRPr="003A4B56">
        <w:t xml:space="preserve"> se presenta la curva de Blanney y Criddle, modificada por Merlet y Santibáñez, 1986.</w:t>
      </w:r>
    </w:p>
    <w:p w:rsidR="000A1474" w:rsidRPr="003A4B56" w:rsidRDefault="000A1474" w:rsidP="00B51B51">
      <w:pPr>
        <w:widowControl w:val="0"/>
      </w:pPr>
    </w:p>
    <w:p w:rsidR="000A1474" w:rsidRPr="003A4B56" w:rsidRDefault="000A1474" w:rsidP="00B51B51">
      <w:pPr>
        <w:widowControl w:val="0"/>
        <w:jc w:val="center"/>
        <w:rPr>
          <w:b/>
        </w:rPr>
      </w:pPr>
      <w:bookmarkStart w:id="358" w:name="_Ref336591765"/>
      <w:r w:rsidRPr="003A4B56">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60</w:t>
      </w:r>
      <w:r w:rsidR="00951FEC">
        <w:rPr>
          <w:b/>
        </w:rPr>
        <w:fldChar w:fldCharType="end"/>
      </w:r>
      <w:bookmarkEnd w:id="358"/>
      <w:r w:rsidRPr="003A4B56">
        <w:rPr>
          <w:b/>
        </w:rPr>
        <w:t xml:space="preserve"> Relación Precipitación Media Mensual v/s Precipitación Efectiva</w:t>
      </w:r>
    </w:p>
    <w:p w:rsidR="000A1474" w:rsidRPr="003A4B56" w:rsidRDefault="00254CE2" w:rsidP="00B51B51">
      <w:pPr>
        <w:pStyle w:val="Sangradetextonormal"/>
        <w:widowControl w:val="0"/>
        <w:tabs>
          <w:tab w:val="left" w:pos="1418"/>
        </w:tabs>
        <w:jc w:val="center"/>
        <w:rPr>
          <w:rFonts w:cs="Arial"/>
          <w:b/>
          <w:bCs/>
        </w:rPr>
      </w:pPr>
      <w:r>
        <w:rPr>
          <w:rFonts w:cs="Arial"/>
          <w:b/>
          <w:bCs/>
          <w:noProof/>
          <w:lang w:val="es-CL" w:eastAsia="es-CL"/>
        </w:rPr>
        <w:drawing>
          <wp:inline distT="0" distB="0" distL="0" distR="0">
            <wp:extent cx="4146550" cy="290258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46550" cy="2902585"/>
                    </a:xfrm>
                    <a:prstGeom prst="rect">
                      <a:avLst/>
                    </a:prstGeom>
                    <a:noFill/>
                    <a:ln>
                      <a:noFill/>
                    </a:ln>
                  </pic:spPr>
                </pic:pic>
              </a:graphicData>
            </a:graphic>
          </wp:inline>
        </w:drawing>
      </w:r>
    </w:p>
    <w:p w:rsidR="000A1474" w:rsidRPr="003A4B56" w:rsidRDefault="000A1474" w:rsidP="00B51B51">
      <w:pPr>
        <w:widowControl w:val="0"/>
      </w:pPr>
      <w:r w:rsidRPr="003A4B56">
        <w:t xml:space="preserve">En </w:t>
      </w:r>
      <w:smartTag w:uri="urn:schemas-microsoft-com:office:smarttags" w:element="PersonName">
        <w:smartTagPr>
          <w:attr w:name="ProductID" w:val="la ￼￼￼￼￼￼￼￼￼￼￼￼￼￼￼￼￼￼￼￼￼￼￼￼￼￼￼￼￼￼￼￼￼￼￼￼￼￼￼￼￼Tabla"/>
        </w:smartTagPr>
        <w:r w:rsidRPr="003A4B56">
          <w:t xml:space="preserve">la </w:t>
        </w:r>
        <w:r w:rsidRPr="003A4B56">
          <w:fldChar w:fldCharType="begin"/>
        </w:r>
        <w:r w:rsidRPr="003A4B56">
          <w:instrText xml:space="preserve"> REF _Ref336591926 \h </w:instrText>
        </w:r>
        <w:r w:rsidRPr="003A4B56">
          <w:instrText xml:space="preserve"> \* MERGEFORMAT </w:instrText>
        </w:r>
        <w:r w:rsidRPr="003A4B56">
          <w:fldChar w:fldCharType="separate"/>
        </w:r>
        <w:r w:rsidR="00264070" w:rsidRPr="00264070">
          <w:t>Tabla</w:t>
        </w:r>
      </w:smartTag>
      <w:r w:rsidR="00264070" w:rsidRPr="00264070">
        <w:t xml:space="preserve"> </w:t>
      </w:r>
      <w:r w:rsidR="00264070" w:rsidRPr="00264070">
        <w:rPr>
          <w:noProof/>
        </w:rPr>
        <w:t>5.80</w:t>
      </w:r>
      <w:r w:rsidRPr="003A4B56">
        <w:fldChar w:fldCharType="end"/>
      </w:r>
      <w:r w:rsidRPr="003A4B56">
        <w:t xml:space="preserve"> se presenta la precipitación efectiva ponderada por subcuenca.</w:t>
      </w:r>
    </w:p>
    <w:p w:rsidR="000A1474" w:rsidRPr="003A4B56" w:rsidRDefault="000A1474" w:rsidP="00B51B51">
      <w:pPr>
        <w:widowControl w:val="0"/>
      </w:pPr>
    </w:p>
    <w:p w:rsidR="000A1474" w:rsidRPr="003A4B56" w:rsidRDefault="000A1474" w:rsidP="00B51B51">
      <w:pPr>
        <w:widowControl w:val="0"/>
        <w:jc w:val="center"/>
        <w:rPr>
          <w:rFonts w:cs="Arial"/>
          <w:b/>
          <w:bCs/>
        </w:rPr>
      </w:pPr>
      <w:bookmarkStart w:id="359" w:name="_Ref336591926"/>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80</w:t>
      </w:r>
      <w:r w:rsidR="007F3102">
        <w:rPr>
          <w:b/>
        </w:rPr>
        <w:fldChar w:fldCharType="end"/>
      </w:r>
      <w:bookmarkEnd w:id="359"/>
      <w:r w:rsidRPr="003A4B56">
        <w:rPr>
          <w:rFonts w:cs="Arial"/>
          <w:b/>
          <w:bCs/>
          <w:noProof/>
        </w:rPr>
        <w:t xml:space="preserve"> </w:t>
      </w:r>
      <w:r w:rsidRPr="003A4B56">
        <w:rPr>
          <w:rFonts w:cs="Arial"/>
          <w:b/>
          <w:bCs/>
        </w:rPr>
        <w:t>Precipitación Efectiva por Subcuenca (mm)</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5571490" cy="213741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1490" cy="2137410"/>
                    </a:xfrm>
                    <a:prstGeom prst="rect">
                      <a:avLst/>
                    </a:prstGeom>
                    <a:noFill/>
                    <a:ln>
                      <a:noFill/>
                    </a:ln>
                  </pic:spPr>
                </pic:pic>
              </a:graphicData>
            </a:graphic>
          </wp:inline>
        </w:drawing>
      </w:r>
    </w:p>
    <w:p w:rsidR="000A1474" w:rsidRPr="003A4B56" w:rsidRDefault="000A1474" w:rsidP="00B51B51">
      <w:pPr>
        <w:widowControl w:val="0"/>
      </w:pPr>
    </w:p>
    <w:p w:rsidR="001E4FE1" w:rsidRDefault="001E4FE1" w:rsidP="00B51B51">
      <w:pPr>
        <w:widowControl w:val="0"/>
      </w:pPr>
    </w:p>
    <w:p w:rsidR="000A1474" w:rsidRPr="003A4B56" w:rsidRDefault="000A1474" w:rsidP="00B51B51">
      <w:pPr>
        <w:widowControl w:val="0"/>
      </w:pPr>
      <w:r w:rsidRPr="003A4B56">
        <w:lastRenderedPageBreak/>
        <w:t xml:space="preserve">Una vez conocida la precipitación efectiva, se restó a </w:t>
      </w:r>
      <w:smartTag w:uri="urn:schemas-microsoft-com:office:smarttags" w:element="PersonName">
        <w:smartTagPr>
          <w:attr w:name="ProductID" w:val="la Evapotranspiración Real"/>
        </w:smartTagPr>
        <w:r w:rsidRPr="003A4B56">
          <w:t>la Evapotranspiración Real</w:t>
        </w:r>
      </w:smartTag>
      <w:r w:rsidRPr="003A4B56">
        <w:t xml:space="preserve"> (ETr) obtenida en el punto anterior. De esta forma, se determinaron las demandas unitarias netas mensuales para cada cultivo y sector.</w:t>
      </w:r>
    </w:p>
    <w:p w:rsidR="000A1474" w:rsidRPr="003A4B56" w:rsidRDefault="000A1474" w:rsidP="00B51B51">
      <w:pPr>
        <w:widowControl w:val="0"/>
        <w:rPr>
          <w:b/>
        </w:rPr>
      </w:pPr>
    </w:p>
    <w:p w:rsidR="000A1474" w:rsidRPr="003A4B56" w:rsidRDefault="00136AD9" w:rsidP="00B51B51">
      <w:pPr>
        <w:widowControl w:val="0"/>
        <w:rPr>
          <w:b/>
        </w:rPr>
      </w:pPr>
      <w:r w:rsidRPr="003A4B56">
        <w:rPr>
          <w:b/>
        </w:rPr>
        <w:t>c.3)</w:t>
      </w:r>
      <w:r w:rsidRPr="003A4B56">
        <w:rPr>
          <w:b/>
        </w:rPr>
        <w:tab/>
      </w:r>
      <w:r w:rsidR="000A1474" w:rsidRPr="003A4B56">
        <w:rPr>
          <w:b/>
        </w:rPr>
        <w:t>Eficiencias de Riego y Tasas de Riego</w:t>
      </w:r>
    </w:p>
    <w:p w:rsidR="000A1474" w:rsidRPr="003A4B56" w:rsidRDefault="000A1474" w:rsidP="00B51B51">
      <w:pPr>
        <w:widowControl w:val="0"/>
      </w:pPr>
    </w:p>
    <w:p w:rsidR="000A1474" w:rsidRPr="003A4B56" w:rsidRDefault="000A1474" w:rsidP="00B51B51">
      <w:pPr>
        <w:widowControl w:val="0"/>
      </w:pPr>
      <w:r w:rsidRPr="003A4B56">
        <w:t>Las eficiencias de riego consideradas para los diferentes cultivos asignados en situación proyectada, corresponden a valores que se producen a nivel potrero. Estas eficiencias varían según el método de riego utilizado, sea éste gravitacional o tecnificado.</w:t>
      </w:r>
    </w:p>
    <w:p w:rsidR="000A1474" w:rsidRPr="003A4B56" w:rsidRDefault="000A1474" w:rsidP="00B51B51">
      <w:pPr>
        <w:widowControl w:val="0"/>
      </w:pPr>
    </w:p>
    <w:p w:rsidR="000A1474" w:rsidRPr="003A4B56" w:rsidRDefault="000A1474" w:rsidP="00B51B51">
      <w:pPr>
        <w:widowControl w:val="0"/>
      </w:pPr>
      <w:r w:rsidRPr="003A4B56">
        <w:t xml:space="preserve">A cada uno de los métodos de riego se les asignó un determinado coeficiente de eficiencia. Estos coeficientes, debido a la imposibilidad de hacer experiencias a lo largo del estudio, se estimaron de acuerdo a la experiencia de los consultores, y tomando como base los coeficientes contenidos en </w:t>
      </w:r>
      <w:smartTag w:uri="urn:schemas-microsoft-com:office:smarttags" w:element="PersonName">
        <w:smartTagPr>
          <w:attr w:name="ProductID" w:val="la Ley No."/>
        </w:smartTagPr>
        <w:r w:rsidRPr="003A4B56">
          <w:t>la Ley No.</w:t>
        </w:r>
      </w:smartTag>
      <w:r w:rsidRPr="003A4B56">
        <w:t xml:space="preserve"> 18.450, de subsidio al riego.</w:t>
      </w:r>
    </w:p>
    <w:p w:rsidR="000A1474" w:rsidRPr="003A4B56" w:rsidRDefault="000A1474" w:rsidP="00B51B51">
      <w:pPr>
        <w:widowControl w:val="0"/>
      </w:pPr>
    </w:p>
    <w:p w:rsidR="000A1474" w:rsidRPr="003A4B56" w:rsidRDefault="000A1474" w:rsidP="00B51B51">
      <w:pPr>
        <w:widowControl w:val="0"/>
      </w:pPr>
      <w:r w:rsidRPr="003A4B56">
        <w:t>Cabe señalar que en el caso de los frutales se consideró un 100% de tecnificación en el riego y, en el caso de hortalizas y papa, se tecnificó el 50% de la superficie asignada y el otro 50% se mejoró la eficiencia de riego actual, es decir, el método de riego por surco de 45% de eficiencia fue mejorado a un 50%. De igual forma aquellos cultivos regados en la actualidad por tendido, su eficiencia actual del 30% fue mejorada a 35%.</w:t>
      </w:r>
    </w:p>
    <w:p w:rsidR="000A1474" w:rsidRPr="003A4B56" w:rsidRDefault="000A1474" w:rsidP="00B51B51">
      <w:pPr>
        <w:widowControl w:val="0"/>
      </w:pPr>
    </w:p>
    <w:p w:rsidR="000A1474" w:rsidRPr="003A4B56" w:rsidRDefault="000A1474" w:rsidP="00B51B51">
      <w:pPr>
        <w:widowControl w:val="0"/>
      </w:pPr>
      <w:r w:rsidRPr="003A4B56">
        <w:t xml:space="preserve">Las eficiencias consideradas para cada uno de las especies cultivadas se presentan en </w:t>
      </w:r>
      <w:smartTag w:uri="urn:schemas-microsoft-com:office:smarttags" w:element="PersonName">
        <w:smartTagPr>
          <w:attr w:name="ProductID" w:val="la ￼￼￼￼￼￼￼￼￼￼￼￼￼￼￼￼￼￼￼￼￼￼￼￼￼￼￼￼￼￼￼￼￼￼￼￼￼￼￼￼￼Tabla"/>
        </w:smartTagPr>
        <w:r w:rsidRPr="003A4B56">
          <w:t>la</w:t>
        </w:r>
        <w:r w:rsidR="00AE103B">
          <w:t xml:space="preserve"> </w:t>
        </w:r>
        <w:r w:rsidR="00AE103B">
          <w:fldChar w:fldCharType="begin"/>
        </w:r>
        <w:r w:rsidR="00AE103B">
          <w:instrText xml:space="preserve"> REF _Ref342550011 \h </w:instrText>
        </w:r>
        <w:r w:rsidR="00AE103B">
          <w:fldChar w:fldCharType="separate"/>
        </w:r>
        <w:r w:rsidR="00264070">
          <w:t>Tabla</w:t>
        </w:r>
      </w:smartTag>
      <w:r w:rsidR="00264070">
        <w:t xml:space="preserve"> </w:t>
      </w:r>
      <w:r w:rsidR="00264070">
        <w:rPr>
          <w:noProof/>
        </w:rPr>
        <w:t>5</w:t>
      </w:r>
      <w:r w:rsidR="00264070">
        <w:t>.</w:t>
      </w:r>
      <w:r w:rsidR="00264070">
        <w:rPr>
          <w:noProof/>
        </w:rPr>
        <w:t>81</w:t>
      </w:r>
      <w:r w:rsidR="00AE103B">
        <w:fldChar w:fldCharType="end"/>
      </w:r>
      <w:r w:rsidR="00AE103B">
        <w:t>.</w:t>
      </w:r>
    </w:p>
    <w:p w:rsidR="000A1474" w:rsidRPr="003A4B56" w:rsidRDefault="000A1474" w:rsidP="00B51B51">
      <w:pPr>
        <w:widowControl w:val="0"/>
      </w:pPr>
    </w:p>
    <w:p w:rsidR="000A1474" w:rsidRPr="003A4B56" w:rsidRDefault="00136AD9" w:rsidP="00B51B51">
      <w:pPr>
        <w:widowControl w:val="0"/>
      </w:pPr>
      <w:r w:rsidRPr="003A4B56">
        <w:rPr>
          <w:b/>
        </w:rPr>
        <w:t>c.4)</w:t>
      </w:r>
      <w:r w:rsidRPr="003A4B56">
        <w:rPr>
          <w:b/>
        </w:rPr>
        <w:tab/>
      </w:r>
      <w:r w:rsidR="000A1474" w:rsidRPr="003A4B56">
        <w:rPr>
          <w:b/>
        </w:rPr>
        <w:t>Demandas Brutas de Riego</w:t>
      </w:r>
    </w:p>
    <w:p w:rsidR="000A1474" w:rsidRPr="003A4B56" w:rsidRDefault="000A1474" w:rsidP="00B51B51">
      <w:pPr>
        <w:widowControl w:val="0"/>
      </w:pPr>
    </w:p>
    <w:p w:rsidR="000A1474" w:rsidRPr="003A4B56" w:rsidRDefault="00525535" w:rsidP="00B51B51">
      <w:pPr>
        <w:widowControl w:val="0"/>
      </w:pPr>
      <w:r>
        <w:t>Se han determinado las demandas brutas de agua por</w:t>
      </w:r>
      <w:r w:rsidR="000A1474" w:rsidRPr="003A4B56">
        <w:t xml:space="preserve"> cultivo. Esto se ha efectuado mediante la multiplicación de las tasas de riego por las asignaciones de cultivo.</w:t>
      </w:r>
    </w:p>
    <w:p w:rsidR="000A1474" w:rsidRPr="003A4B56" w:rsidRDefault="000A1474" w:rsidP="00B51B51">
      <w:pPr>
        <w:widowControl w:val="0"/>
      </w:pPr>
    </w:p>
    <w:p w:rsidR="000A1474" w:rsidRPr="0074394A" w:rsidRDefault="000A1474" w:rsidP="00B51B51">
      <w:pPr>
        <w:widowControl w:val="0"/>
      </w:pPr>
      <w:r w:rsidRPr="0074394A">
        <w:t xml:space="preserve">La información por  subcuenca y especie cultivada se presenta en </w:t>
      </w:r>
      <w:smartTag w:uri="urn:schemas-microsoft-com:office:smarttags" w:element="PersonName">
        <w:smartTagPr>
          <w:attr w:name="ProductID" w:val="la ￼￼￼￼￼￼￼￼￼￼￼￼￼￼￼￼￼￼￼￼￼￼￼￼￼￼￼￼￼￼￼￼￼￼￼￼￼￼￼￼￼Tabla"/>
        </w:smartTagPr>
        <w:r w:rsidRPr="0074394A">
          <w:t xml:space="preserve">la </w:t>
        </w:r>
        <w:r w:rsidR="0074394A" w:rsidRPr="0074394A">
          <w:fldChar w:fldCharType="begin"/>
        </w:r>
        <w:r w:rsidR="0074394A" w:rsidRPr="0074394A">
          <w:instrText xml:space="preserve"> REF _Ref338410044 \h </w:instrText>
        </w:r>
        <w:r w:rsidR="0074394A" w:rsidRPr="0074394A">
          <w:instrText xml:space="preserve"> \* MERGEFORMAT </w:instrText>
        </w:r>
        <w:r w:rsidR="0074394A" w:rsidRPr="0074394A">
          <w:fldChar w:fldCharType="separate"/>
        </w:r>
        <w:r w:rsidR="00264070" w:rsidRPr="00264070">
          <w:t>Tabla</w:t>
        </w:r>
      </w:smartTag>
      <w:r w:rsidR="00264070" w:rsidRPr="00264070">
        <w:t xml:space="preserve"> </w:t>
      </w:r>
      <w:r w:rsidR="00264070" w:rsidRPr="00264070">
        <w:rPr>
          <w:noProof/>
        </w:rPr>
        <w:t>5.82</w:t>
      </w:r>
      <w:r w:rsidR="0074394A" w:rsidRPr="0074394A">
        <w:fldChar w:fldCharType="end"/>
      </w:r>
      <w:r w:rsidR="00136AD9" w:rsidRPr="0074394A">
        <w:t xml:space="preserve"> a</w:t>
      </w:r>
      <w:r w:rsidRPr="0074394A">
        <w:t xml:space="preserve"> </w:t>
      </w:r>
      <w:smartTag w:uri="urn:schemas-microsoft-com:office:smarttags" w:element="PersonName">
        <w:smartTagPr>
          <w:attr w:name="ProductID" w:val="la ￼￼￼￼￼￼￼￼￼￼￼￼￼￼￼￼￼￼￼￼￼￼￼￼￼￼￼￼￼￼￼￼￼￼￼￼￼￼￼￼￼Tabla"/>
        </w:smartTagPr>
        <w:r w:rsidRPr="0074394A">
          <w:t xml:space="preserve">la </w:t>
        </w:r>
        <w:r w:rsidRPr="0074394A">
          <w:fldChar w:fldCharType="begin"/>
        </w:r>
        <w:r w:rsidRPr="0074394A">
          <w:instrText xml:space="preserve"> REF _Ref336592219 \h </w:instrText>
        </w:r>
        <w:r w:rsidRPr="0074394A">
          <w:instrText xml:space="preserve"> \* MERGEFORMAT </w:instrText>
        </w:r>
        <w:r w:rsidRPr="0074394A">
          <w:fldChar w:fldCharType="separate"/>
        </w:r>
        <w:r w:rsidR="00264070" w:rsidRPr="00264070">
          <w:t>Tabla</w:t>
        </w:r>
      </w:smartTag>
      <w:r w:rsidR="00264070" w:rsidRPr="00264070">
        <w:t xml:space="preserve"> </w:t>
      </w:r>
      <w:r w:rsidR="00264070" w:rsidRPr="00264070">
        <w:rPr>
          <w:noProof/>
        </w:rPr>
        <w:t>5.93</w:t>
      </w:r>
      <w:r w:rsidRPr="0074394A">
        <w:fldChar w:fldCharType="end"/>
      </w:r>
      <w:r w:rsidRPr="0074394A">
        <w:t>.</w:t>
      </w:r>
    </w:p>
    <w:p w:rsidR="000A1474" w:rsidRPr="003A4B56" w:rsidRDefault="000A1474" w:rsidP="00B51B51">
      <w:pPr>
        <w:widowControl w:val="0"/>
      </w:pPr>
    </w:p>
    <w:p w:rsidR="000A1474" w:rsidRPr="003A4B56" w:rsidRDefault="000A1474" w:rsidP="00B51B51">
      <w:pPr>
        <w:widowControl w:val="0"/>
      </w:pPr>
      <w:r w:rsidRPr="003A4B56">
        <w:t xml:space="preserve">En </w:t>
      </w:r>
      <w:smartTag w:uri="urn:schemas-microsoft-com:office:smarttags" w:element="PersonName">
        <w:smartTagPr>
          <w:attr w:name="ProductID" w:val="la ￼￼￼￼￼￼￼￼￼￼￼￼￼￼￼￼￼￼￼￼￼￼￼￼￼￼￼￼￼￼￼￼￼￼￼￼￼￼￼￼￼Tabla"/>
        </w:smartTagPr>
        <w:r w:rsidRPr="003A4B56">
          <w:t xml:space="preserve">la </w:t>
        </w:r>
        <w:r w:rsidRPr="003A4B56">
          <w:fldChar w:fldCharType="begin"/>
        </w:r>
        <w:r w:rsidRPr="003A4B56">
          <w:instrText xml:space="preserve"> REF _Ref336592238 \h </w:instrText>
        </w:r>
        <w:r w:rsidRPr="003A4B56">
          <w:instrText xml:space="preserve"> \* MERGEFORMAT </w:instrText>
        </w:r>
        <w:r w:rsidRPr="003A4B56">
          <w:fldChar w:fldCharType="separate"/>
        </w:r>
        <w:r w:rsidR="00264070" w:rsidRPr="00264070">
          <w:t>Tabla</w:t>
        </w:r>
      </w:smartTag>
      <w:r w:rsidR="00264070" w:rsidRPr="00264070">
        <w:t xml:space="preserve"> </w:t>
      </w:r>
      <w:r w:rsidR="00264070" w:rsidRPr="00264070">
        <w:rPr>
          <w:noProof/>
        </w:rPr>
        <w:t>5.94</w:t>
      </w:r>
      <w:r w:rsidRPr="003A4B56">
        <w:fldChar w:fldCharType="end"/>
      </w:r>
      <w:r w:rsidRPr="003A4B56">
        <w:t xml:space="preserve"> se puede apreciar la demanda bruta para el total de </w:t>
      </w:r>
      <w:smartTag w:uri="urn:schemas-microsoft-com:office:smarttags" w:element="PersonName">
        <w:smartTagPr>
          <w:attr w:name="ProductID" w:val="la VI Región"/>
        </w:smartTagPr>
        <w:r w:rsidRPr="003A4B56">
          <w:t>la VI Región</w:t>
        </w:r>
      </w:smartTag>
      <w:r w:rsidRPr="003A4B56">
        <w:t xml:space="preserve"> del General Bernardo O´Higgins, la cual alcanza a los 2.251,3 millones de m</w:t>
      </w:r>
      <w:r w:rsidRPr="003A4B56">
        <w:rPr>
          <w:vertAlign w:val="superscript"/>
        </w:rPr>
        <w:t>3</w:t>
      </w:r>
      <w:r w:rsidRPr="003A4B56">
        <w:t xml:space="preserve">, con un mes de máxima demanda en enero con </w:t>
      </w:r>
      <w:smartTag w:uri="urn:schemas-microsoft-com:office:smarttags" w:element="metricconverter">
        <w:smartTagPr>
          <w:attr w:name="ProductID" w:val="1.367 m3"/>
        </w:smartTagPr>
        <w:r w:rsidRPr="003A4B56">
          <w:t>1.367 m</w:t>
        </w:r>
        <w:r w:rsidRPr="003A4B56">
          <w:rPr>
            <w:vertAlign w:val="superscript"/>
          </w:rPr>
          <w:t>3</w:t>
        </w:r>
      </w:smartTag>
      <w:r w:rsidRPr="003A4B56">
        <w:t>.</w:t>
      </w:r>
    </w:p>
    <w:p w:rsidR="000A1474" w:rsidRPr="003A4B56" w:rsidRDefault="000A1474" w:rsidP="00B51B51">
      <w:pPr>
        <w:widowControl w:val="0"/>
      </w:pPr>
    </w:p>
    <w:p w:rsidR="000A1474" w:rsidRPr="003A4B56" w:rsidRDefault="00AE103B" w:rsidP="00B51B51">
      <w:pPr>
        <w:widowControl w:val="0"/>
      </w:pPr>
      <w:r>
        <w:t xml:space="preserve">Finalmente, de </w:t>
      </w:r>
      <w:smartTag w:uri="urn:schemas-microsoft-com:office:smarttags" w:element="PersonName">
        <w:smartTagPr>
          <w:attr w:name="ProductID" w:val="la ￼￼￼￼￼￼￼￼￼￼￼￼￼￼￼￼￼￼￼￼￼￼￼￼￼￼￼￼￼￼￼￼￼￼￼￼￼￼￼￼￼Tabla"/>
        </w:smartTagPr>
        <w:r>
          <w:t xml:space="preserve">la </w:t>
        </w:r>
        <w:r w:rsidRPr="00AE103B">
          <w:fldChar w:fldCharType="begin"/>
        </w:r>
        <w:r w:rsidRPr="00AE103B">
          <w:instrText xml:space="preserve"> REF _Ref336592270 \h </w:instrText>
        </w:r>
        <w:r w:rsidRPr="00AE103B">
          <w:instrText xml:space="preserve"> \* MERGEFORMAT </w:instrText>
        </w:r>
        <w:r w:rsidRPr="00AE103B">
          <w:fldChar w:fldCharType="separate"/>
        </w:r>
        <w:r w:rsidR="00264070" w:rsidRPr="00264070">
          <w:t>Tabla</w:t>
        </w:r>
      </w:smartTag>
      <w:r w:rsidR="00264070" w:rsidRPr="00264070">
        <w:t xml:space="preserve"> </w:t>
      </w:r>
      <w:r w:rsidR="00264070" w:rsidRPr="00264070">
        <w:rPr>
          <w:noProof/>
        </w:rPr>
        <w:t>5.95</w:t>
      </w:r>
      <w:r w:rsidRPr="00AE103B">
        <w:fldChar w:fldCharType="end"/>
      </w:r>
      <w:r>
        <w:t xml:space="preserve"> a </w:t>
      </w:r>
      <w:smartTag w:uri="urn:schemas-microsoft-com:office:smarttags" w:element="PersonName">
        <w:smartTagPr>
          <w:attr w:name="ProductID" w:val="la ￼￼￼￼￼￼￼￼￼￼￼￼￼￼￼￼￼￼￼￼￼￼￼￼￼￼￼￼￼￼￼￼￼￼￼￼￼￼￼￼￼Tabla"/>
        </w:smartTagPr>
        <w:r>
          <w:t xml:space="preserve">la </w:t>
        </w:r>
        <w:r w:rsidRPr="00AE103B">
          <w:fldChar w:fldCharType="begin"/>
        </w:r>
        <w:r w:rsidRPr="00AE103B">
          <w:instrText xml:space="preserve"> REF _Ref342550150 \h </w:instrText>
        </w:r>
        <w:r w:rsidRPr="00AE103B">
          <w:instrText xml:space="preserve"> \* MERGEFORMAT </w:instrText>
        </w:r>
        <w:r w:rsidRPr="00AE103B">
          <w:fldChar w:fldCharType="separate"/>
        </w:r>
        <w:r w:rsidR="00264070" w:rsidRPr="00264070">
          <w:t>Tabla</w:t>
        </w:r>
      </w:smartTag>
      <w:r w:rsidR="00264070" w:rsidRPr="00264070">
        <w:t xml:space="preserve"> </w:t>
      </w:r>
      <w:r w:rsidR="00264070" w:rsidRPr="00264070">
        <w:rPr>
          <w:noProof/>
        </w:rPr>
        <w:t>5.97</w:t>
      </w:r>
      <w:r w:rsidRPr="00AE103B">
        <w:fldChar w:fldCharType="end"/>
      </w:r>
      <w:r w:rsidR="00A734CA">
        <w:t xml:space="preserve"> </w:t>
      </w:r>
      <w:r w:rsidR="000A1474" w:rsidRPr="003A4B56">
        <w:t xml:space="preserve">se presenta la demanda bruta para cada una de las áreas externas a </w:t>
      </w:r>
      <w:smartTag w:uri="urn:schemas-microsoft-com:office:smarttags" w:element="PersonName">
        <w:smartTagPr>
          <w:attr w:name="ProductID" w:val="la VI Región"/>
        </w:smartTagPr>
        <w:r w:rsidR="000A1474" w:rsidRPr="003A4B56">
          <w:t>la VI Región</w:t>
        </w:r>
      </w:smartTag>
      <w:r w:rsidR="000A1474" w:rsidRPr="003A4B56">
        <w:t xml:space="preserve"> y que son parte aportante del sistema hídrico de esta zona.</w:t>
      </w:r>
    </w:p>
    <w:p w:rsidR="000A1474" w:rsidRPr="003A4B56" w:rsidRDefault="000A1474" w:rsidP="00B51B51">
      <w:pPr>
        <w:widowControl w:val="0"/>
      </w:pPr>
    </w:p>
    <w:p w:rsidR="000A1474" w:rsidRPr="003A4B56" w:rsidRDefault="000A1474" w:rsidP="00B51B51">
      <w:pPr>
        <w:widowControl w:val="0"/>
      </w:pPr>
    </w:p>
    <w:p w:rsidR="000A1474" w:rsidRPr="003A4B56" w:rsidRDefault="000A1474" w:rsidP="00B51B51">
      <w:pPr>
        <w:widowControl w:val="0"/>
      </w:pPr>
    </w:p>
    <w:p w:rsidR="000A1474" w:rsidRPr="003A4B56" w:rsidRDefault="000A1474" w:rsidP="00B51B51">
      <w:pPr>
        <w:widowControl w:val="0"/>
      </w:pPr>
    </w:p>
    <w:p w:rsidR="000A1474" w:rsidRPr="003A4B56" w:rsidRDefault="000A1474" w:rsidP="00B51B51">
      <w:pPr>
        <w:widowControl w:val="0"/>
      </w:pPr>
    </w:p>
    <w:p w:rsidR="00AE103B" w:rsidRDefault="00AE103B" w:rsidP="00AE103B">
      <w:pPr>
        <w:pStyle w:val="Epgrafe"/>
        <w:keepNext/>
        <w:jc w:val="both"/>
      </w:pPr>
    </w:p>
    <w:p w:rsidR="00AE103B" w:rsidRDefault="00AE103B" w:rsidP="00AE103B">
      <w:pPr>
        <w:pStyle w:val="Epgrafe"/>
        <w:keepNext/>
      </w:pPr>
      <w:bookmarkStart w:id="360" w:name="_Ref342550011"/>
      <w:r>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81</w:t>
      </w:r>
      <w:r w:rsidR="007F3102">
        <w:fldChar w:fldCharType="end"/>
      </w:r>
      <w:bookmarkEnd w:id="360"/>
      <w:r>
        <w:t xml:space="preserve"> Eficiencias de Riego por Especie</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2179955" cy="7559675"/>
            <wp:effectExtent l="0" t="0" r="0" b="317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79955" cy="755967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rPr>
          <w:rFonts w:cs="Arial"/>
          <w:sz w:val="16"/>
        </w:rPr>
      </w:pPr>
    </w:p>
    <w:p w:rsidR="000A1474" w:rsidRPr="003A4B56" w:rsidRDefault="000A1474" w:rsidP="00B51B51">
      <w:pPr>
        <w:pStyle w:val="Sangradetextonormal"/>
        <w:widowControl w:val="0"/>
        <w:tabs>
          <w:tab w:val="left" w:pos="1418"/>
        </w:tabs>
        <w:rPr>
          <w:rFonts w:cs="Arial"/>
          <w:sz w:val="16"/>
        </w:rPr>
        <w:sectPr w:rsidR="000A1474" w:rsidRPr="003A4B56" w:rsidSect="000A1474">
          <w:pgSz w:w="12242" w:h="15842" w:code="1"/>
          <w:pgMar w:top="1418" w:right="1701" w:bottom="1418" w:left="1701" w:header="720" w:footer="964" w:gutter="0"/>
          <w:cols w:space="720"/>
        </w:sectPr>
      </w:pPr>
    </w:p>
    <w:p w:rsidR="000A1474" w:rsidRPr="003A4B56" w:rsidRDefault="000A1474" w:rsidP="00B51B51">
      <w:pPr>
        <w:pStyle w:val="Sangradetextonormal"/>
        <w:widowControl w:val="0"/>
        <w:tabs>
          <w:tab w:val="left" w:pos="1418"/>
        </w:tabs>
        <w:jc w:val="center"/>
        <w:rPr>
          <w:rFonts w:cs="Arial"/>
          <w:b/>
          <w:bCs/>
        </w:rPr>
      </w:pPr>
      <w:bookmarkStart w:id="361" w:name="_Ref336592193"/>
      <w:bookmarkStart w:id="362" w:name="_Ref338410044"/>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82</w:t>
      </w:r>
      <w:r w:rsidR="007F3102">
        <w:rPr>
          <w:b/>
        </w:rPr>
        <w:fldChar w:fldCharType="end"/>
      </w:r>
      <w:bookmarkEnd w:id="361"/>
      <w:bookmarkEnd w:id="362"/>
      <w:r w:rsidRPr="003A4B56">
        <w:rPr>
          <w:rFonts w:cs="Arial"/>
          <w:b/>
          <w:bCs/>
          <w:noProof/>
        </w:rPr>
        <w:t xml:space="preserve"> </w:t>
      </w:r>
      <w:r w:rsidRPr="003A4B56">
        <w:rPr>
          <w:rFonts w:cs="Arial"/>
          <w:b/>
          <w:bCs/>
        </w:rPr>
        <w:t>Demandas Brutas Subcuenca 0571 (m</w:t>
      </w:r>
      <w:r w:rsidRPr="003A4B56">
        <w:rPr>
          <w:rFonts w:cs="Arial"/>
          <w:b/>
          <w:bCs/>
          <w:szCs w:val="22"/>
          <w:vertAlign w:val="superscript"/>
        </w:rPr>
        <w:t>3</w:t>
      </w:r>
      <w:r w:rsidRPr="003A4B56">
        <w:rPr>
          <w:rFonts w:cs="Arial"/>
          <w:b/>
          <w:bCs/>
        </w:rPr>
        <w:t>)</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40395" cy="4965700"/>
            <wp:effectExtent l="0" t="0" r="8255" b="635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240395" cy="496570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83</w:t>
      </w:r>
      <w:r w:rsidR="007F3102">
        <w:rPr>
          <w:b/>
        </w:rPr>
        <w:fldChar w:fldCharType="end"/>
      </w:r>
      <w:r w:rsidRPr="003A4B56">
        <w:rPr>
          <w:rFonts w:cs="Arial"/>
          <w:b/>
          <w:bCs/>
          <w:noProof/>
        </w:rPr>
        <w:t xml:space="preserve"> </w:t>
      </w:r>
      <w:r w:rsidRPr="003A4B56">
        <w:rPr>
          <w:rFonts w:cs="Arial"/>
          <w:b/>
          <w:bCs/>
        </w:rPr>
        <w:t>Demandas Brutas Subcuenca 0600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806190"/>
            <wp:effectExtent l="0" t="0" r="0" b="381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250555" cy="380619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84</w:t>
      </w:r>
      <w:r w:rsidR="007F3102">
        <w:rPr>
          <w:b/>
        </w:rPr>
        <w:fldChar w:fldCharType="end"/>
      </w:r>
      <w:r w:rsidRPr="003A4B56">
        <w:rPr>
          <w:rFonts w:cs="Arial"/>
          <w:b/>
          <w:bCs/>
          <w:noProof/>
        </w:rPr>
        <w:t xml:space="preserve"> </w:t>
      </w:r>
      <w:r w:rsidRPr="003A4B56">
        <w:rPr>
          <w:rFonts w:cs="Arial"/>
          <w:b/>
          <w:bCs/>
        </w:rPr>
        <w:t>Demandas Brutas Subcuenca 0601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197850" cy="501840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197850" cy="501840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85</w:t>
      </w:r>
      <w:r w:rsidR="007F3102">
        <w:rPr>
          <w:b/>
        </w:rPr>
        <w:fldChar w:fldCharType="end"/>
      </w:r>
      <w:r w:rsidRPr="003A4B56">
        <w:rPr>
          <w:rFonts w:cs="Arial"/>
          <w:b/>
          <w:bCs/>
          <w:noProof/>
        </w:rPr>
        <w:t xml:space="preserve"> </w:t>
      </w:r>
      <w:r w:rsidRPr="003A4B56">
        <w:rPr>
          <w:rFonts w:cs="Arial"/>
          <w:b/>
          <w:bCs/>
        </w:rPr>
        <w:t>Demandas Brutas Subcuenca 0604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08645" cy="4954905"/>
            <wp:effectExtent l="0" t="0" r="190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208645" cy="495490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86</w:t>
      </w:r>
      <w:r w:rsidR="007F3102">
        <w:rPr>
          <w:b/>
        </w:rPr>
        <w:fldChar w:fldCharType="end"/>
      </w:r>
      <w:r w:rsidRPr="003A4B56">
        <w:rPr>
          <w:rFonts w:cs="Arial"/>
          <w:b/>
          <w:bCs/>
          <w:noProof/>
        </w:rPr>
        <w:t xml:space="preserve"> </w:t>
      </w:r>
      <w:r w:rsidRPr="003A4B56">
        <w:rPr>
          <w:rFonts w:cs="Arial"/>
          <w:b/>
          <w:bCs/>
        </w:rPr>
        <w:t>Demandas Brutas Subcuenca 0605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4901565"/>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250555" cy="490156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87</w:t>
      </w:r>
      <w:r w:rsidR="007F3102">
        <w:rPr>
          <w:b/>
        </w:rPr>
        <w:fldChar w:fldCharType="end"/>
      </w:r>
      <w:r w:rsidRPr="003A4B56">
        <w:rPr>
          <w:rFonts w:cs="Arial"/>
          <w:b/>
          <w:bCs/>
          <w:noProof/>
        </w:rPr>
        <w:t xml:space="preserve"> </w:t>
      </w:r>
      <w:r w:rsidRPr="003A4B56">
        <w:rPr>
          <w:rFonts w:cs="Arial"/>
          <w:b/>
          <w:bCs/>
        </w:rPr>
        <w:t>Demandas Brutas Subcuenca 0610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1158875"/>
            <wp:effectExtent l="0" t="0" r="0" b="31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250555" cy="115887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88</w:t>
      </w:r>
      <w:r w:rsidR="007F3102">
        <w:rPr>
          <w:b/>
        </w:rPr>
        <w:fldChar w:fldCharType="end"/>
      </w:r>
      <w:r w:rsidRPr="003A4B56">
        <w:rPr>
          <w:rFonts w:cs="Arial"/>
          <w:b/>
          <w:bCs/>
          <w:noProof/>
        </w:rPr>
        <w:t xml:space="preserve"> </w:t>
      </w:r>
      <w:r w:rsidRPr="003A4B56">
        <w:rPr>
          <w:rFonts w:cs="Arial"/>
          <w:b/>
          <w:bCs/>
        </w:rPr>
        <w:t>Demandas Brutas Subcuenca 0611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242945"/>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250555" cy="324294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89</w:t>
      </w:r>
      <w:r w:rsidR="007F3102">
        <w:rPr>
          <w:b/>
        </w:rPr>
        <w:fldChar w:fldCharType="end"/>
      </w:r>
      <w:r w:rsidRPr="003A4B56">
        <w:rPr>
          <w:rFonts w:cs="Arial"/>
          <w:b/>
          <w:bCs/>
          <w:noProof/>
        </w:rPr>
        <w:t xml:space="preserve"> </w:t>
      </w:r>
      <w:r w:rsidRPr="003A4B56">
        <w:rPr>
          <w:rFonts w:cs="Arial"/>
          <w:b/>
          <w:bCs/>
        </w:rPr>
        <w:t>Demandas Brutas Subcuenca 0612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76581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250555" cy="76581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90</w:t>
      </w:r>
      <w:r w:rsidR="007F3102">
        <w:rPr>
          <w:b/>
        </w:rPr>
        <w:fldChar w:fldCharType="end"/>
      </w:r>
      <w:r w:rsidRPr="003A4B56">
        <w:rPr>
          <w:rFonts w:cs="Arial"/>
          <w:b/>
          <w:bCs/>
          <w:noProof/>
        </w:rPr>
        <w:t xml:space="preserve"> </w:t>
      </w:r>
      <w:r w:rsidRPr="003A4B56">
        <w:rPr>
          <w:rFonts w:cs="Arial"/>
          <w:b/>
          <w:bCs/>
        </w:rPr>
        <w:t>Demandas Brutas Subcuenca 0602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636645"/>
            <wp:effectExtent l="0" t="0" r="0" b="190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250555" cy="363664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91</w:t>
      </w:r>
      <w:r w:rsidR="007F3102">
        <w:rPr>
          <w:b/>
        </w:rPr>
        <w:fldChar w:fldCharType="end"/>
      </w:r>
      <w:r w:rsidRPr="003A4B56">
        <w:rPr>
          <w:rFonts w:cs="Arial"/>
          <w:b/>
          <w:bCs/>
          <w:noProof/>
        </w:rPr>
        <w:t xml:space="preserve"> </w:t>
      </w:r>
      <w:r w:rsidRPr="003A4B56">
        <w:rPr>
          <w:rFonts w:cs="Arial"/>
          <w:b/>
          <w:bCs/>
        </w:rPr>
        <w:t>Demandas Brutas Subcuenca 0603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61350" cy="4954905"/>
            <wp:effectExtent l="0" t="0" r="635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261350" cy="495490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92</w:t>
      </w:r>
      <w:r w:rsidR="007F3102">
        <w:rPr>
          <w:b/>
        </w:rPr>
        <w:fldChar w:fldCharType="end"/>
      </w:r>
      <w:r w:rsidRPr="003A4B56">
        <w:rPr>
          <w:rFonts w:cs="Arial"/>
          <w:b/>
          <w:bCs/>
          <w:noProof/>
        </w:rPr>
        <w:t xml:space="preserve"> </w:t>
      </w:r>
      <w:r w:rsidRPr="003A4B56">
        <w:rPr>
          <w:rFonts w:cs="Arial"/>
          <w:b/>
          <w:bCs/>
        </w:rPr>
        <w:t>Demandas Brutas Subcuenca 0613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08645" cy="4975860"/>
            <wp:effectExtent l="0" t="0" r="190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208645" cy="497586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363" w:name="_Ref336592219"/>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93</w:t>
      </w:r>
      <w:r w:rsidR="007F3102">
        <w:rPr>
          <w:b/>
        </w:rPr>
        <w:fldChar w:fldCharType="end"/>
      </w:r>
      <w:bookmarkEnd w:id="363"/>
      <w:r w:rsidRPr="003A4B56">
        <w:rPr>
          <w:rFonts w:cs="Arial"/>
          <w:b/>
          <w:bCs/>
          <w:noProof/>
        </w:rPr>
        <w:t xml:space="preserve"> </w:t>
      </w:r>
      <w:r w:rsidRPr="003A4B56">
        <w:rPr>
          <w:rFonts w:cs="Arial"/>
          <w:b/>
          <w:bCs/>
        </w:rPr>
        <w:t xml:space="preserve">Demandas Brutas Subcuenca </w:t>
      </w:r>
      <w:smartTag w:uri="urn:schemas-microsoft-com:office:smarttags" w:element="metricconverter">
        <w:smartTagPr>
          <w:attr w:name="ProductID" w:val="0614 m3"/>
        </w:smartTagPr>
        <w:r w:rsidRPr="003A4B56">
          <w:rPr>
            <w:rFonts w:cs="Arial"/>
            <w:b/>
            <w:bCs/>
          </w:rPr>
          <w:t xml:space="preserve">0614 </w:t>
        </w:r>
        <w:r w:rsidR="00136AD9" w:rsidRPr="003A4B56">
          <w:rPr>
            <w:rFonts w:cs="Arial"/>
            <w:b/>
            <w:bCs/>
          </w:rPr>
          <w:t>m</w:t>
        </w:r>
        <w:r w:rsidR="00136AD9" w:rsidRPr="003A4B56">
          <w:rPr>
            <w:rFonts w:cs="Arial"/>
            <w:b/>
            <w:bCs/>
            <w:szCs w:val="22"/>
            <w:vertAlign w:val="superscript"/>
          </w:rPr>
          <w:t>3</w:t>
        </w:r>
      </w:smartTag>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9144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250555" cy="91440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364" w:name="_Ref336592238"/>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94</w:t>
      </w:r>
      <w:r w:rsidR="007F3102">
        <w:rPr>
          <w:b/>
        </w:rPr>
        <w:fldChar w:fldCharType="end"/>
      </w:r>
      <w:bookmarkEnd w:id="364"/>
      <w:r w:rsidRPr="003A4B56">
        <w:rPr>
          <w:rFonts w:cs="Arial"/>
          <w:b/>
          <w:bCs/>
          <w:noProof/>
        </w:rPr>
        <w:t xml:space="preserve"> </w:t>
      </w:r>
      <w:r w:rsidRPr="003A4B56">
        <w:rPr>
          <w:rFonts w:cs="Arial"/>
          <w:b/>
          <w:bCs/>
        </w:rPr>
        <w:t>Demandas Brutas Total VI Región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40395" cy="5018405"/>
            <wp:effectExtent l="0" t="0" r="8255"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240395" cy="501840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bookmarkStart w:id="365" w:name="_Ref336592270"/>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95</w:t>
      </w:r>
      <w:r w:rsidR="007F3102">
        <w:rPr>
          <w:b/>
        </w:rPr>
        <w:fldChar w:fldCharType="end"/>
      </w:r>
      <w:bookmarkEnd w:id="365"/>
      <w:r w:rsidRPr="003A4B56">
        <w:rPr>
          <w:rFonts w:cs="Arial"/>
          <w:b/>
          <w:bCs/>
          <w:noProof/>
        </w:rPr>
        <w:t xml:space="preserve"> </w:t>
      </w:r>
      <w:r w:rsidRPr="003A4B56">
        <w:rPr>
          <w:rFonts w:cs="Arial"/>
          <w:b/>
          <w:bCs/>
        </w:rPr>
        <w:t>Demandas Brutas Área Externa de Alhué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250555" cy="3402330"/>
            <wp:effectExtent l="0" t="0" r="0" b="76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250555" cy="3402330"/>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p>
    <w:p w:rsidR="000A1474" w:rsidRPr="003A4B56" w:rsidRDefault="000A1474" w:rsidP="00B51B51">
      <w:pPr>
        <w:pStyle w:val="Sangradetextonormal"/>
        <w:widowControl w:val="0"/>
        <w:tabs>
          <w:tab w:val="left" w:pos="1418"/>
        </w:tabs>
        <w:jc w:val="center"/>
        <w:rPr>
          <w:rFonts w:cs="Arial"/>
          <w:b/>
          <w:bCs/>
        </w:rPr>
      </w:pPr>
      <w:r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96</w:t>
      </w:r>
      <w:r w:rsidR="007F3102">
        <w:rPr>
          <w:b/>
        </w:rPr>
        <w:fldChar w:fldCharType="end"/>
      </w:r>
      <w:r w:rsidRPr="003A4B56">
        <w:rPr>
          <w:rFonts w:cs="Arial"/>
          <w:b/>
          <w:bCs/>
          <w:noProof/>
        </w:rPr>
        <w:t xml:space="preserve"> </w:t>
      </w:r>
      <w:r w:rsidRPr="003A4B56">
        <w:rPr>
          <w:rFonts w:cs="Arial"/>
          <w:b/>
          <w:bCs/>
        </w:rPr>
        <w:t>Demandas Brutas Área Externa de Teno (</w:t>
      </w:r>
      <w:r w:rsidR="00136AD9" w:rsidRPr="003A4B56">
        <w:rPr>
          <w:rFonts w:cs="Arial"/>
          <w:b/>
          <w:bCs/>
        </w:rPr>
        <w:t>m</w:t>
      </w:r>
      <w:r w:rsidR="00136AD9" w:rsidRPr="003A4B56">
        <w:rPr>
          <w:rFonts w:cs="Arial"/>
          <w:b/>
          <w:bCs/>
          <w:szCs w:val="22"/>
          <w:vertAlign w:val="superscript"/>
        </w:rPr>
        <w:t>3</w:t>
      </w:r>
      <w:r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b/>
          <w:bCs/>
        </w:rPr>
      </w:pPr>
      <w:r>
        <w:rPr>
          <w:noProof/>
          <w:lang w:val="es-CL" w:eastAsia="es-CL"/>
        </w:rPr>
        <w:drawing>
          <wp:inline distT="0" distB="0" distL="0" distR="0">
            <wp:extent cx="8197850" cy="5252720"/>
            <wp:effectExtent l="0" t="0" r="0" b="508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197850" cy="5252720"/>
                    </a:xfrm>
                    <a:prstGeom prst="rect">
                      <a:avLst/>
                    </a:prstGeom>
                    <a:noFill/>
                    <a:ln>
                      <a:noFill/>
                    </a:ln>
                  </pic:spPr>
                </pic:pic>
              </a:graphicData>
            </a:graphic>
          </wp:inline>
        </w:drawing>
      </w:r>
    </w:p>
    <w:p w:rsidR="000A1474" w:rsidRPr="003A4B56" w:rsidRDefault="0074394A" w:rsidP="00B51B51">
      <w:pPr>
        <w:pStyle w:val="Sangradetextonormal"/>
        <w:widowControl w:val="0"/>
        <w:tabs>
          <w:tab w:val="left" w:pos="1418"/>
        </w:tabs>
        <w:jc w:val="center"/>
        <w:rPr>
          <w:rFonts w:cs="Arial"/>
          <w:b/>
          <w:bCs/>
        </w:rPr>
      </w:pPr>
      <w:bookmarkStart w:id="366" w:name="_Ref336592284"/>
      <w:r>
        <w:rPr>
          <w:b/>
        </w:rPr>
        <w:br w:type="page"/>
      </w:r>
      <w:bookmarkStart w:id="367" w:name="_Ref342550150"/>
      <w:r w:rsidR="000A1474" w:rsidRPr="003A4B56">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97</w:t>
      </w:r>
      <w:r w:rsidR="007F3102">
        <w:rPr>
          <w:b/>
        </w:rPr>
        <w:fldChar w:fldCharType="end"/>
      </w:r>
      <w:bookmarkEnd w:id="366"/>
      <w:bookmarkEnd w:id="367"/>
      <w:r w:rsidR="000A1474" w:rsidRPr="003A4B56">
        <w:rPr>
          <w:rFonts w:cs="Arial"/>
          <w:b/>
          <w:bCs/>
          <w:noProof/>
        </w:rPr>
        <w:t xml:space="preserve"> </w:t>
      </w:r>
      <w:r w:rsidR="000A1474" w:rsidRPr="003A4B56">
        <w:rPr>
          <w:rFonts w:cs="Arial"/>
          <w:b/>
          <w:bCs/>
        </w:rPr>
        <w:t>Demandas Brutas Área Externa de Parrón/Cobre (</w:t>
      </w:r>
      <w:r w:rsidR="00136AD9" w:rsidRPr="003A4B56">
        <w:rPr>
          <w:rFonts w:cs="Arial"/>
          <w:b/>
          <w:bCs/>
        </w:rPr>
        <w:t>m</w:t>
      </w:r>
      <w:r w:rsidR="00136AD9" w:rsidRPr="003A4B56">
        <w:rPr>
          <w:rFonts w:cs="Arial"/>
          <w:b/>
          <w:bCs/>
          <w:szCs w:val="22"/>
          <w:vertAlign w:val="superscript"/>
        </w:rPr>
        <w:t>3</w:t>
      </w:r>
      <w:r w:rsidR="000A1474" w:rsidRPr="003A4B56">
        <w:rPr>
          <w:rFonts w:cs="Arial"/>
          <w:b/>
          <w:bCs/>
        </w:rPr>
        <w:t xml:space="preserve">) </w:t>
      </w:r>
    </w:p>
    <w:p w:rsidR="000A1474" w:rsidRPr="003A4B56" w:rsidRDefault="00254CE2" w:rsidP="00B51B51">
      <w:pPr>
        <w:pStyle w:val="Sangradetextonormal"/>
        <w:widowControl w:val="0"/>
        <w:tabs>
          <w:tab w:val="left" w:pos="1418"/>
        </w:tabs>
        <w:jc w:val="center"/>
        <w:rPr>
          <w:rFonts w:cs="Arial"/>
        </w:rPr>
      </w:pPr>
      <w:r>
        <w:rPr>
          <w:noProof/>
          <w:lang w:val="es-CL" w:eastAsia="es-CL"/>
        </w:rPr>
        <w:drawing>
          <wp:inline distT="0" distB="0" distL="0" distR="0">
            <wp:extent cx="8250555" cy="295592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250555" cy="2955925"/>
                    </a:xfrm>
                    <a:prstGeom prst="rect">
                      <a:avLst/>
                    </a:prstGeom>
                    <a:noFill/>
                    <a:ln>
                      <a:noFill/>
                    </a:ln>
                  </pic:spPr>
                </pic:pic>
              </a:graphicData>
            </a:graphic>
          </wp:inline>
        </w:drawing>
      </w:r>
    </w:p>
    <w:p w:rsidR="000A1474" w:rsidRPr="003A4B56" w:rsidRDefault="000A1474" w:rsidP="00B51B51">
      <w:pPr>
        <w:pStyle w:val="Sangradetextonormal"/>
        <w:widowControl w:val="0"/>
        <w:tabs>
          <w:tab w:val="left" w:pos="1418"/>
        </w:tabs>
        <w:rPr>
          <w:rFonts w:cs="Arial"/>
        </w:rPr>
      </w:pPr>
    </w:p>
    <w:p w:rsidR="000A1474" w:rsidRPr="003A4B56" w:rsidRDefault="000A1474" w:rsidP="00B51B51">
      <w:pPr>
        <w:pStyle w:val="Sangradetextonormal"/>
        <w:widowControl w:val="0"/>
        <w:tabs>
          <w:tab w:val="left" w:pos="1418"/>
        </w:tabs>
        <w:rPr>
          <w:rFonts w:cs="Arial"/>
        </w:rPr>
      </w:pPr>
    </w:p>
    <w:p w:rsidR="000A1474" w:rsidRPr="003A4B56" w:rsidRDefault="000A1474" w:rsidP="00B51B51">
      <w:pPr>
        <w:pStyle w:val="Sangradetextonormal"/>
        <w:widowControl w:val="0"/>
        <w:tabs>
          <w:tab w:val="left" w:pos="1418"/>
        </w:tabs>
        <w:rPr>
          <w:rFonts w:cs="Arial"/>
        </w:rPr>
        <w:sectPr w:rsidR="000A1474" w:rsidRPr="003A4B56" w:rsidSect="000A1474">
          <w:pgSz w:w="15842" w:h="12242" w:orient="landscape" w:code="1"/>
          <w:pgMar w:top="1701" w:right="1418" w:bottom="1701" w:left="1418" w:header="720" w:footer="964" w:gutter="0"/>
          <w:cols w:space="720"/>
        </w:sectPr>
      </w:pPr>
    </w:p>
    <w:p w:rsidR="000A1474" w:rsidRPr="009B7C69" w:rsidRDefault="000A1474" w:rsidP="00145762">
      <w:pPr>
        <w:pStyle w:val="Ttulo5"/>
        <w:widowControl w:val="0"/>
        <w:numPr>
          <w:ilvl w:val="0"/>
          <w:numId w:val="12"/>
        </w:numPr>
        <w:tabs>
          <w:tab w:val="clear" w:pos="720"/>
        </w:tabs>
        <w:spacing w:before="0" w:after="0"/>
        <w:ind w:hanging="720"/>
        <w:rPr>
          <w:i w:val="0"/>
          <w:sz w:val="22"/>
          <w:szCs w:val="22"/>
        </w:rPr>
      </w:pPr>
      <w:r w:rsidRPr="009B7C69">
        <w:rPr>
          <w:i w:val="0"/>
          <w:sz w:val="22"/>
          <w:szCs w:val="22"/>
        </w:rPr>
        <w:lastRenderedPageBreak/>
        <w:t>Derrames</w:t>
      </w:r>
    </w:p>
    <w:p w:rsidR="007853F0" w:rsidRPr="009B7C69" w:rsidRDefault="007853F0" w:rsidP="00B51B51">
      <w:pPr>
        <w:widowControl w:val="0"/>
      </w:pPr>
    </w:p>
    <w:p w:rsidR="007853F0" w:rsidRPr="009B7C69" w:rsidRDefault="007853F0" w:rsidP="00B51B51">
      <w:pPr>
        <w:widowControl w:val="0"/>
      </w:pPr>
      <w:r w:rsidRPr="009B7C69">
        <w:t xml:space="preserve">Con el objeto de determinar los usos no normados o de derrames, se efectuó la revisión cartográfica de los catastros de usuarios de </w:t>
      </w:r>
      <w:smartTag w:uri="urn:schemas-microsoft-com:office:smarttags" w:element="PersonName">
        <w:smartTagPr>
          <w:attr w:name="ProductID" w:val="la Dirección General"/>
        </w:smartTagPr>
        <w:r w:rsidRPr="009B7C69">
          <w:t>la Dirección General</w:t>
        </w:r>
      </w:smartTag>
      <w:r w:rsidRPr="009B7C69">
        <w:t xml:space="preserve"> de Aguas, determinándose de manera aproximada las áreas correspondientes a usos en riego por derrames.</w:t>
      </w:r>
    </w:p>
    <w:p w:rsidR="007853F0" w:rsidRPr="009B7C69" w:rsidRDefault="007853F0" w:rsidP="00B51B51">
      <w:pPr>
        <w:widowControl w:val="0"/>
      </w:pPr>
    </w:p>
    <w:p w:rsidR="007853F0" w:rsidRPr="009B7C69" w:rsidRDefault="007853F0" w:rsidP="00B51B51">
      <w:pPr>
        <w:widowControl w:val="0"/>
      </w:pPr>
      <w:r w:rsidRPr="009B7C69">
        <w:t xml:space="preserve">Las áreas o envolventes de derrames se han identificado en la cartografía adjunta a este informe y se han denominado de acuerdo a los nombres indicados en los catastros de </w:t>
      </w:r>
      <w:smartTag w:uri="urn:schemas-microsoft-com:office:smarttags" w:element="PersonName">
        <w:smartTagPr>
          <w:attr w:name="ProductID" w:val="la DGA."/>
        </w:smartTagPr>
        <w:r w:rsidRPr="009B7C69">
          <w:t>la DGA.</w:t>
        </w:r>
      </w:smartTag>
    </w:p>
    <w:p w:rsidR="007853F0" w:rsidRPr="009B7C69" w:rsidRDefault="007853F0" w:rsidP="00B51B51">
      <w:pPr>
        <w:widowControl w:val="0"/>
      </w:pPr>
    </w:p>
    <w:p w:rsidR="007853F0" w:rsidRPr="009B7C69" w:rsidRDefault="007853F0" w:rsidP="00B51B51">
      <w:pPr>
        <w:widowControl w:val="0"/>
      </w:pPr>
      <w:r w:rsidRPr="009B7C69">
        <w:t xml:space="preserve">En el caso específico de </w:t>
      </w:r>
      <w:smartTag w:uri="urn:schemas-microsoft-com:office:smarttags" w:element="PersonName">
        <w:smartTagPr>
          <w:attr w:name="ProductID" w:val="la VI Región"/>
        </w:smartTagPr>
        <w:r w:rsidRPr="009B7C69">
          <w:t>la VI Región</w:t>
        </w:r>
      </w:smartTag>
      <w:r w:rsidRPr="009B7C69">
        <w:t xml:space="preserve">, en </w:t>
      </w:r>
      <w:smartTag w:uri="urn:schemas-microsoft-com:office:smarttags" w:element="PersonName">
        <w:smartTagPr>
          <w:attr w:name="ProductID" w:val="la ￼￼￼￼￼￼￼￼￼￼￼￼￼￼￼￼￼￼￼￼￼￼￼￼￼￼￼￼￼￼￼￼￼￼￼￼￼￼￼￼￼Tabla"/>
        </w:smartTagPr>
        <w:r w:rsidRPr="009B7C69">
          <w:t xml:space="preserve">la </w:t>
        </w:r>
        <w:r w:rsidRPr="009B7C69">
          <w:fldChar w:fldCharType="begin"/>
        </w:r>
        <w:r w:rsidRPr="009B7C69">
          <w:instrText xml:space="preserve"> REF _Ref336517542 \h </w:instrText>
        </w:r>
        <w:r w:rsidRPr="009B7C69">
          <w:instrText xml:space="preserve"> \* MERGEFORMAT </w:instrText>
        </w:r>
        <w:r w:rsidRPr="009B7C69">
          <w:fldChar w:fldCharType="separate"/>
        </w:r>
        <w:r w:rsidR="00264070" w:rsidRPr="00264070">
          <w:t>Tabla</w:t>
        </w:r>
      </w:smartTag>
      <w:r w:rsidR="00264070" w:rsidRPr="00264070">
        <w:t xml:space="preserve"> </w:t>
      </w:r>
      <w:r w:rsidR="00264070" w:rsidRPr="00264070">
        <w:rPr>
          <w:noProof/>
        </w:rPr>
        <w:t>5.98</w:t>
      </w:r>
      <w:r w:rsidRPr="009B7C69">
        <w:fldChar w:fldCharType="end"/>
      </w:r>
      <w:r w:rsidRPr="009B7C69">
        <w:t xml:space="preserve"> se puede apreciar la existencia de 97 zonas de derrame, ubicadas principalmente en la cuenca del río Cachapoal, subcuenca 0601 y, secundariamente, en la cuenca del río Tinguiririca, subcuencas 0603 y 0602, entre otras. En cuanto a la superficie con derrames, ésta alcanza a las </w:t>
      </w:r>
      <w:smartTag w:uri="urn:schemas-microsoft-com:office:smarttags" w:element="metricconverter">
        <w:smartTagPr>
          <w:attr w:name="ProductID" w:val="12.998 ha"/>
        </w:smartTagPr>
        <w:r w:rsidRPr="009B7C69">
          <w:t>12.998 ha</w:t>
        </w:r>
      </w:smartTag>
      <w:r w:rsidRPr="009B7C69">
        <w:t xml:space="preserve">. </w:t>
      </w:r>
    </w:p>
    <w:p w:rsidR="007853F0" w:rsidRPr="009B7C69" w:rsidRDefault="007853F0" w:rsidP="00B51B51">
      <w:pPr>
        <w:widowControl w:val="0"/>
        <w:tabs>
          <w:tab w:val="left" w:pos="1418"/>
        </w:tabs>
        <w:rPr>
          <w:rFonts w:cs="Arial"/>
        </w:rPr>
      </w:pPr>
    </w:p>
    <w:p w:rsidR="007853F0" w:rsidRPr="009B7C69" w:rsidRDefault="007853F0" w:rsidP="00B51B51">
      <w:pPr>
        <w:widowControl w:val="0"/>
        <w:tabs>
          <w:tab w:val="left" w:pos="1418"/>
        </w:tabs>
        <w:jc w:val="center"/>
        <w:rPr>
          <w:rFonts w:cs="Arial"/>
          <w:b/>
          <w:bCs/>
        </w:rPr>
      </w:pPr>
      <w:bookmarkStart w:id="368" w:name="_Ref336517542"/>
      <w:r w:rsidRPr="009B7C69">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98</w:t>
      </w:r>
      <w:r w:rsidR="007F3102">
        <w:rPr>
          <w:b/>
        </w:rPr>
        <w:fldChar w:fldCharType="end"/>
      </w:r>
      <w:bookmarkEnd w:id="368"/>
      <w:r w:rsidRPr="009B7C69">
        <w:rPr>
          <w:rFonts w:cs="Arial"/>
          <w:b/>
          <w:bCs/>
          <w:noProof/>
        </w:rPr>
        <w:t xml:space="preserve"> </w:t>
      </w:r>
      <w:r w:rsidRPr="009B7C69">
        <w:rPr>
          <w:rFonts w:cs="Arial"/>
          <w:b/>
          <w:bCs/>
        </w:rPr>
        <w:t>Derrames VI Región</w:t>
      </w:r>
    </w:p>
    <w:p w:rsidR="007853F0" w:rsidRPr="009B7C69" w:rsidRDefault="00254CE2" w:rsidP="00B51B51">
      <w:pPr>
        <w:widowControl w:val="0"/>
        <w:tabs>
          <w:tab w:val="left" w:pos="1418"/>
        </w:tabs>
        <w:jc w:val="center"/>
        <w:rPr>
          <w:rFonts w:cs="Arial"/>
        </w:rPr>
      </w:pPr>
      <w:r>
        <w:rPr>
          <w:noProof/>
          <w:lang w:val="es-CL" w:eastAsia="es-CL"/>
        </w:rPr>
        <w:drawing>
          <wp:inline distT="0" distB="0" distL="0" distR="0">
            <wp:extent cx="2860040" cy="531622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60040" cy="5316220"/>
                    </a:xfrm>
                    <a:prstGeom prst="rect">
                      <a:avLst/>
                    </a:prstGeom>
                    <a:noFill/>
                    <a:ln>
                      <a:noFill/>
                    </a:ln>
                  </pic:spPr>
                </pic:pic>
              </a:graphicData>
            </a:graphic>
          </wp:inline>
        </w:drawing>
      </w:r>
    </w:p>
    <w:p w:rsidR="007853F0" w:rsidRPr="009B7C69" w:rsidRDefault="007853F0" w:rsidP="00B51B51">
      <w:pPr>
        <w:widowControl w:val="0"/>
        <w:tabs>
          <w:tab w:val="left" w:pos="1418"/>
        </w:tabs>
        <w:jc w:val="center"/>
        <w:rPr>
          <w:rFonts w:cs="Arial"/>
        </w:rPr>
      </w:pPr>
    </w:p>
    <w:p w:rsidR="007853F0" w:rsidRPr="009B7C69" w:rsidRDefault="007853F0" w:rsidP="00B51B51">
      <w:pPr>
        <w:widowControl w:val="0"/>
        <w:tabs>
          <w:tab w:val="left" w:pos="1418"/>
        </w:tabs>
        <w:jc w:val="center"/>
        <w:rPr>
          <w:rFonts w:cs="Arial"/>
          <w:b/>
          <w:bCs/>
        </w:rPr>
      </w:pPr>
      <w:r w:rsidRPr="009B7C69">
        <w:rPr>
          <w:rFonts w:cs="Arial"/>
          <w:b/>
          <w:bCs/>
        </w:rPr>
        <w:lastRenderedPageBreak/>
        <w:fldChar w:fldCharType="begin"/>
      </w:r>
      <w:r w:rsidRPr="009B7C69">
        <w:rPr>
          <w:rFonts w:cs="Arial"/>
          <w:b/>
          <w:bCs/>
        </w:rPr>
        <w:instrText xml:space="preserve"> REF _Ref336517542 \h </w:instrText>
      </w:r>
      <w:r w:rsidRPr="009B7C69">
        <w:rPr>
          <w:rFonts w:cs="Arial"/>
          <w:b/>
          <w:bCs/>
        </w:rPr>
      </w:r>
      <w:r w:rsidRPr="009B7C69">
        <w:rPr>
          <w:rFonts w:cs="Arial"/>
          <w:b/>
          <w:bCs/>
        </w:rPr>
        <w:instrText xml:space="preserve"> \* MERGEFORMAT </w:instrText>
      </w:r>
      <w:r w:rsidRPr="009B7C69">
        <w:rPr>
          <w:rFonts w:cs="Arial"/>
          <w:b/>
          <w:bCs/>
        </w:rPr>
        <w:fldChar w:fldCharType="separate"/>
      </w:r>
      <w:r w:rsidR="00264070" w:rsidRPr="009B7C69">
        <w:rPr>
          <w:b/>
        </w:rPr>
        <w:t xml:space="preserve">Tabla </w:t>
      </w:r>
      <w:r w:rsidR="00264070">
        <w:rPr>
          <w:b/>
          <w:noProof/>
        </w:rPr>
        <w:t>5.98</w:t>
      </w:r>
      <w:r w:rsidRPr="009B7C69">
        <w:rPr>
          <w:rFonts w:cs="Arial"/>
          <w:b/>
          <w:bCs/>
        </w:rPr>
        <w:fldChar w:fldCharType="end"/>
      </w:r>
      <w:r w:rsidRPr="009B7C69">
        <w:rPr>
          <w:rFonts w:cs="Arial"/>
          <w:b/>
          <w:bCs/>
        </w:rPr>
        <w:t xml:space="preserve"> (Continuación)</w:t>
      </w:r>
    </w:p>
    <w:p w:rsidR="007853F0" w:rsidRPr="009B7C69" w:rsidRDefault="007853F0" w:rsidP="00B51B51">
      <w:pPr>
        <w:widowControl w:val="0"/>
        <w:tabs>
          <w:tab w:val="left" w:pos="1418"/>
        </w:tabs>
        <w:jc w:val="center"/>
        <w:rPr>
          <w:rFonts w:cs="Arial"/>
        </w:rPr>
      </w:pPr>
      <w:r w:rsidRPr="009B7C69">
        <w:rPr>
          <w:rFonts w:cs="Arial"/>
          <w:b/>
          <w:bCs/>
        </w:rPr>
        <w:t>Derrames VI Región</w:t>
      </w:r>
    </w:p>
    <w:p w:rsidR="007853F0" w:rsidRPr="009B7C69" w:rsidRDefault="00254CE2" w:rsidP="00B51B51">
      <w:pPr>
        <w:widowControl w:val="0"/>
        <w:tabs>
          <w:tab w:val="left" w:pos="1418"/>
        </w:tabs>
        <w:jc w:val="center"/>
        <w:rPr>
          <w:noProof/>
          <w:lang w:val="es-CL" w:eastAsia="es-CL"/>
        </w:rPr>
      </w:pPr>
      <w:r>
        <w:rPr>
          <w:noProof/>
          <w:lang w:val="es-CL" w:eastAsia="es-CL"/>
        </w:rPr>
        <w:drawing>
          <wp:inline distT="0" distB="0" distL="0" distR="0">
            <wp:extent cx="2849245" cy="5624830"/>
            <wp:effectExtent l="0" t="0" r="825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49245" cy="5624830"/>
                    </a:xfrm>
                    <a:prstGeom prst="rect">
                      <a:avLst/>
                    </a:prstGeom>
                    <a:noFill/>
                    <a:ln>
                      <a:noFill/>
                    </a:ln>
                  </pic:spPr>
                </pic:pic>
              </a:graphicData>
            </a:graphic>
          </wp:inline>
        </w:drawing>
      </w:r>
    </w:p>
    <w:p w:rsidR="007853F0" w:rsidRPr="009B7C69" w:rsidRDefault="007853F0" w:rsidP="00B51B51">
      <w:pPr>
        <w:widowControl w:val="0"/>
        <w:tabs>
          <w:tab w:val="left" w:pos="1418"/>
        </w:tabs>
        <w:jc w:val="center"/>
        <w:rPr>
          <w:noProof/>
          <w:lang w:val="es-CL" w:eastAsia="es-CL"/>
        </w:rPr>
      </w:pPr>
    </w:p>
    <w:p w:rsidR="007853F0" w:rsidRPr="009B7C69" w:rsidRDefault="007853F0" w:rsidP="001E5A91">
      <w:pPr>
        <w:pStyle w:val="Ttulo3"/>
      </w:pPr>
      <w:bookmarkStart w:id="369" w:name="_Toc338410201"/>
      <w:bookmarkStart w:id="370" w:name="_Toc344391832"/>
      <w:r w:rsidRPr="009B7C69">
        <w:t>Agua Potable</w:t>
      </w:r>
      <w:bookmarkEnd w:id="369"/>
      <w:bookmarkEnd w:id="370"/>
    </w:p>
    <w:p w:rsidR="007853F0" w:rsidRPr="009B7C69" w:rsidRDefault="007853F0" w:rsidP="00B51B51">
      <w:pPr>
        <w:pStyle w:val="Ttulo4Ttulo4"/>
        <w:keepNext w:val="0"/>
        <w:widowControl w:val="0"/>
      </w:pPr>
      <w:bookmarkStart w:id="371" w:name="_Toc338410202"/>
      <w:bookmarkStart w:id="372" w:name="_Toc344391833"/>
      <w:r w:rsidRPr="009B7C69">
        <w:t>Situación Actual</w:t>
      </w:r>
      <w:bookmarkEnd w:id="371"/>
      <w:bookmarkEnd w:id="372"/>
    </w:p>
    <w:p w:rsidR="007853F0" w:rsidRPr="009B7C69" w:rsidRDefault="007853F0" w:rsidP="00B51B51">
      <w:pPr>
        <w:widowControl w:val="0"/>
        <w:rPr>
          <w:rFonts w:cs="Arial"/>
          <w:lang w:val="es-ES_tradnl"/>
        </w:rPr>
      </w:pPr>
    </w:p>
    <w:p w:rsidR="004F1BEF" w:rsidRPr="009B7C69" w:rsidRDefault="004F1BEF" w:rsidP="004F1BEF">
      <w:pPr>
        <w:rPr>
          <w:lang w:val="es-CL"/>
        </w:rPr>
      </w:pPr>
      <w:r w:rsidRPr="009B7C69">
        <w:rPr>
          <w:lang w:val="es-CL"/>
        </w:rPr>
        <w:t>La estimación de las demandas asociadas al uso de agua potable consideró tanto aquella asociada a los sistemas urbanos así como también a los sistemas de agua potable rural (APR).</w:t>
      </w:r>
    </w:p>
    <w:p w:rsidR="004F1BEF" w:rsidRPr="009B7C69" w:rsidRDefault="004F1BEF" w:rsidP="004F1BEF">
      <w:pPr>
        <w:rPr>
          <w:rFonts w:cs="Arial"/>
          <w:lang w:val="es-CL"/>
        </w:rPr>
      </w:pPr>
    </w:p>
    <w:p w:rsidR="004F1BEF" w:rsidRPr="009B7C69" w:rsidRDefault="004F1BEF" w:rsidP="004F1BEF">
      <w:pPr>
        <w:rPr>
          <w:rFonts w:cs="Arial"/>
          <w:lang w:val="es-ES_tradnl"/>
        </w:rPr>
      </w:pPr>
      <w:r w:rsidRPr="009B7C69">
        <w:rPr>
          <w:lang w:val="es-CL"/>
        </w:rPr>
        <w:t>En el primer caso para la estimación de la demanda de los sistemas urbanos se tomó en consideración los Planes de Desarrollo de las empresas sanitarias con cobertura en</w:t>
      </w:r>
      <w:r w:rsidRPr="009B7C69">
        <w:rPr>
          <w:rFonts w:cs="Arial"/>
          <w:lang w:val="es-ES_tradnl"/>
        </w:rPr>
        <w:t xml:space="preserve"> </w:t>
      </w:r>
      <w:smartTag w:uri="urn:schemas-microsoft-com:office:smarttags" w:element="PersonName">
        <w:smartTagPr>
          <w:attr w:name="ProductID" w:val="la Región"/>
        </w:smartTagPr>
        <w:r w:rsidRPr="009B7C69">
          <w:rPr>
            <w:rFonts w:cs="Arial"/>
            <w:lang w:val="es-ES_tradnl"/>
          </w:rPr>
          <w:t>la Región</w:t>
        </w:r>
      </w:smartTag>
      <w:r w:rsidRPr="009B7C69">
        <w:rPr>
          <w:rFonts w:cs="Arial"/>
          <w:lang w:val="es-ES_tradnl"/>
        </w:rPr>
        <w:t xml:space="preserve"> de O´Higgins saber:</w:t>
      </w:r>
    </w:p>
    <w:p w:rsidR="007853F0" w:rsidRPr="009B7C69" w:rsidRDefault="007853F0" w:rsidP="00B51B51">
      <w:pPr>
        <w:widowControl w:val="0"/>
        <w:rPr>
          <w:rFonts w:cs="Arial"/>
          <w:lang w:val="es-ES_tradnl"/>
        </w:rPr>
      </w:pPr>
    </w:p>
    <w:p w:rsidR="007853F0" w:rsidRPr="009B7C69" w:rsidRDefault="007853F0" w:rsidP="00145762">
      <w:pPr>
        <w:widowControl w:val="0"/>
        <w:numPr>
          <w:ilvl w:val="0"/>
          <w:numId w:val="19"/>
        </w:numPr>
        <w:rPr>
          <w:rFonts w:cs="Arial"/>
          <w:lang w:val="es-ES_tradnl"/>
        </w:rPr>
      </w:pPr>
      <w:r w:rsidRPr="009B7C69">
        <w:rPr>
          <w:rFonts w:cs="Arial"/>
          <w:lang w:val="es-ES_tradnl"/>
        </w:rPr>
        <w:lastRenderedPageBreak/>
        <w:t>ESSBIO:</w:t>
      </w:r>
      <w:r w:rsidRPr="009B7C69">
        <w:rPr>
          <w:rFonts w:cs="Arial"/>
          <w:lang w:val="es-ES_tradnl"/>
        </w:rPr>
        <w:tab/>
        <w:t xml:space="preserve">Actualización de los Planes de Desarrollo de Diversas Localidades de </w:t>
      </w:r>
      <w:smartTag w:uri="urn:schemas-microsoft-com:office:smarttags" w:element="PersonName">
        <w:smartTagPr>
          <w:attr w:name="ProductID" w:val="la VI Región"/>
        </w:smartTagPr>
        <w:r w:rsidRPr="009B7C69">
          <w:rPr>
            <w:rFonts w:cs="Arial"/>
            <w:lang w:val="es-ES_tradnl"/>
          </w:rPr>
          <w:t>la VI Región</w:t>
        </w:r>
      </w:smartTag>
      <w:r w:rsidRPr="009B7C69">
        <w:rPr>
          <w:rFonts w:cs="Arial"/>
          <w:lang w:val="es-ES_tradnl"/>
        </w:rPr>
        <w:t>; 2005 y 2006</w:t>
      </w:r>
    </w:p>
    <w:p w:rsidR="007853F0" w:rsidRPr="009B7C69" w:rsidRDefault="007853F0" w:rsidP="00B51B51">
      <w:pPr>
        <w:widowControl w:val="0"/>
        <w:rPr>
          <w:rFonts w:cs="Arial"/>
          <w:lang w:val="es-ES_tradnl"/>
        </w:rPr>
      </w:pPr>
    </w:p>
    <w:p w:rsidR="004F1BEF" w:rsidRPr="009B7C69" w:rsidRDefault="004F1BEF" w:rsidP="004F1BEF">
      <w:pPr>
        <w:rPr>
          <w:lang w:val="es-CL"/>
        </w:rPr>
      </w:pPr>
      <w:r w:rsidRPr="009B7C69">
        <w:rPr>
          <w:lang w:val="es-CL"/>
        </w:rPr>
        <w:t xml:space="preserve">Respecto de los sistemas de agua potable rural (APR), la estimación de la demanda de agua potable se realizó a partir de la información proporcionada por </w:t>
      </w:r>
      <w:smartTag w:uri="urn:schemas-microsoft-com:office:smarttags" w:element="PersonName">
        <w:smartTagPr>
          <w:attr w:name="ProductID" w:val="la Subdirección"/>
        </w:smartTagPr>
        <w:r w:rsidRPr="009B7C69">
          <w:rPr>
            <w:lang w:val="es-CL"/>
          </w:rPr>
          <w:t>la Subdirección</w:t>
        </w:r>
      </w:smartTag>
      <w:r w:rsidRPr="009B7C69">
        <w:rPr>
          <w:lang w:val="es-CL"/>
        </w:rPr>
        <w:t xml:space="preserve"> de Agua Potable Rural de </w:t>
      </w:r>
      <w:smartTag w:uri="urn:schemas-microsoft-com:office:smarttags" w:element="PersonName">
        <w:smartTagPr>
          <w:attr w:name="ProductID" w:val="la Dirección"/>
        </w:smartTagPr>
        <w:r w:rsidRPr="009B7C69">
          <w:rPr>
            <w:lang w:val="es-CL"/>
          </w:rPr>
          <w:t>la Dirección</w:t>
        </w:r>
      </w:smartTag>
      <w:r w:rsidRPr="009B7C69">
        <w:rPr>
          <w:lang w:val="es-CL"/>
        </w:rPr>
        <w:t xml:space="preserve"> de Obras Hidráulicas del MOP, cuya información se encuentra actualizada al año 2010.</w:t>
      </w:r>
    </w:p>
    <w:p w:rsidR="004F1BEF" w:rsidRPr="009B7C69" w:rsidRDefault="004F1BEF" w:rsidP="004F1BEF">
      <w:pPr>
        <w:rPr>
          <w:rFonts w:cs="Arial"/>
          <w:lang w:val="es-CL"/>
        </w:rPr>
      </w:pPr>
    </w:p>
    <w:p w:rsidR="004F1BEF" w:rsidRPr="00A477FC" w:rsidRDefault="004F1BEF" w:rsidP="00A477FC">
      <w:pPr>
        <w:rPr>
          <w:lang w:val="es-CL"/>
        </w:rPr>
      </w:pPr>
      <w:r w:rsidRPr="009B7C69">
        <w:rPr>
          <w:lang w:val="es-CL"/>
        </w:rPr>
        <w:t>Entre los antecedentes que se disponen de cada uno de los sistemas APR son nombre, coordenadas del punto de captación, población abastecida y fuente.</w:t>
      </w:r>
      <w:r w:rsidRPr="009B7C69">
        <w:rPr>
          <w:rFonts w:cs="Arial"/>
          <w:lang w:val="es-ES_tradnl"/>
        </w:rPr>
        <w:t>La metodología empleada para la estimación de las demandas de las empresas sanitarias fue la siguiente:</w:t>
      </w:r>
    </w:p>
    <w:p w:rsidR="007853F0" w:rsidRPr="009B7C69" w:rsidRDefault="007853F0" w:rsidP="00B51B51">
      <w:pPr>
        <w:widowControl w:val="0"/>
        <w:ind w:left="360"/>
        <w:rPr>
          <w:rFonts w:cs="Arial"/>
          <w:lang w:val="es-ES_tradnl"/>
        </w:rPr>
      </w:pPr>
    </w:p>
    <w:p w:rsidR="004F1BEF" w:rsidRPr="009B7C69" w:rsidRDefault="004F1BEF" w:rsidP="00145762">
      <w:pPr>
        <w:widowControl w:val="0"/>
        <w:numPr>
          <w:ilvl w:val="0"/>
          <w:numId w:val="5"/>
        </w:numPr>
        <w:rPr>
          <w:rFonts w:cs="Arial"/>
          <w:lang w:val="es-ES_tradnl"/>
        </w:rPr>
      </w:pPr>
      <w:r w:rsidRPr="009B7C69">
        <w:rPr>
          <w:rFonts w:cs="Arial"/>
          <w:lang w:val="es-ES_tradnl"/>
        </w:rPr>
        <w:t>En primera instancia se identificó la producción media anual de cada uno de los  sistemas urbanos, la cual se encuentra informada para el período comprendido entre los años 2010-2025 en los Planes de Desarrollo. Con estos antecedentes se determinó la producción para el año 2012 y por extrapolación a partir del año 2025 se determinó la producción media del sistema al año 2030.</w:t>
      </w:r>
    </w:p>
    <w:p w:rsidR="004F1BEF" w:rsidRPr="009B7C69" w:rsidRDefault="004F1BEF" w:rsidP="00145762">
      <w:pPr>
        <w:widowControl w:val="0"/>
        <w:numPr>
          <w:ilvl w:val="0"/>
          <w:numId w:val="5"/>
        </w:numPr>
        <w:rPr>
          <w:rFonts w:cs="Arial"/>
          <w:lang w:val="es-ES_tradnl"/>
        </w:rPr>
      </w:pPr>
      <w:r w:rsidRPr="009B7C69">
        <w:rPr>
          <w:rFonts w:cs="Arial"/>
          <w:lang w:val="es-ES_tradnl"/>
        </w:rPr>
        <w:t>Del documento Ficha de Antecedentes Técnicos (FAT)  se identificaron cada una de las captaciones tanto de aguas superficiales y subterráneas que hacen uso del sistema a la fecha. Para cada una de las captaciones se dispuso de información de los derechos de agua y los caudales de explotación al año 2010 y la ubicación de ellas respecto de cada subcuenca.</w:t>
      </w:r>
    </w:p>
    <w:p w:rsidR="004F1BEF" w:rsidRPr="009B7C69" w:rsidRDefault="004F1BEF" w:rsidP="00145762">
      <w:pPr>
        <w:widowControl w:val="0"/>
        <w:numPr>
          <w:ilvl w:val="0"/>
          <w:numId w:val="5"/>
        </w:numPr>
        <w:rPr>
          <w:rFonts w:cs="Arial"/>
          <w:lang w:val="es-ES_tradnl"/>
        </w:rPr>
      </w:pPr>
      <w:r w:rsidRPr="009B7C69">
        <w:rPr>
          <w:rFonts w:cs="Arial"/>
          <w:lang w:val="es-ES_tradnl"/>
        </w:rPr>
        <w:t xml:space="preserve">Luego a objeto de asignar un valor del caudal de producción para cada una de las captaciones que se encuentran en explotación, la producción media anual se desglosó por captación (en operación), calculando el porcentaje de cada una de las captaciones en función de los caudales de explotación actual que se informa en </w:t>
      </w:r>
      <w:smartTag w:uri="urn:schemas-microsoft-com:office:smarttags" w:element="PersonName">
        <w:smartTagPr>
          <w:attr w:name="ProductID" w:val="la Ficha"/>
        </w:smartTagPr>
        <w:r w:rsidRPr="009B7C69">
          <w:rPr>
            <w:rFonts w:cs="Arial"/>
            <w:lang w:val="es-ES_tradnl"/>
          </w:rPr>
          <w:t>la Ficha</w:t>
        </w:r>
      </w:smartTag>
      <w:r w:rsidRPr="009B7C69">
        <w:rPr>
          <w:rFonts w:cs="Arial"/>
          <w:lang w:val="es-ES_tradnl"/>
        </w:rPr>
        <w:t xml:space="preserve"> de Antecedentes Técnicos (FAT) que se incluye en el documento de Planes de Desarrollo. El porcentaje anterior se aplicó a la producción media anual de cada sistema, obteniendo así la producción de cada una de las captaciones que son parte del sistema que se analiza.</w:t>
      </w:r>
    </w:p>
    <w:p w:rsidR="007853F0" w:rsidRPr="009B7C69" w:rsidRDefault="007853F0" w:rsidP="00145762">
      <w:pPr>
        <w:widowControl w:val="0"/>
        <w:numPr>
          <w:ilvl w:val="0"/>
          <w:numId w:val="5"/>
        </w:numPr>
        <w:rPr>
          <w:rFonts w:cs="Arial"/>
          <w:lang w:val="es-ES_tradnl"/>
        </w:rPr>
      </w:pPr>
      <w:r w:rsidRPr="009B7C69">
        <w:rPr>
          <w:rFonts w:cs="Arial"/>
          <w:lang w:val="es-ES_tradnl"/>
        </w:rPr>
        <w:t>Las producciones fueron interpoladas (año 2012) y extrapoladas (año 2030) usando una función lineal con los datos disponibles entre el año 2010 y 2025 del plan de desarrollo respectivo.</w:t>
      </w:r>
    </w:p>
    <w:p w:rsidR="004F1BEF" w:rsidRPr="009B7C69" w:rsidRDefault="004F1BEF" w:rsidP="00145762">
      <w:pPr>
        <w:widowControl w:val="0"/>
        <w:numPr>
          <w:ilvl w:val="0"/>
          <w:numId w:val="5"/>
        </w:numPr>
        <w:rPr>
          <w:rFonts w:cs="Arial"/>
          <w:lang w:val="es-ES_tradnl"/>
        </w:rPr>
      </w:pPr>
      <w:r w:rsidRPr="009B7C69">
        <w:rPr>
          <w:rFonts w:cs="Arial"/>
          <w:lang w:val="es-ES_tradnl"/>
        </w:rPr>
        <w:t xml:space="preserve">Cuando las fuentes eran superficiales y subterráneas la producción de fuentes se calculó en función de los caudales de explotación actual que se informa en </w:t>
      </w:r>
      <w:smartTag w:uri="urn:schemas-microsoft-com:office:smarttags" w:element="PersonName">
        <w:smartTagPr>
          <w:attr w:name="ProductID" w:val="la Ficha"/>
        </w:smartTagPr>
        <w:r w:rsidRPr="009B7C69">
          <w:rPr>
            <w:rFonts w:cs="Arial"/>
            <w:lang w:val="es-ES_tradnl"/>
          </w:rPr>
          <w:t>la Ficha</w:t>
        </w:r>
      </w:smartTag>
      <w:r w:rsidRPr="009B7C69">
        <w:rPr>
          <w:rFonts w:cs="Arial"/>
          <w:lang w:val="es-ES_tradnl"/>
        </w:rPr>
        <w:t xml:space="preserve"> de Antecedentes Técnicos (FAT). En efecto, con la información del FAT, se calculó el porcentaje que corresponde a las fuentes superficiales y a las fuentes subterráneas; a la producción media anual se le restó el porcentaje correspondientes a las fuentes superficiales, y luego se siguió el mismo procedimiento señalado en los párrafos anteriores, para finalmente obtener la producción media mensual subterránea de cada fuente.</w:t>
      </w:r>
    </w:p>
    <w:p w:rsidR="004F1BEF" w:rsidRDefault="004F1BEF" w:rsidP="00145762">
      <w:pPr>
        <w:widowControl w:val="0"/>
        <w:numPr>
          <w:ilvl w:val="0"/>
          <w:numId w:val="5"/>
        </w:numPr>
        <w:rPr>
          <w:rFonts w:cs="Arial"/>
          <w:lang w:val="es-ES_tradnl"/>
        </w:rPr>
      </w:pPr>
      <w:r w:rsidRPr="009B7C69">
        <w:rPr>
          <w:rFonts w:cs="Arial"/>
          <w:lang w:val="es-ES_tradnl"/>
        </w:rPr>
        <w:t>Con ello fue posible obtener la demanda de agua potable expresada como la producción de cada uno de los sistemas.</w:t>
      </w:r>
    </w:p>
    <w:p w:rsidR="00A477FC" w:rsidRPr="009B7C69" w:rsidRDefault="00A477FC" w:rsidP="00145762">
      <w:pPr>
        <w:widowControl w:val="0"/>
        <w:numPr>
          <w:ilvl w:val="0"/>
          <w:numId w:val="5"/>
        </w:numPr>
        <w:rPr>
          <w:rFonts w:cs="Arial"/>
          <w:lang w:val="es-ES_tradnl"/>
        </w:rPr>
      </w:pPr>
    </w:p>
    <w:p w:rsidR="00BC2443" w:rsidRDefault="00A477FC" w:rsidP="00BC2443">
      <w:pPr>
        <w:rPr>
          <w:rFonts w:cs="Arial"/>
          <w:lang w:val="es-ES_tradnl"/>
        </w:rPr>
      </w:pPr>
      <w:r>
        <w:rPr>
          <w:rFonts w:cs="Arial"/>
          <w:lang w:val="es-ES_tradnl"/>
        </w:rPr>
        <w:t>A</w:t>
      </w:r>
      <w:r w:rsidR="00BC2443" w:rsidRPr="009B7C69">
        <w:rPr>
          <w:rFonts w:cs="Arial"/>
          <w:lang w:val="es-ES_tradnl"/>
        </w:rPr>
        <w:t xml:space="preserve"> continuación en </w:t>
      </w:r>
      <w:smartTag w:uri="urn:schemas-microsoft-com:office:smarttags" w:element="PersonName">
        <w:smartTagPr>
          <w:attr w:name="ProductID" w:val="la ￼￼￼￼￼￼￼￼￼￼￼￼￼￼￼￼￼￼￼￼￼￼￼￼￼￼￼￼￼￼￼￼￼￼￼￼￼￼￼￼￼Tabla"/>
        </w:smartTagPr>
        <w:r w:rsidR="00BC2443" w:rsidRPr="009B7C69">
          <w:rPr>
            <w:rFonts w:cs="Arial"/>
            <w:lang w:val="es-ES_tradnl"/>
          </w:rPr>
          <w:t xml:space="preserve">la </w:t>
        </w:r>
        <w:r w:rsidR="00BC2443" w:rsidRPr="009B7C69">
          <w:rPr>
            <w:rFonts w:cs="Arial"/>
            <w:lang w:val="es-ES_tradnl"/>
          </w:rPr>
          <w:fldChar w:fldCharType="begin"/>
        </w:r>
        <w:r w:rsidR="00BC2443" w:rsidRPr="009B7C69">
          <w:rPr>
            <w:rFonts w:cs="Arial"/>
            <w:lang w:val="es-ES_tradnl"/>
          </w:rPr>
          <w:instrText xml:space="preserve"> REF _Ref341976749 \h </w:instrText>
        </w:r>
        <w:r w:rsidR="00155E8D" w:rsidRPr="009B7C69">
          <w:rPr>
            <w:rFonts w:cs="Arial"/>
            <w:lang w:val="es-ES_tradnl"/>
          </w:rPr>
        </w:r>
        <w:r w:rsidR="00BC2443" w:rsidRPr="009B7C69">
          <w:rPr>
            <w:rFonts w:cs="Arial"/>
            <w:lang w:val="es-ES_tradnl"/>
          </w:rPr>
          <w:instrText xml:space="preserve"> \* MERGEFORMAT </w:instrText>
        </w:r>
        <w:r w:rsidR="00BC2443" w:rsidRPr="009B7C69">
          <w:rPr>
            <w:rFonts w:cs="Arial"/>
            <w:lang w:val="es-ES_tradnl"/>
          </w:rPr>
          <w:fldChar w:fldCharType="separate"/>
        </w:r>
        <w:r w:rsidR="00264070" w:rsidRPr="00264070">
          <w:t>Tabla</w:t>
        </w:r>
      </w:smartTag>
      <w:r w:rsidR="00264070" w:rsidRPr="00264070">
        <w:t xml:space="preserve"> </w:t>
      </w:r>
      <w:r w:rsidR="00264070" w:rsidRPr="00264070">
        <w:rPr>
          <w:noProof/>
        </w:rPr>
        <w:t>5.99</w:t>
      </w:r>
      <w:r w:rsidR="00BC2443" w:rsidRPr="009B7C69">
        <w:rPr>
          <w:rFonts w:cs="Arial"/>
          <w:lang w:val="es-ES_tradnl"/>
        </w:rPr>
        <w:fldChar w:fldCharType="end"/>
      </w:r>
      <w:r>
        <w:rPr>
          <w:rFonts w:cs="Arial"/>
          <w:lang w:val="es-ES_tradnl"/>
        </w:rPr>
        <w:t xml:space="preserve">, </w:t>
      </w:r>
      <w:r w:rsidR="00BC2443" w:rsidRPr="009B7C69">
        <w:rPr>
          <w:rFonts w:cs="Arial"/>
          <w:lang w:val="es-ES_tradnl"/>
        </w:rPr>
        <w:t>se presentan los resultados de las demandas de agua potable de los sistemas urbanos para el año 2012, lo cual incluye tanto a las fuentes superficiales como subterráneas.</w:t>
      </w:r>
    </w:p>
    <w:p w:rsidR="00A477FC" w:rsidRPr="009B7C69" w:rsidRDefault="00A477FC" w:rsidP="00BC2443">
      <w:pPr>
        <w:rPr>
          <w:rFonts w:cs="Arial"/>
          <w:lang w:val="es-ES_tradnl"/>
        </w:rPr>
      </w:pPr>
    </w:p>
    <w:p w:rsidR="00BC2443" w:rsidRPr="009B7C69" w:rsidRDefault="00BC2443" w:rsidP="00B51B51">
      <w:pPr>
        <w:widowControl w:val="0"/>
        <w:jc w:val="center"/>
        <w:rPr>
          <w:b/>
          <w:lang w:val="es-ES_tradnl"/>
        </w:rPr>
      </w:pPr>
    </w:p>
    <w:p w:rsidR="00BC2443" w:rsidRPr="009B7C69" w:rsidRDefault="00BC2443" w:rsidP="00B51B51">
      <w:pPr>
        <w:widowControl w:val="0"/>
        <w:jc w:val="center"/>
        <w:rPr>
          <w:b/>
        </w:rPr>
      </w:pPr>
    </w:p>
    <w:p w:rsidR="007853F0" w:rsidRPr="009B7C69" w:rsidRDefault="007853F0" w:rsidP="00B51B51">
      <w:pPr>
        <w:widowControl w:val="0"/>
        <w:jc w:val="center"/>
        <w:rPr>
          <w:b/>
        </w:rPr>
      </w:pPr>
      <w:bookmarkStart w:id="373" w:name="_Ref341976749"/>
      <w:r w:rsidRPr="009B7C69">
        <w:rPr>
          <w:b/>
        </w:rPr>
        <w:lastRenderedPageBreak/>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5</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99</w:t>
      </w:r>
      <w:r w:rsidR="007F3102">
        <w:rPr>
          <w:b/>
        </w:rPr>
        <w:fldChar w:fldCharType="end"/>
      </w:r>
      <w:bookmarkEnd w:id="373"/>
      <w:r w:rsidRPr="009B7C69">
        <w:rPr>
          <w:b/>
        </w:rPr>
        <w:t xml:space="preserve"> Producción de Agua Potable Actual (2012) por Subcuenca (Sistemas Empresa Sanitaria)</w:t>
      </w:r>
    </w:p>
    <w:tbl>
      <w:tblPr>
        <w:tblW w:w="4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tblGrid>
      <w:tr w:rsidR="0052776C" w:rsidRPr="009B7C69">
        <w:trPr>
          <w:jc w:val="center"/>
        </w:trPr>
        <w:tc>
          <w:tcPr>
            <w:tcW w:w="1910" w:type="dxa"/>
            <w:vMerge w:val="restart"/>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Producción de Agua</w:t>
            </w:r>
          </w:p>
        </w:tc>
      </w:tr>
      <w:tr w:rsidR="0052776C" w:rsidRPr="009B7C69">
        <w:trPr>
          <w:jc w:val="center"/>
        </w:trPr>
        <w:tc>
          <w:tcPr>
            <w:tcW w:w="1910" w:type="dxa"/>
            <w:vMerge/>
            <w:vAlign w:val="center"/>
          </w:tcPr>
          <w:p w:rsidR="0052776C" w:rsidRPr="009B7C69" w:rsidRDefault="0052776C" w:rsidP="00155E8D">
            <w:pPr>
              <w:widowControl w:val="0"/>
              <w:jc w:val="center"/>
              <w:rPr>
                <w:rFonts w:cs="Arial"/>
                <w:bCs/>
                <w:color w:val="000000"/>
                <w:sz w:val="20"/>
                <w:szCs w:val="20"/>
              </w:rPr>
            </w:pPr>
          </w:p>
        </w:tc>
        <w:tc>
          <w:tcPr>
            <w:tcW w:w="2553" w:type="dxa"/>
            <w:tcBorders>
              <w:top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Potable Actual (2012) l/s</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99,8</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208,2</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1.107,1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399,1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19,0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50,7</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3,7</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34,8</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20,4</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8,1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1.952,1</w:t>
            </w:r>
          </w:p>
        </w:tc>
      </w:tr>
    </w:tbl>
    <w:p w:rsidR="00BC2443" w:rsidRPr="009B7C69" w:rsidRDefault="00BC2443" w:rsidP="00BC2443"/>
    <w:p w:rsidR="00BC2443" w:rsidRPr="009B7C69" w:rsidRDefault="00BC2443" w:rsidP="00BC2443">
      <w:pPr>
        <w:rPr>
          <w:lang w:val="es-CL"/>
        </w:rPr>
      </w:pPr>
      <w:r w:rsidRPr="009B7C69">
        <w:rPr>
          <w:lang w:val="es-CL"/>
        </w:rPr>
        <w:t xml:space="preserve">A objeto de estimar la demanda de agua de los sistemas APR al año 2012, se realizó en primer un proyección de la población desde el año base (2010), adoptándose una tasa de crecimiento anual de un 2%, según los criterios de </w:t>
      </w:r>
      <w:smartTag w:uri="urn:schemas-microsoft-com:office:smarttags" w:element="PersonName">
        <w:smartTagPr>
          <w:attr w:name="ProductID" w:val="la DOH-MOP"/>
        </w:smartTagPr>
        <w:r w:rsidRPr="009B7C69">
          <w:rPr>
            <w:lang w:val="es-CL"/>
          </w:rPr>
          <w:t>la DOH-MOP</w:t>
        </w:r>
      </w:smartTag>
    </w:p>
    <w:p w:rsidR="00BC2443" w:rsidRPr="009B7C69" w:rsidRDefault="00BC2443" w:rsidP="00BC2443">
      <w:pPr>
        <w:rPr>
          <w:lang w:val="es-CL"/>
        </w:rPr>
      </w:pPr>
    </w:p>
    <w:p w:rsidR="00BC2443" w:rsidRPr="009B7C69" w:rsidRDefault="00BC2443" w:rsidP="00BC2443">
      <w:pPr>
        <w:rPr>
          <w:lang w:val="es-CL"/>
        </w:rPr>
      </w:pPr>
      <w:r w:rsidRPr="009B7C69">
        <w:rPr>
          <w:lang w:val="es-CL"/>
        </w:rPr>
        <w:t>Una vez conocida la población abastecida por los APR al año 2012, se aplicó una dotación de 120 l/hab/día lo que permitió estimar la demanda al año 2012, la cual fue transformada luego en l/s.</w:t>
      </w:r>
    </w:p>
    <w:p w:rsidR="00BC2443" w:rsidRPr="009B7C69" w:rsidRDefault="00BC2443" w:rsidP="00BC2443">
      <w:pPr>
        <w:widowControl w:val="0"/>
        <w:rPr>
          <w:rFonts w:cs="Arial"/>
          <w:lang w:val="es-CL"/>
        </w:rPr>
      </w:pPr>
    </w:p>
    <w:p w:rsidR="00BC2443" w:rsidRPr="009B7C69" w:rsidRDefault="00BC2443" w:rsidP="00BC2443">
      <w:pPr>
        <w:rPr>
          <w:lang w:val="es-CL"/>
        </w:rPr>
      </w:pPr>
      <w:r w:rsidRPr="009B7C69">
        <w:rPr>
          <w:lang w:val="es-CL"/>
        </w:rPr>
        <w:t>Conocidas las coordenadas de las captaciones de los APR se definió la subcuenca en la cual se emplaza, lo que permitió establecer la demanda en cada una de estas unidades.</w:t>
      </w:r>
    </w:p>
    <w:p w:rsidR="00BC2443" w:rsidRPr="009B7C69" w:rsidRDefault="00BC2443" w:rsidP="00BC2443">
      <w:pPr>
        <w:rPr>
          <w:rFonts w:cs="Arial"/>
          <w:lang w:val="es-ES_tradnl"/>
        </w:rPr>
      </w:pPr>
    </w:p>
    <w:p w:rsidR="00BC2443" w:rsidRPr="009B7C69" w:rsidRDefault="00BC2443" w:rsidP="00BC2443">
      <w:pPr>
        <w:rPr>
          <w:rFonts w:cs="Arial"/>
          <w:lang w:val="es-ES_tradnl"/>
        </w:rPr>
      </w:pPr>
      <w:r w:rsidRPr="009B7C69">
        <w:rPr>
          <w:rFonts w:cs="Arial"/>
          <w:lang w:val="es-ES_tradnl"/>
        </w:rPr>
        <w:t>Cabe mencionar que en la totalidad de los sistemas de agua potable rural las captaciones son del tipo subterráneas.</w:t>
      </w:r>
    </w:p>
    <w:p w:rsidR="00BC2443" w:rsidRPr="009B7C69" w:rsidRDefault="00BC2443" w:rsidP="00BC2443">
      <w:pPr>
        <w:rPr>
          <w:rFonts w:cs="Arial"/>
          <w:lang w:val="es-ES_tradnl"/>
        </w:rPr>
      </w:pPr>
    </w:p>
    <w:p w:rsidR="00BC2443" w:rsidRPr="009B7C69" w:rsidRDefault="00BC2443" w:rsidP="00BC2443">
      <w:pPr>
        <w:rPr>
          <w:rFonts w:cs="Arial"/>
          <w:lang w:val="es-ES_tradnl"/>
        </w:rPr>
      </w:pPr>
      <w:r w:rsidRPr="009B7C69">
        <w:rPr>
          <w:rFonts w:cs="Arial"/>
          <w:lang w:val="es-ES_tradnl"/>
        </w:rPr>
        <w:t xml:space="preserve">En </w:t>
      </w:r>
      <w:smartTag w:uri="urn:schemas-microsoft-com:office:smarttags" w:element="PersonName">
        <w:smartTagPr>
          <w:attr w:name="ProductID" w:val="la ￼￼￼￼￼￼￼￼￼￼￼￼￼￼￼￼￼￼￼￼￼￼￼￼￼￼￼￼￼￼￼￼￼￼￼￼￼￼￼￼￼Tabla"/>
        </w:smartTagPr>
        <w:r w:rsidRPr="009B7C69">
          <w:rPr>
            <w:rFonts w:cs="Arial"/>
            <w:lang w:val="es-ES_tradnl"/>
          </w:rPr>
          <w:t xml:space="preserve">la </w:t>
        </w:r>
        <w:r w:rsidRPr="009B7C69">
          <w:rPr>
            <w:rFonts w:cs="Arial"/>
            <w:lang w:val="es-ES_tradnl"/>
          </w:rPr>
          <w:fldChar w:fldCharType="begin"/>
        </w:r>
        <w:r w:rsidRPr="009B7C69">
          <w:rPr>
            <w:rFonts w:cs="Arial"/>
            <w:lang w:val="es-ES_tradnl"/>
          </w:rPr>
          <w:instrText xml:space="preserve"> REF _Ref341976780 \h </w:instrText>
        </w:r>
        <w:r w:rsidR="00155E8D" w:rsidRPr="009B7C69">
          <w:rPr>
            <w:rFonts w:cs="Arial"/>
            <w:lang w:val="es-ES_tradnl"/>
          </w:rPr>
        </w:r>
        <w:r w:rsidR="009B7C69">
          <w:rPr>
            <w:rFonts w:cs="Arial"/>
            <w:lang w:val="es-ES_tradnl"/>
          </w:rPr>
          <w:instrText xml:space="preserve"> \* MERGEFORMAT </w:instrText>
        </w:r>
        <w:r w:rsidRPr="009B7C69">
          <w:rPr>
            <w:rFonts w:cs="Arial"/>
            <w:lang w:val="es-ES_tradnl"/>
          </w:rPr>
          <w:fldChar w:fldCharType="separate"/>
        </w:r>
        <w:r w:rsidR="00264070" w:rsidRPr="009B7C69">
          <w:t>Tabla</w:t>
        </w:r>
      </w:smartTag>
      <w:r w:rsidR="00264070" w:rsidRPr="009B7C69">
        <w:t xml:space="preserve"> </w:t>
      </w:r>
      <w:r w:rsidR="00264070">
        <w:rPr>
          <w:noProof/>
        </w:rPr>
        <w:t>5.100</w:t>
      </w:r>
      <w:r w:rsidRPr="009B7C69">
        <w:rPr>
          <w:rFonts w:cs="Arial"/>
          <w:lang w:val="es-ES_tradnl"/>
        </w:rPr>
        <w:fldChar w:fldCharType="end"/>
      </w:r>
      <w:r w:rsidRPr="009B7C69">
        <w:rPr>
          <w:rFonts w:cs="Arial"/>
          <w:lang w:val="es-ES_tradnl"/>
        </w:rPr>
        <w:t>, se presenta un resumen de las demandas de agua de los Sistemas APR según subcuencas.</w:t>
      </w:r>
    </w:p>
    <w:p w:rsidR="00BC2443" w:rsidRPr="009B7C69" w:rsidRDefault="00BC2443" w:rsidP="00BC2443"/>
    <w:p w:rsidR="007853F0" w:rsidRPr="009B7C69" w:rsidRDefault="007853F0" w:rsidP="00B51B51">
      <w:pPr>
        <w:pStyle w:val="Epgrafe"/>
        <w:widowControl w:val="0"/>
      </w:pPr>
      <w:bookmarkStart w:id="374" w:name="_Ref341976780"/>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100</w:t>
      </w:r>
      <w:r w:rsidR="007F3102">
        <w:fldChar w:fldCharType="end"/>
      </w:r>
      <w:bookmarkEnd w:id="374"/>
      <w:r w:rsidRPr="009B7C69">
        <w:t xml:space="preserve"> Producción de Agua Potable Asociada a Sistemas APR</w:t>
      </w:r>
    </w:p>
    <w:tbl>
      <w:tblPr>
        <w:tblW w:w="4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tblGrid>
      <w:tr w:rsidR="0052776C" w:rsidRPr="009B7C69">
        <w:trPr>
          <w:jc w:val="center"/>
        </w:trPr>
        <w:tc>
          <w:tcPr>
            <w:tcW w:w="1910" w:type="dxa"/>
            <w:vMerge w:val="restart"/>
            <w:shd w:val="clear" w:color="auto" w:fill="FFFFFF"/>
            <w:noWrap/>
            <w:vAlign w:val="center"/>
          </w:tcPr>
          <w:p w:rsidR="0052776C" w:rsidRPr="009B7C69" w:rsidRDefault="0052776C" w:rsidP="00B51B51">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52776C" w:rsidRPr="009B7C69" w:rsidRDefault="0052776C" w:rsidP="00B51B51">
            <w:pPr>
              <w:widowControl w:val="0"/>
              <w:jc w:val="center"/>
              <w:rPr>
                <w:rFonts w:cs="Arial"/>
                <w:bCs/>
                <w:color w:val="000000"/>
                <w:sz w:val="20"/>
                <w:szCs w:val="20"/>
              </w:rPr>
            </w:pPr>
            <w:r w:rsidRPr="009B7C69">
              <w:rPr>
                <w:rFonts w:cs="Arial"/>
                <w:bCs/>
                <w:color w:val="000000"/>
                <w:sz w:val="20"/>
                <w:szCs w:val="20"/>
              </w:rPr>
              <w:t>Producción de Agua</w:t>
            </w:r>
          </w:p>
        </w:tc>
      </w:tr>
      <w:tr w:rsidR="0052776C" w:rsidRPr="009B7C69">
        <w:trPr>
          <w:jc w:val="center"/>
        </w:trPr>
        <w:tc>
          <w:tcPr>
            <w:tcW w:w="1910" w:type="dxa"/>
            <w:vMerge/>
            <w:vAlign w:val="center"/>
          </w:tcPr>
          <w:p w:rsidR="0052776C" w:rsidRPr="009B7C69" w:rsidRDefault="0052776C" w:rsidP="00B51B51">
            <w:pPr>
              <w:widowControl w:val="0"/>
              <w:jc w:val="center"/>
              <w:rPr>
                <w:rFonts w:cs="Arial"/>
                <w:bCs/>
                <w:color w:val="000000"/>
                <w:sz w:val="20"/>
                <w:szCs w:val="20"/>
              </w:rPr>
            </w:pPr>
          </w:p>
        </w:tc>
        <w:tc>
          <w:tcPr>
            <w:tcW w:w="2553" w:type="dxa"/>
            <w:tcBorders>
              <w:top w:val="nil"/>
            </w:tcBorders>
            <w:shd w:val="clear" w:color="auto" w:fill="FFFFFF"/>
            <w:noWrap/>
            <w:vAlign w:val="center"/>
          </w:tcPr>
          <w:p w:rsidR="0052776C" w:rsidRPr="009B7C69" w:rsidRDefault="0052776C" w:rsidP="00B51B51">
            <w:pPr>
              <w:widowControl w:val="0"/>
              <w:jc w:val="center"/>
              <w:rPr>
                <w:rFonts w:cs="Arial"/>
                <w:bCs/>
                <w:color w:val="000000"/>
                <w:sz w:val="20"/>
                <w:szCs w:val="20"/>
              </w:rPr>
            </w:pPr>
            <w:r w:rsidRPr="009B7C69">
              <w:rPr>
                <w:rFonts w:cs="Arial"/>
                <w:bCs/>
                <w:color w:val="000000"/>
                <w:sz w:val="20"/>
                <w:szCs w:val="20"/>
              </w:rPr>
              <w:t>Potable Actual (2012) l/s</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bookmarkStart w:id="375" w:name="_Toc336885489"/>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8,0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16,6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172,2</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140,9</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19,0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36,5</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3,7</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13,7</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8,1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52776C">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419,8</w:t>
            </w:r>
          </w:p>
        </w:tc>
      </w:tr>
    </w:tbl>
    <w:p w:rsidR="007853F0" w:rsidRPr="009B7C69" w:rsidRDefault="007853F0" w:rsidP="00B51B51">
      <w:pPr>
        <w:pStyle w:val="Ttulo4Ttulo4"/>
        <w:keepNext w:val="0"/>
        <w:widowControl w:val="0"/>
      </w:pPr>
      <w:bookmarkStart w:id="376" w:name="_Toc338410203"/>
      <w:bookmarkStart w:id="377" w:name="_Toc344391834"/>
      <w:r w:rsidRPr="009B7C69">
        <w:lastRenderedPageBreak/>
        <w:t>Situación Futura</w:t>
      </w:r>
      <w:bookmarkEnd w:id="375"/>
      <w:bookmarkEnd w:id="376"/>
      <w:bookmarkEnd w:id="377"/>
    </w:p>
    <w:p w:rsidR="007853F0" w:rsidRPr="009B7C69" w:rsidRDefault="007853F0" w:rsidP="00B51B51">
      <w:pPr>
        <w:widowControl w:val="0"/>
      </w:pPr>
    </w:p>
    <w:p w:rsidR="007853F0" w:rsidRPr="009B7C69" w:rsidRDefault="007853F0" w:rsidP="00B51B51">
      <w:pPr>
        <w:widowControl w:val="0"/>
      </w:pPr>
      <w:r w:rsidRPr="009B7C69">
        <w:t>A objeto de estimar las demandas de agua para la situación futura se utilizaron los mismos criterios definidos anteriormente.</w:t>
      </w:r>
    </w:p>
    <w:p w:rsidR="007853F0" w:rsidRPr="009B7C69" w:rsidRDefault="007853F0" w:rsidP="00B51B51">
      <w:pPr>
        <w:widowControl w:val="0"/>
      </w:pPr>
    </w:p>
    <w:p w:rsidR="007853F0" w:rsidRPr="009B7C69" w:rsidRDefault="007853F0" w:rsidP="00B51B51">
      <w:pPr>
        <w:widowControl w:val="0"/>
      </w:pPr>
      <w:r w:rsidRPr="009B7C69">
        <w:t xml:space="preserve">En las </w:t>
      </w:r>
      <w:r w:rsidRPr="009B7C69">
        <w:fldChar w:fldCharType="begin"/>
      </w:r>
      <w:r w:rsidRPr="009B7C69">
        <w:instrText xml:space="preserve"> REF _Ref338250113 \h </w:instrText>
      </w:r>
      <w:r w:rsidRPr="009B7C69">
        <w:instrText xml:space="preserve"> \* MERGEFORMAT </w:instrText>
      </w:r>
      <w:r w:rsidRPr="009B7C69">
        <w:fldChar w:fldCharType="separate"/>
      </w:r>
      <w:r w:rsidR="00264070" w:rsidRPr="009B7C69">
        <w:t xml:space="preserve">Tabla </w:t>
      </w:r>
      <w:r w:rsidR="00264070">
        <w:rPr>
          <w:noProof/>
        </w:rPr>
        <w:t>5.101</w:t>
      </w:r>
      <w:r w:rsidRPr="009B7C69">
        <w:fldChar w:fldCharType="end"/>
      </w:r>
      <w:r w:rsidRPr="009B7C69">
        <w:t xml:space="preserve"> y </w:t>
      </w:r>
      <w:r w:rsidRPr="009B7C69">
        <w:fldChar w:fldCharType="begin"/>
      </w:r>
      <w:r w:rsidRPr="009B7C69">
        <w:instrText xml:space="preserve"> REF _Ref338250144 \h </w:instrText>
      </w:r>
      <w:r w:rsidR="009B7C69">
        <w:instrText xml:space="preserve"> \* MERGEFORMAT </w:instrText>
      </w:r>
      <w:r w:rsidRPr="009B7C69">
        <w:fldChar w:fldCharType="separate"/>
      </w:r>
      <w:r w:rsidR="00264070" w:rsidRPr="009B7C69">
        <w:t xml:space="preserve">Tabla </w:t>
      </w:r>
      <w:r w:rsidR="00264070">
        <w:rPr>
          <w:noProof/>
        </w:rPr>
        <w:t>5.102</w:t>
      </w:r>
      <w:r w:rsidRPr="009B7C69">
        <w:fldChar w:fldCharType="end"/>
      </w:r>
      <w:r w:rsidRPr="009B7C69">
        <w:t xml:space="preserve"> se presentan los resultados alcanzados.</w:t>
      </w:r>
    </w:p>
    <w:p w:rsidR="007853F0" w:rsidRPr="009B7C69" w:rsidRDefault="007853F0" w:rsidP="00B51B51">
      <w:pPr>
        <w:widowControl w:val="0"/>
      </w:pPr>
    </w:p>
    <w:p w:rsidR="007853F0" w:rsidRPr="009B7C69" w:rsidRDefault="007853F0" w:rsidP="00B51B51">
      <w:pPr>
        <w:pStyle w:val="Epgrafe"/>
        <w:widowControl w:val="0"/>
      </w:pPr>
      <w:bookmarkStart w:id="378" w:name="_Ref338250113"/>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101</w:t>
      </w:r>
      <w:r w:rsidR="007F3102">
        <w:fldChar w:fldCharType="end"/>
      </w:r>
      <w:bookmarkEnd w:id="378"/>
      <w:r w:rsidRPr="009B7C69">
        <w:t xml:space="preserve"> Producción de Agua Potable Futura (2030) por Subcuenca y Acuífero (Sistemas Empresa Sanitaria)</w:t>
      </w:r>
    </w:p>
    <w:tbl>
      <w:tblPr>
        <w:tblW w:w="4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tblGrid>
      <w:tr w:rsidR="0052776C" w:rsidRPr="009B7C69">
        <w:trPr>
          <w:jc w:val="center"/>
        </w:trPr>
        <w:tc>
          <w:tcPr>
            <w:tcW w:w="1910" w:type="dxa"/>
            <w:vMerge w:val="restart"/>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Producción de Agua</w:t>
            </w:r>
          </w:p>
        </w:tc>
      </w:tr>
      <w:tr w:rsidR="0052776C" w:rsidRPr="009B7C69">
        <w:trPr>
          <w:jc w:val="center"/>
        </w:trPr>
        <w:tc>
          <w:tcPr>
            <w:tcW w:w="1910" w:type="dxa"/>
            <w:vMerge/>
            <w:vAlign w:val="center"/>
          </w:tcPr>
          <w:p w:rsidR="0052776C" w:rsidRPr="009B7C69" w:rsidRDefault="0052776C" w:rsidP="00155E8D">
            <w:pPr>
              <w:widowControl w:val="0"/>
              <w:jc w:val="center"/>
              <w:rPr>
                <w:rFonts w:cs="Arial"/>
                <w:bCs/>
                <w:color w:val="000000"/>
                <w:sz w:val="20"/>
                <w:szCs w:val="20"/>
              </w:rPr>
            </w:pPr>
          </w:p>
        </w:tc>
        <w:tc>
          <w:tcPr>
            <w:tcW w:w="2553" w:type="dxa"/>
            <w:tcBorders>
              <w:top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Potable Actual (20</w:t>
            </w:r>
            <w:r w:rsidR="00155E8D" w:rsidRPr="009B7C69">
              <w:rPr>
                <w:rFonts w:cs="Arial"/>
                <w:bCs/>
                <w:color w:val="000000"/>
                <w:sz w:val="20"/>
                <w:szCs w:val="20"/>
              </w:rPr>
              <w:t>30</w:t>
            </w:r>
            <w:r w:rsidRPr="009B7C69">
              <w:rPr>
                <w:rFonts w:cs="Arial"/>
                <w:bCs/>
                <w:color w:val="000000"/>
                <w:sz w:val="20"/>
                <w:szCs w:val="20"/>
              </w:rPr>
              <w:t>) l/s</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119,4</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271,2</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1.400,3</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496,0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27,1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73,8</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5,3</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39,1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27,5</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155E8D">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2.473,1</w:t>
            </w:r>
          </w:p>
        </w:tc>
      </w:tr>
    </w:tbl>
    <w:p w:rsidR="0052776C" w:rsidRPr="009B7C69" w:rsidRDefault="0052776C" w:rsidP="00B51B51">
      <w:pPr>
        <w:widowControl w:val="0"/>
      </w:pPr>
    </w:p>
    <w:p w:rsidR="007853F0" w:rsidRPr="009B7C69" w:rsidRDefault="007853F0" w:rsidP="00B51B51">
      <w:pPr>
        <w:pStyle w:val="Epgrafe"/>
        <w:widowControl w:val="0"/>
      </w:pPr>
      <w:bookmarkStart w:id="379" w:name="_Ref338250144"/>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102</w:t>
      </w:r>
      <w:r w:rsidR="007F3102">
        <w:fldChar w:fldCharType="end"/>
      </w:r>
      <w:bookmarkEnd w:id="379"/>
      <w:r w:rsidRPr="009B7C69">
        <w:t xml:space="preserve"> Producción de Agua Potable Asociada a Sistemas APR</w:t>
      </w:r>
    </w:p>
    <w:tbl>
      <w:tblPr>
        <w:tblW w:w="4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tblGrid>
      <w:tr w:rsidR="0052776C" w:rsidRPr="009B7C69">
        <w:trPr>
          <w:jc w:val="center"/>
        </w:trPr>
        <w:tc>
          <w:tcPr>
            <w:tcW w:w="1910" w:type="dxa"/>
            <w:vMerge w:val="restart"/>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Producción de Agua</w:t>
            </w:r>
          </w:p>
        </w:tc>
      </w:tr>
      <w:tr w:rsidR="0052776C" w:rsidRPr="009B7C69">
        <w:trPr>
          <w:jc w:val="center"/>
        </w:trPr>
        <w:tc>
          <w:tcPr>
            <w:tcW w:w="1910" w:type="dxa"/>
            <w:vMerge/>
            <w:vAlign w:val="center"/>
          </w:tcPr>
          <w:p w:rsidR="0052776C" w:rsidRPr="009B7C69" w:rsidRDefault="0052776C" w:rsidP="00155E8D">
            <w:pPr>
              <w:widowControl w:val="0"/>
              <w:jc w:val="center"/>
              <w:rPr>
                <w:rFonts w:cs="Arial"/>
                <w:bCs/>
                <w:color w:val="000000"/>
                <w:sz w:val="20"/>
                <w:szCs w:val="20"/>
              </w:rPr>
            </w:pPr>
          </w:p>
        </w:tc>
        <w:tc>
          <w:tcPr>
            <w:tcW w:w="2553" w:type="dxa"/>
            <w:tcBorders>
              <w:top w:val="nil"/>
            </w:tcBorders>
            <w:shd w:val="clear" w:color="auto" w:fill="FFFFFF"/>
            <w:noWrap/>
            <w:vAlign w:val="center"/>
          </w:tcPr>
          <w:p w:rsidR="0052776C" w:rsidRPr="009B7C69" w:rsidRDefault="0052776C" w:rsidP="00155E8D">
            <w:pPr>
              <w:widowControl w:val="0"/>
              <w:jc w:val="center"/>
              <w:rPr>
                <w:rFonts w:cs="Arial"/>
                <w:bCs/>
                <w:color w:val="000000"/>
                <w:sz w:val="20"/>
                <w:szCs w:val="20"/>
              </w:rPr>
            </w:pPr>
            <w:r w:rsidRPr="009B7C69">
              <w:rPr>
                <w:rFonts w:cs="Arial"/>
                <w:bCs/>
                <w:color w:val="000000"/>
                <w:sz w:val="20"/>
                <w:szCs w:val="20"/>
              </w:rPr>
              <w:t>Potable Actual (2030) l/s</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bookmarkStart w:id="380" w:name="_Hlk342041863"/>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11,4</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23,7</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245,9</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0,0</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201,2</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27,1</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52,1</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1,6</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5,3</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0,0</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19,6</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11,6</w:t>
            </w:r>
          </w:p>
        </w:tc>
      </w:tr>
      <w:tr w:rsidR="0052776C"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rsidP="00155E8D">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2776C" w:rsidRPr="009B7C69" w:rsidRDefault="0052776C">
            <w:pPr>
              <w:jc w:val="center"/>
              <w:rPr>
                <w:rFonts w:cs="Arial"/>
                <w:color w:val="000000"/>
                <w:sz w:val="20"/>
                <w:szCs w:val="20"/>
              </w:rPr>
            </w:pPr>
            <w:r w:rsidRPr="009B7C69">
              <w:rPr>
                <w:rFonts w:cs="Arial"/>
                <w:color w:val="000000"/>
                <w:sz w:val="20"/>
                <w:szCs w:val="20"/>
              </w:rPr>
              <w:t>599,5</w:t>
            </w:r>
          </w:p>
        </w:tc>
      </w:tr>
      <w:bookmarkEnd w:id="380"/>
    </w:tbl>
    <w:p w:rsidR="0052776C" w:rsidRPr="009B7C69" w:rsidRDefault="0052776C" w:rsidP="00B51B51">
      <w:pPr>
        <w:widowControl w:val="0"/>
      </w:pPr>
    </w:p>
    <w:p w:rsidR="00BC2443" w:rsidRPr="009B7C69" w:rsidRDefault="00A477FC" w:rsidP="00BC2443">
      <w:r w:rsidRPr="0028332A">
        <w:t xml:space="preserve">Dado que la información recopilada respecto a demandas de agua potable se encuentra a nivel anual, se realizó su distribución mensual de acuerdo a los antecedentes disponibles para la región de Valparaíso. </w:t>
      </w:r>
      <w:r w:rsidR="00BC2443" w:rsidRPr="0028332A">
        <w:t>A modo de resumen en las Figuras siguientes se grafican las demandas de agua potable diferenciadas por sistema tanto para la situación actual como futura.</w:t>
      </w:r>
    </w:p>
    <w:p w:rsidR="00155E8D" w:rsidRPr="009B7C69" w:rsidRDefault="00155E8D" w:rsidP="00BC2443"/>
    <w:p w:rsidR="00155E8D" w:rsidRPr="009B7C69" w:rsidRDefault="00155E8D" w:rsidP="00155E8D">
      <w:pPr>
        <w:jc w:val="center"/>
        <w:rPr>
          <w:rFonts w:cs="Arial"/>
          <w:b/>
          <w:bCs/>
          <w:noProof/>
          <w:spacing w:val="-3"/>
        </w:rPr>
      </w:pPr>
      <w:r w:rsidRPr="009B7C69">
        <w:rPr>
          <w:b/>
        </w:rPr>
        <w:br w:type="page"/>
      </w:r>
      <w:r w:rsidRPr="009B7C69">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61</w:t>
      </w:r>
      <w:r w:rsidR="00951FEC">
        <w:rPr>
          <w:b/>
        </w:rPr>
        <w:fldChar w:fldCharType="end"/>
      </w:r>
      <w:r w:rsidRPr="009B7C69">
        <w:rPr>
          <w:b/>
        </w:rPr>
        <w:t xml:space="preserve">  Demandas de Agua Potable Urbano, Situación Actual y Futura</w:t>
      </w:r>
    </w:p>
    <w:p w:rsidR="00BC2443" w:rsidRPr="009B7C69" w:rsidRDefault="00254CE2" w:rsidP="00B51B51">
      <w:pPr>
        <w:widowControl w:val="0"/>
      </w:pPr>
      <w:r>
        <w:rPr>
          <w:noProof/>
          <w:lang w:val="es-CL" w:eastAsia="es-CL"/>
        </w:rPr>
        <w:drawing>
          <wp:inline distT="0" distB="0" distL="0" distR="0">
            <wp:extent cx="5795010" cy="3126105"/>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95010" cy="3126105"/>
                    </a:xfrm>
                    <a:prstGeom prst="rect">
                      <a:avLst/>
                    </a:prstGeom>
                    <a:noFill/>
                    <a:ln>
                      <a:noFill/>
                    </a:ln>
                  </pic:spPr>
                </pic:pic>
              </a:graphicData>
            </a:graphic>
          </wp:inline>
        </w:drawing>
      </w:r>
    </w:p>
    <w:p w:rsidR="00BC2443" w:rsidRPr="009B7C69" w:rsidRDefault="00BC2443" w:rsidP="00B51B51">
      <w:pPr>
        <w:widowControl w:val="0"/>
      </w:pPr>
    </w:p>
    <w:p w:rsidR="00DC3C6A" w:rsidRPr="009B7C69" w:rsidRDefault="00DC3C6A" w:rsidP="00722872">
      <w:pPr>
        <w:widowControl w:val="0"/>
        <w:jc w:val="center"/>
      </w:pPr>
      <w:r w:rsidRPr="009B7C69">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62</w:t>
      </w:r>
      <w:r w:rsidR="00951FEC">
        <w:rPr>
          <w:b/>
        </w:rPr>
        <w:fldChar w:fldCharType="end"/>
      </w:r>
      <w:r w:rsidRPr="009B7C69">
        <w:rPr>
          <w:b/>
        </w:rPr>
        <w:t xml:space="preserve">  Demandas de Agua Potable Rural, Situación Actual y Futura</w:t>
      </w:r>
    </w:p>
    <w:p w:rsidR="00DC3C6A" w:rsidRPr="009B7C69" w:rsidRDefault="00254CE2" w:rsidP="00B51B51">
      <w:pPr>
        <w:widowControl w:val="0"/>
      </w:pPr>
      <w:r>
        <w:rPr>
          <w:noProof/>
          <w:lang w:val="es-CL" w:eastAsia="es-CL"/>
        </w:rPr>
        <w:drawing>
          <wp:inline distT="0" distB="0" distL="0" distR="0">
            <wp:extent cx="5795010" cy="3136900"/>
            <wp:effectExtent l="0" t="0" r="0" b="63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95010" cy="3136900"/>
                    </a:xfrm>
                    <a:prstGeom prst="rect">
                      <a:avLst/>
                    </a:prstGeom>
                    <a:noFill/>
                    <a:ln>
                      <a:noFill/>
                    </a:ln>
                  </pic:spPr>
                </pic:pic>
              </a:graphicData>
            </a:graphic>
          </wp:inline>
        </w:drawing>
      </w:r>
    </w:p>
    <w:p w:rsidR="00722872" w:rsidRPr="009B7C69" w:rsidRDefault="00722872" w:rsidP="00722872">
      <w:pPr>
        <w:pStyle w:val="Ttulo3"/>
        <w:numPr>
          <w:ilvl w:val="0"/>
          <w:numId w:val="0"/>
        </w:numPr>
      </w:pPr>
      <w:bookmarkStart w:id="381" w:name="_Toc338410207"/>
    </w:p>
    <w:p w:rsidR="007853F0" w:rsidRPr="009B7C69" w:rsidRDefault="007853F0" w:rsidP="001E5A91">
      <w:pPr>
        <w:pStyle w:val="Ttulo3"/>
      </w:pPr>
      <w:bookmarkStart w:id="382" w:name="_Toc344391835"/>
      <w:r w:rsidRPr="009B7C69">
        <w:t>Industria</w:t>
      </w:r>
      <w:bookmarkEnd w:id="381"/>
      <w:bookmarkEnd w:id="382"/>
    </w:p>
    <w:p w:rsidR="007853F0" w:rsidRPr="009B7C69" w:rsidRDefault="007853F0" w:rsidP="00B51B51">
      <w:pPr>
        <w:pStyle w:val="Ttulo4Ttulo4"/>
        <w:keepNext w:val="0"/>
        <w:widowControl w:val="0"/>
      </w:pPr>
      <w:bookmarkStart w:id="383" w:name="_Toc338410208"/>
      <w:bookmarkStart w:id="384" w:name="_Toc344391836"/>
      <w:r w:rsidRPr="009B7C69">
        <w:t>Situación Actual</w:t>
      </w:r>
      <w:bookmarkEnd w:id="383"/>
      <w:bookmarkEnd w:id="384"/>
    </w:p>
    <w:p w:rsidR="007853F0" w:rsidRPr="009B7C69" w:rsidRDefault="007853F0" w:rsidP="00B51B51">
      <w:pPr>
        <w:widowControl w:val="0"/>
      </w:pPr>
    </w:p>
    <w:p w:rsidR="00AA7A84" w:rsidRPr="009B7C69" w:rsidRDefault="00AA7A84" w:rsidP="00AA7A84">
      <w:r w:rsidRPr="009B7C69">
        <w:t>Las demandas de aguas en el sector industrial es una de las que presenta mayores dificultades para su definición puesto que no existe información disponible respecto de los consumos que hace este sector.</w:t>
      </w:r>
    </w:p>
    <w:p w:rsidR="00AA7A84" w:rsidRPr="009B7C69" w:rsidRDefault="00AA7A84" w:rsidP="00AA7A84">
      <w:r w:rsidRPr="009B7C69">
        <w:lastRenderedPageBreak/>
        <w:t>Dado lo anterior a objeto de estimar las demandas de este sector se ha tomado como referencia los resultados del estudio Estimaciones de Demanda de Agua y Proyecciones Futuras Zona I y II, desarrollados por Ayala, Cabrera y Asociados Ltda. el año 2006, el cual tomó como referencia el estudio desarrollado por IPLA el año 1996.</w:t>
      </w:r>
    </w:p>
    <w:p w:rsidR="00AA7A84" w:rsidRPr="009B7C69" w:rsidRDefault="00AA7A84" w:rsidP="00AA7A84"/>
    <w:p w:rsidR="00AA7A84" w:rsidRPr="009B7C69" w:rsidRDefault="00AA7A84" w:rsidP="00AA7A84">
      <w:r w:rsidRPr="009B7C69">
        <w:t xml:space="preserve">En el primero de estos estudios obtuvo una estimación al año 1993 de los consumos netos y brutos de agua con fines industriales, a nivel de cuencas. Dichos valores se calcularon a partir de información básica proveniente del “Catastro Nacional de Descargas de Residuos Industriales Líquidos de </w:t>
      </w:r>
      <w:smartTag w:uri="urn:schemas-microsoft-com:office:smarttags" w:element="PersonName">
        <w:smartTagPr>
          <w:attr w:name="ProductID" w:val="la SISS"/>
        </w:smartTagPr>
        <w:r w:rsidRPr="009B7C69">
          <w:t>la SISS</w:t>
        </w:r>
      </w:smartTag>
      <w:r w:rsidRPr="009B7C69">
        <w:t xml:space="preserve">”, (1993), junto con el uso de un factor de relación efluente/demanda, estimados para distintos sectores industriales. </w:t>
      </w:r>
    </w:p>
    <w:p w:rsidR="00AA7A84" w:rsidRPr="009B7C69" w:rsidRDefault="00AA7A84" w:rsidP="00AA7A84"/>
    <w:p w:rsidR="00AA7A84" w:rsidRPr="009B7C69" w:rsidRDefault="00AA7A84" w:rsidP="00AA7A84">
      <w:r w:rsidRPr="009B7C69">
        <w:t>A su vez, IPLA estimó, mediante una proyección de la variación del PIB entre 1993 y 2017, las demandas futuras, cuya variación se supuso proporcionalmente al aumento del PIB correspondiente a cada región y a cada sector industrial, ligando de esta forma la demanda hídrica con el crecimiento económico del sector correspondiente.</w:t>
      </w:r>
    </w:p>
    <w:p w:rsidR="00AA7A84" w:rsidRPr="009B7C69" w:rsidRDefault="00AA7A84" w:rsidP="00AA7A84"/>
    <w:p w:rsidR="00AA7A84" w:rsidRPr="009B7C69" w:rsidRDefault="00AA7A84" w:rsidP="00AA7A84">
      <w:r w:rsidRPr="009B7C69">
        <w:t xml:space="preserve">En el estudio desarrollado por Ayala y Cabrera, se consideró como situación base las demandas calculadas en el año 1993 por IPLA, proyectándolas hasta el año 2005 utilizando datos reales sobre la variación del Producto Interno Bruto (PIB) asociado a cada sector industrial. </w:t>
      </w:r>
    </w:p>
    <w:p w:rsidR="007853F0" w:rsidRPr="009B7C69" w:rsidRDefault="007853F0" w:rsidP="00B51B51">
      <w:pPr>
        <w:widowControl w:val="0"/>
      </w:pPr>
    </w:p>
    <w:p w:rsidR="007853F0" w:rsidRPr="009B7C69" w:rsidRDefault="007853F0" w:rsidP="00B51B51">
      <w:pPr>
        <w:widowControl w:val="0"/>
      </w:pPr>
      <w:r w:rsidRPr="009B7C69">
        <w:t xml:space="preserve">A objeto de proyectar la demanda al año 2012, se adoptó como año base las demandas calculadas al año 2005 utilizándose para ello información de la variación del PIB regional para los sectores industriales informado por el Banco Central de su información histórica que comprende el período 2005-2010. Se adoptó como valor de referencia del PIB el promedio del período antes señalado, según se presenta en </w:t>
      </w:r>
      <w:smartTag w:uri="urn:schemas-microsoft-com:office:smarttags" w:element="PersonName">
        <w:smartTagPr>
          <w:attr w:name="ProductID" w:val="la ￼￼￼￼￼￼￼￼￼￼￼￼￼￼￼￼￼￼￼￼￼￼￼￼￼￼￼￼￼￼￼￼￼￼￼￼￼￼￼￼￼Tabla"/>
        </w:smartTagPr>
        <w:r w:rsidRPr="009B7C69">
          <w:t xml:space="preserve">la </w:t>
        </w:r>
        <w:r w:rsidRPr="009B7C69">
          <w:fldChar w:fldCharType="begin"/>
        </w:r>
        <w:r w:rsidRPr="009B7C69">
          <w:instrText xml:space="preserve"> REF _Ref338249549 \h </w:instrText>
        </w:r>
        <w:r w:rsidR="009B7C69">
          <w:instrText xml:space="preserve"> \* MERGEFORMAT </w:instrText>
        </w:r>
        <w:r w:rsidRPr="009B7C69">
          <w:fldChar w:fldCharType="separate"/>
        </w:r>
        <w:r w:rsidR="00264070" w:rsidRPr="009B7C69">
          <w:t>Tabla</w:t>
        </w:r>
      </w:smartTag>
      <w:r w:rsidR="00264070" w:rsidRPr="009B7C69">
        <w:t xml:space="preserve"> </w:t>
      </w:r>
      <w:r w:rsidR="00264070">
        <w:rPr>
          <w:noProof/>
        </w:rPr>
        <w:t>5.103</w:t>
      </w:r>
      <w:r w:rsidRPr="009B7C69">
        <w:fldChar w:fldCharType="end"/>
      </w:r>
      <w:r w:rsidRPr="009B7C69">
        <w:t>. El valor adoptado fue de un 8,2%.</w:t>
      </w:r>
    </w:p>
    <w:p w:rsidR="007853F0" w:rsidRPr="009B7C69" w:rsidRDefault="007853F0" w:rsidP="00B51B51">
      <w:pPr>
        <w:pStyle w:val="Epgrafe"/>
        <w:widowControl w:val="0"/>
      </w:pPr>
      <w:bookmarkStart w:id="385" w:name="_Ref338249549"/>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103</w:t>
      </w:r>
      <w:r w:rsidR="007F3102">
        <w:fldChar w:fldCharType="end"/>
      </w:r>
      <w:bookmarkEnd w:id="385"/>
      <w:r w:rsidRPr="009B7C69">
        <w:t xml:space="preserve"> Variación del PIB por sector</w:t>
      </w:r>
    </w:p>
    <w:tbl>
      <w:tblPr>
        <w:tblW w:w="7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0"/>
        <w:gridCol w:w="963"/>
        <w:gridCol w:w="1235"/>
        <w:gridCol w:w="752"/>
        <w:gridCol w:w="733"/>
        <w:gridCol w:w="661"/>
        <w:gridCol w:w="1072"/>
      </w:tblGrid>
      <w:tr w:rsidR="007853F0" w:rsidRPr="009B7C69">
        <w:trPr>
          <w:jc w:val="center"/>
        </w:trPr>
        <w:tc>
          <w:tcPr>
            <w:tcW w:w="2440" w:type="dxa"/>
          </w:tcPr>
          <w:p w:rsidR="007853F0" w:rsidRPr="009B7C69" w:rsidRDefault="007853F0" w:rsidP="00B51B51">
            <w:pPr>
              <w:widowControl w:val="0"/>
              <w:jc w:val="center"/>
              <w:rPr>
                <w:sz w:val="18"/>
                <w:szCs w:val="20"/>
              </w:rPr>
            </w:pPr>
            <w:bookmarkStart w:id="386" w:name="OLE_LINK15"/>
            <w:bookmarkStart w:id="387" w:name="OLE_LINK16"/>
            <w:r w:rsidRPr="009B7C69">
              <w:rPr>
                <w:sz w:val="18"/>
                <w:szCs w:val="20"/>
              </w:rPr>
              <w:t>Actividad</w:t>
            </w:r>
          </w:p>
        </w:tc>
        <w:tc>
          <w:tcPr>
            <w:tcW w:w="963" w:type="dxa"/>
          </w:tcPr>
          <w:p w:rsidR="007853F0" w:rsidRPr="009B7C69" w:rsidRDefault="007853F0" w:rsidP="00B51B51">
            <w:pPr>
              <w:widowControl w:val="0"/>
              <w:jc w:val="center"/>
              <w:rPr>
                <w:sz w:val="18"/>
                <w:szCs w:val="20"/>
              </w:rPr>
            </w:pPr>
            <w:r w:rsidRPr="009B7C69">
              <w:rPr>
                <w:sz w:val="18"/>
                <w:szCs w:val="20"/>
              </w:rPr>
              <w:t>2005</w:t>
            </w:r>
          </w:p>
        </w:tc>
        <w:tc>
          <w:tcPr>
            <w:tcW w:w="1235" w:type="dxa"/>
          </w:tcPr>
          <w:p w:rsidR="007853F0" w:rsidRPr="009B7C69" w:rsidRDefault="007853F0" w:rsidP="00B51B51">
            <w:pPr>
              <w:widowControl w:val="0"/>
              <w:jc w:val="center"/>
              <w:rPr>
                <w:sz w:val="18"/>
                <w:szCs w:val="20"/>
              </w:rPr>
            </w:pPr>
            <w:r w:rsidRPr="009B7C69">
              <w:rPr>
                <w:sz w:val="18"/>
                <w:szCs w:val="20"/>
              </w:rPr>
              <w:t>2006</w:t>
            </w:r>
          </w:p>
        </w:tc>
        <w:tc>
          <w:tcPr>
            <w:tcW w:w="752" w:type="dxa"/>
          </w:tcPr>
          <w:p w:rsidR="007853F0" w:rsidRPr="009B7C69" w:rsidRDefault="007853F0" w:rsidP="00B51B51">
            <w:pPr>
              <w:widowControl w:val="0"/>
              <w:jc w:val="center"/>
              <w:rPr>
                <w:sz w:val="18"/>
                <w:szCs w:val="20"/>
              </w:rPr>
            </w:pPr>
            <w:r w:rsidRPr="009B7C69">
              <w:rPr>
                <w:sz w:val="18"/>
                <w:szCs w:val="20"/>
              </w:rPr>
              <w:t>2007</w:t>
            </w:r>
          </w:p>
        </w:tc>
        <w:tc>
          <w:tcPr>
            <w:tcW w:w="733" w:type="dxa"/>
          </w:tcPr>
          <w:p w:rsidR="007853F0" w:rsidRPr="009B7C69" w:rsidRDefault="007853F0" w:rsidP="00B51B51">
            <w:pPr>
              <w:widowControl w:val="0"/>
              <w:jc w:val="center"/>
              <w:rPr>
                <w:sz w:val="18"/>
                <w:szCs w:val="20"/>
              </w:rPr>
            </w:pPr>
            <w:r w:rsidRPr="009B7C69">
              <w:rPr>
                <w:sz w:val="18"/>
                <w:szCs w:val="20"/>
              </w:rPr>
              <w:t>2008</w:t>
            </w:r>
          </w:p>
        </w:tc>
        <w:tc>
          <w:tcPr>
            <w:tcW w:w="661" w:type="dxa"/>
          </w:tcPr>
          <w:p w:rsidR="007853F0" w:rsidRPr="009B7C69" w:rsidRDefault="007853F0" w:rsidP="00B51B51">
            <w:pPr>
              <w:widowControl w:val="0"/>
              <w:jc w:val="center"/>
              <w:rPr>
                <w:sz w:val="18"/>
                <w:szCs w:val="20"/>
              </w:rPr>
            </w:pPr>
            <w:r w:rsidRPr="009B7C69">
              <w:rPr>
                <w:sz w:val="18"/>
                <w:szCs w:val="20"/>
              </w:rPr>
              <w:t>2009</w:t>
            </w:r>
          </w:p>
        </w:tc>
        <w:tc>
          <w:tcPr>
            <w:tcW w:w="1072" w:type="dxa"/>
          </w:tcPr>
          <w:p w:rsidR="007853F0" w:rsidRPr="009B7C69" w:rsidRDefault="007853F0" w:rsidP="00B51B51">
            <w:pPr>
              <w:widowControl w:val="0"/>
              <w:jc w:val="center"/>
              <w:rPr>
                <w:sz w:val="18"/>
                <w:szCs w:val="20"/>
              </w:rPr>
            </w:pPr>
            <w:r w:rsidRPr="009B7C69">
              <w:rPr>
                <w:sz w:val="18"/>
                <w:szCs w:val="20"/>
              </w:rPr>
              <w:t>Promedio</w:t>
            </w:r>
          </w:p>
        </w:tc>
      </w:tr>
      <w:tr w:rsidR="007853F0" w:rsidRPr="009B7C69">
        <w:trPr>
          <w:jc w:val="center"/>
        </w:trPr>
        <w:tc>
          <w:tcPr>
            <w:tcW w:w="2440" w:type="dxa"/>
          </w:tcPr>
          <w:p w:rsidR="007853F0" w:rsidRPr="009B7C69" w:rsidRDefault="007853F0" w:rsidP="00B51B51">
            <w:pPr>
              <w:widowControl w:val="0"/>
              <w:rPr>
                <w:sz w:val="18"/>
                <w:szCs w:val="20"/>
              </w:rPr>
            </w:pPr>
            <w:r w:rsidRPr="009B7C69">
              <w:rPr>
                <w:sz w:val="18"/>
                <w:szCs w:val="20"/>
              </w:rPr>
              <w:t>Pesca</w:t>
            </w:r>
          </w:p>
        </w:tc>
        <w:tc>
          <w:tcPr>
            <w:tcW w:w="963" w:type="dxa"/>
          </w:tcPr>
          <w:p w:rsidR="007853F0" w:rsidRPr="009B7C69" w:rsidRDefault="007853F0" w:rsidP="00B51B51">
            <w:pPr>
              <w:widowControl w:val="0"/>
              <w:jc w:val="center"/>
              <w:rPr>
                <w:rFonts w:cs="Arial"/>
                <w:sz w:val="18"/>
                <w:szCs w:val="20"/>
              </w:rPr>
            </w:pPr>
            <w:r w:rsidRPr="009B7C69">
              <w:rPr>
                <w:rFonts w:cs="Arial"/>
                <w:sz w:val="18"/>
                <w:szCs w:val="20"/>
              </w:rPr>
              <w:t>-10,1</w:t>
            </w:r>
          </w:p>
        </w:tc>
        <w:tc>
          <w:tcPr>
            <w:tcW w:w="1235" w:type="dxa"/>
          </w:tcPr>
          <w:p w:rsidR="007853F0" w:rsidRPr="009B7C69" w:rsidRDefault="007853F0" w:rsidP="00B51B51">
            <w:pPr>
              <w:widowControl w:val="0"/>
              <w:jc w:val="center"/>
              <w:rPr>
                <w:rFonts w:cs="Arial"/>
                <w:sz w:val="18"/>
                <w:szCs w:val="20"/>
              </w:rPr>
            </w:pPr>
            <w:r w:rsidRPr="009B7C69">
              <w:rPr>
                <w:rFonts w:cs="Arial"/>
                <w:sz w:val="18"/>
                <w:szCs w:val="20"/>
              </w:rPr>
              <w:t>19,0</w:t>
            </w:r>
          </w:p>
        </w:tc>
        <w:tc>
          <w:tcPr>
            <w:tcW w:w="752" w:type="dxa"/>
          </w:tcPr>
          <w:p w:rsidR="007853F0" w:rsidRPr="009B7C69" w:rsidRDefault="007853F0" w:rsidP="00B51B51">
            <w:pPr>
              <w:widowControl w:val="0"/>
              <w:jc w:val="center"/>
              <w:rPr>
                <w:rFonts w:cs="Arial"/>
                <w:sz w:val="18"/>
                <w:szCs w:val="20"/>
              </w:rPr>
            </w:pPr>
            <w:r w:rsidRPr="009B7C69">
              <w:rPr>
                <w:rFonts w:cs="Arial"/>
                <w:sz w:val="18"/>
                <w:szCs w:val="20"/>
              </w:rPr>
              <w:t>0,7</w:t>
            </w:r>
          </w:p>
        </w:tc>
        <w:tc>
          <w:tcPr>
            <w:tcW w:w="733" w:type="dxa"/>
          </w:tcPr>
          <w:p w:rsidR="007853F0" w:rsidRPr="009B7C69" w:rsidRDefault="007853F0" w:rsidP="00B51B51">
            <w:pPr>
              <w:widowControl w:val="0"/>
              <w:jc w:val="center"/>
              <w:rPr>
                <w:rFonts w:cs="Arial"/>
                <w:sz w:val="18"/>
                <w:szCs w:val="20"/>
              </w:rPr>
            </w:pPr>
            <w:r w:rsidRPr="009B7C69">
              <w:rPr>
                <w:rFonts w:cs="Arial"/>
                <w:sz w:val="18"/>
                <w:szCs w:val="20"/>
              </w:rPr>
              <w:t>25,5</w:t>
            </w:r>
          </w:p>
        </w:tc>
        <w:tc>
          <w:tcPr>
            <w:tcW w:w="661" w:type="dxa"/>
          </w:tcPr>
          <w:p w:rsidR="007853F0" w:rsidRPr="009B7C69" w:rsidRDefault="007853F0" w:rsidP="00B51B51">
            <w:pPr>
              <w:widowControl w:val="0"/>
              <w:jc w:val="center"/>
              <w:rPr>
                <w:rFonts w:cs="Arial"/>
                <w:sz w:val="18"/>
                <w:szCs w:val="20"/>
              </w:rPr>
            </w:pPr>
            <w:r w:rsidRPr="009B7C69">
              <w:rPr>
                <w:rFonts w:cs="Arial"/>
                <w:sz w:val="18"/>
                <w:szCs w:val="20"/>
              </w:rPr>
              <w:t>68,5</w:t>
            </w:r>
          </w:p>
        </w:tc>
        <w:tc>
          <w:tcPr>
            <w:tcW w:w="1072" w:type="dxa"/>
          </w:tcPr>
          <w:p w:rsidR="007853F0" w:rsidRPr="009B7C69" w:rsidRDefault="007853F0" w:rsidP="00B51B51">
            <w:pPr>
              <w:widowControl w:val="0"/>
              <w:jc w:val="center"/>
              <w:rPr>
                <w:rFonts w:cs="Arial"/>
                <w:sz w:val="18"/>
                <w:szCs w:val="20"/>
              </w:rPr>
            </w:pPr>
            <w:r w:rsidRPr="009B7C69">
              <w:rPr>
                <w:rFonts w:cs="Arial"/>
                <w:sz w:val="18"/>
                <w:szCs w:val="20"/>
              </w:rPr>
              <w:t>20,7</w:t>
            </w:r>
          </w:p>
        </w:tc>
      </w:tr>
      <w:tr w:rsidR="007853F0" w:rsidRPr="009B7C69">
        <w:trPr>
          <w:jc w:val="center"/>
        </w:trPr>
        <w:tc>
          <w:tcPr>
            <w:tcW w:w="2440" w:type="dxa"/>
          </w:tcPr>
          <w:p w:rsidR="007853F0" w:rsidRPr="009B7C69" w:rsidRDefault="007853F0" w:rsidP="00B51B51">
            <w:pPr>
              <w:widowControl w:val="0"/>
              <w:rPr>
                <w:sz w:val="18"/>
                <w:szCs w:val="20"/>
              </w:rPr>
            </w:pPr>
            <w:r w:rsidRPr="009B7C69">
              <w:rPr>
                <w:sz w:val="18"/>
                <w:szCs w:val="20"/>
              </w:rPr>
              <w:t>Minería</w:t>
            </w:r>
          </w:p>
        </w:tc>
        <w:tc>
          <w:tcPr>
            <w:tcW w:w="963" w:type="dxa"/>
          </w:tcPr>
          <w:p w:rsidR="007853F0" w:rsidRPr="009B7C69" w:rsidRDefault="007853F0" w:rsidP="00B51B51">
            <w:pPr>
              <w:widowControl w:val="0"/>
              <w:jc w:val="center"/>
              <w:rPr>
                <w:rFonts w:cs="Arial"/>
                <w:sz w:val="18"/>
                <w:szCs w:val="20"/>
              </w:rPr>
            </w:pPr>
            <w:r w:rsidRPr="009B7C69">
              <w:rPr>
                <w:rFonts w:cs="Arial"/>
                <w:sz w:val="18"/>
                <w:szCs w:val="20"/>
              </w:rPr>
              <w:t>-5,7</w:t>
            </w:r>
          </w:p>
        </w:tc>
        <w:tc>
          <w:tcPr>
            <w:tcW w:w="1235" w:type="dxa"/>
          </w:tcPr>
          <w:p w:rsidR="007853F0" w:rsidRPr="009B7C69" w:rsidRDefault="007853F0" w:rsidP="00B51B51">
            <w:pPr>
              <w:widowControl w:val="0"/>
              <w:jc w:val="center"/>
              <w:rPr>
                <w:rFonts w:cs="Arial"/>
                <w:sz w:val="18"/>
                <w:szCs w:val="20"/>
              </w:rPr>
            </w:pPr>
            <w:r w:rsidRPr="009B7C69">
              <w:rPr>
                <w:rFonts w:cs="Arial"/>
                <w:sz w:val="18"/>
                <w:szCs w:val="20"/>
              </w:rPr>
              <w:t>-4,6</w:t>
            </w:r>
          </w:p>
        </w:tc>
        <w:tc>
          <w:tcPr>
            <w:tcW w:w="752" w:type="dxa"/>
          </w:tcPr>
          <w:p w:rsidR="007853F0" w:rsidRPr="009B7C69" w:rsidRDefault="007853F0" w:rsidP="00B51B51">
            <w:pPr>
              <w:widowControl w:val="0"/>
              <w:jc w:val="center"/>
              <w:rPr>
                <w:rFonts w:cs="Arial"/>
                <w:sz w:val="18"/>
                <w:szCs w:val="20"/>
              </w:rPr>
            </w:pPr>
            <w:r w:rsidRPr="009B7C69">
              <w:rPr>
                <w:rFonts w:cs="Arial"/>
                <w:sz w:val="18"/>
                <w:szCs w:val="20"/>
              </w:rPr>
              <w:t>-1,6</w:t>
            </w:r>
          </w:p>
        </w:tc>
        <w:tc>
          <w:tcPr>
            <w:tcW w:w="733" w:type="dxa"/>
          </w:tcPr>
          <w:p w:rsidR="007853F0" w:rsidRPr="009B7C69" w:rsidRDefault="007853F0" w:rsidP="00B51B51">
            <w:pPr>
              <w:widowControl w:val="0"/>
              <w:jc w:val="center"/>
              <w:rPr>
                <w:rFonts w:cs="Arial"/>
                <w:sz w:val="18"/>
                <w:szCs w:val="20"/>
              </w:rPr>
            </w:pPr>
            <w:r w:rsidRPr="009B7C69">
              <w:rPr>
                <w:rFonts w:cs="Arial"/>
                <w:sz w:val="18"/>
                <w:szCs w:val="20"/>
              </w:rPr>
              <w:t>-4,7</w:t>
            </w:r>
          </w:p>
        </w:tc>
        <w:tc>
          <w:tcPr>
            <w:tcW w:w="661" w:type="dxa"/>
          </w:tcPr>
          <w:p w:rsidR="007853F0" w:rsidRPr="009B7C69" w:rsidRDefault="007853F0" w:rsidP="00B51B51">
            <w:pPr>
              <w:widowControl w:val="0"/>
              <w:jc w:val="center"/>
              <w:rPr>
                <w:rFonts w:cs="Arial"/>
                <w:sz w:val="18"/>
                <w:szCs w:val="20"/>
              </w:rPr>
            </w:pPr>
            <w:r w:rsidRPr="009B7C69">
              <w:rPr>
                <w:rFonts w:cs="Arial"/>
                <w:sz w:val="18"/>
                <w:szCs w:val="20"/>
              </w:rPr>
              <w:t>5,5</w:t>
            </w:r>
          </w:p>
        </w:tc>
        <w:tc>
          <w:tcPr>
            <w:tcW w:w="1072" w:type="dxa"/>
          </w:tcPr>
          <w:p w:rsidR="007853F0" w:rsidRPr="009B7C69" w:rsidRDefault="007853F0" w:rsidP="00B51B51">
            <w:pPr>
              <w:widowControl w:val="0"/>
              <w:jc w:val="center"/>
              <w:rPr>
                <w:rFonts w:cs="Arial"/>
                <w:sz w:val="18"/>
                <w:szCs w:val="20"/>
              </w:rPr>
            </w:pPr>
            <w:r w:rsidRPr="009B7C69">
              <w:rPr>
                <w:rFonts w:cs="Arial"/>
                <w:sz w:val="18"/>
                <w:szCs w:val="20"/>
              </w:rPr>
              <w:t>-2,2</w:t>
            </w:r>
          </w:p>
        </w:tc>
      </w:tr>
      <w:tr w:rsidR="007853F0" w:rsidRPr="009B7C69">
        <w:trPr>
          <w:jc w:val="center"/>
        </w:trPr>
        <w:tc>
          <w:tcPr>
            <w:tcW w:w="2440" w:type="dxa"/>
          </w:tcPr>
          <w:p w:rsidR="007853F0" w:rsidRPr="009B7C69" w:rsidRDefault="007853F0" w:rsidP="00B51B51">
            <w:pPr>
              <w:widowControl w:val="0"/>
              <w:rPr>
                <w:sz w:val="18"/>
                <w:szCs w:val="20"/>
              </w:rPr>
            </w:pPr>
            <w:r w:rsidRPr="009B7C69">
              <w:rPr>
                <w:sz w:val="18"/>
                <w:szCs w:val="20"/>
              </w:rPr>
              <w:t>Industria Manufacturera</w:t>
            </w:r>
          </w:p>
        </w:tc>
        <w:tc>
          <w:tcPr>
            <w:tcW w:w="963" w:type="dxa"/>
          </w:tcPr>
          <w:p w:rsidR="007853F0" w:rsidRPr="009B7C69" w:rsidRDefault="007853F0" w:rsidP="00B51B51">
            <w:pPr>
              <w:widowControl w:val="0"/>
              <w:jc w:val="center"/>
              <w:rPr>
                <w:rFonts w:cs="Arial"/>
                <w:sz w:val="18"/>
                <w:szCs w:val="20"/>
              </w:rPr>
            </w:pPr>
            <w:r w:rsidRPr="009B7C69">
              <w:rPr>
                <w:rFonts w:cs="Arial"/>
                <w:sz w:val="18"/>
                <w:szCs w:val="20"/>
              </w:rPr>
              <w:t>11,8</w:t>
            </w:r>
          </w:p>
        </w:tc>
        <w:tc>
          <w:tcPr>
            <w:tcW w:w="1235" w:type="dxa"/>
          </w:tcPr>
          <w:p w:rsidR="007853F0" w:rsidRPr="009B7C69" w:rsidRDefault="007853F0" w:rsidP="00B51B51">
            <w:pPr>
              <w:widowControl w:val="0"/>
              <w:jc w:val="center"/>
              <w:rPr>
                <w:rFonts w:cs="Arial"/>
                <w:sz w:val="18"/>
                <w:szCs w:val="20"/>
              </w:rPr>
            </w:pPr>
            <w:r w:rsidRPr="009B7C69">
              <w:rPr>
                <w:rFonts w:cs="Arial"/>
                <w:sz w:val="18"/>
                <w:szCs w:val="20"/>
              </w:rPr>
              <w:t>-3,0</w:t>
            </w:r>
          </w:p>
        </w:tc>
        <w:tc>
          <w:tcPr>
            <w:tcW w:w="752" w:type="dxa"/>
          </w:tcPr>
          <w:p w:rsidR="007853F0" w:rsidRPr="009B7C69" w:rsidRDefault="007853F0" w:rsidP="00B51B51">
            <w:pPr>
              <w:widowControl w:val="0"/>
              <w:jc w:val="center"/>
              <w:rPr>
                <w:rFonts w:cs="Arial"/>
                <w:sz w:val="18"/>
                <w:szCs w:val="20"/>
              </w:rPr>
            </w:pPr>
            <w:r w:rsidRPr="009B7C69">
              <w:rPr>
                <w:rFonts w:cs="Arial"/>
                <w:sz w:val="18"/>
                <w:szCs w:val="20"/>
              </w:rPr>
              <w:t>7,3</w:t>
            </w:r>
          </w:p>
        </w:tc>
        <w:tc>
          <w:tcPr>
            <w:tcW w:w="733" w:type="dxa"/>
          </w:tcPr>
          <w:p w:rsidR="007853F0" w:rsidRPr="009B7C69" w:rsidRDefault="007853F0" w:rsidP="00B51B51">
            <w:pPr>
              <w:widowControl w:val="0"/>
              <w:jc w:val="center"/>
              <w:rPr>
                <w:rFonts w:cs="Arial"/>
                <w:sz w:val="18"/>
                <w:szCs w:val="20"/>
              </w:rPr>
            </w:pPr>
            <w:r w:rsidRPr="009B7C69">
              <w:rPr>
                <w:rFonts w:cs="Arial"/>
                <w:sz w:val="18"/>
                <w:szCs w:val="20"/>
              </w:rPr>
              <w:t>12,1</w:t>
            </w:r>
          </w:p>
        </w:tc>
        <w:tc>
          <w:tcPr>
            <w:tcW w:w="661" w:type="dxa"/>
          </w:tcPr>
          <w:p w:rsidR="007853F0" w:rsidRPr="009B7C69" w:rsidRDefault="007853F0" w:rsidP="00B51B51">
            <w:pPr>
              <w:widowControl w:val="0"/>
              <w:jc w:val="center"/>
              <w:rPr>
                <w:rFonts w:cs="Arial"/>
                <w:sz w:val="18"/>
                <w:szCs w:val="20"/>
              </w:rPr>
            </w:pPr>
            <w:r w:rsidRPr="009B7C69">
              <w:rPr>
                <w:rFonts w:cs="Arial"/>
                <w:sz w:val="18"/>
                <w:szCs w:val="20"/>
              </w:rPr>
              <w:t>2,2</w:t>
            </w:r>
          </w:p>
        </w:tc>
        <w:tc>
          <w:tcPr>
            <w:tcW w:w="1072" w:type="dxa"/>
          </w:tcPr>
          <w:p w:rsidR="007853F0" w:rsidRPr="009B7C69" w:rsidRDefault="007853F0" w:rsidP="00B51B51">
            <w:pPr>
              <w:widowControl w:val="0"/>
              <w:jc w:val="center"/>
              <w:rPr>
                <w:rFonts w:cs="Arial"/>
                <w:sz w:val="18"/>
                <w:szCs w:val="20"/>
              </w:rPr>
            </w:pPr>
            <w:r w:rsidRPr="009B7C69">
              <w:rPr>
                <w:rFonts w:cs="Arial"/>
                <w:sz w:val="18"/>
                <w:szCs w:val="20"/>
              </w:rPr>
              <w:t>6,1</w:t>
            </w:r>
          </w:p>
        </w:tc>
      </w:tr>
      <w:tr w:rsidR="007853F0" w:rsidRPr="009B7C69">
        <w:trPr>
          <w:jc w:val="center"/>
        </w:trPr>
        <w:tc>
          <w:tcPr>
            <w:tcW w:w="2440" w:type="dxa"/>
          </w:tcPr>
          <w:p w:rsidR="007853F0" w:rsidRPr="009B7C69" w:rsidRDefault="007853F0" w:rsidP="00B51B51">
            <w:pPr>
              <w:widowControl w:val="0"/>
              <w:rPr>
                <w:sz w:val="18"/>
                <w:szCs w:val="20"/>
              </w:rPr>
            </w:pPr>
            <w:r w:rsidRPr="009B7C69">
              <w:rPr>
                <w:sz w:val="18"/>
                <w:szCs w:val="20"/>
              </w:rPr>
              <w:t>Total</w:t>
            </w:r>
          </w:p>
        </w:tc>
        <w:tc>
          <w:tcPr>
            <w:tcW w:w="963" w:type="dxa"/>
          </w:tcPr>
          <w:p w:rsidR="007853F0" w:rsidRPr="009B7C69" w:rsidRDefault="007853F0" w:rsidP="00B51B51">
            <w:pPr>
              <w:widowControl w:val="0"/>
              <w:jc w:val="center"/>
              <w:rPr>
                <w:rFonts w:cs="Arial"/>
                <w:sz w:val="18"/>
                <w:szCs w:val="20"/>
              </w:rPr>
            </w:pPr>
            <w:r w:rsidRPr="009B7C69">
              <w:rPr>
                <w:rFonts w:cs="Arial"/>
                <w:sz w:val="18"/>
                <w:szCs w:val="20"/>
              </w:rPr>
              <w:t>-4,0</w:t>
            </w:r>
          </w:p>
        </w:tc>
        <w:tc>
          <w:tcPr>
            <w:tcW w:w="1235" w:type="dxa"/>
          </w:tcPr>
          <w:p w:rsidR="007853F0" w:rsidRPr="009B7C69" w:rsidRDefault="007853F0" w:rsidP="00B51B51">
            <w:pPr>
              <w:widowControl w:val="0"/>
              <w:jc w:val="center"/>
              <w:rPr>
                <w:rFonts w:cs="Arial"/>
                <w:sz w:val="18"/>
                <w:szCs w:val="20"/>
              </w:rPr>
            </w:pPr>
            <w:r w:rsidRPr="009B7C69">
              <w:rPr>
                <w:rFonts w:cs="Arial"/>
                <w:sz w:val="18"/>
                <w:szCs w:val="20"/>
              </w:rPr>
              <w:t>11,4</w:t>
            </w:r>
          </w:p>
        </w:tc>
        <w:tc>
          <w:tcPr>
            <w:tcW w:w="752" w:type="dxa"/>
          </w:tcPr>
          <w:p w:rsidR="007853F0" w:rsidRPr="009B7C69" w:rsidRDefault="007853F0" w:rsidP="00B51B51">
            <w:pPr>
              <w:widowControl w:val="0"/>
              <w:jc w:val="center"/>
              <w:rPr>
                <w:rFonts w:cs="Arial"/>
                <w:sz w:val="18"/>
                <w:szCs w:val="20"/>
              </w:rPr>
            </w:pPr>
            <w:r w:rsidRPr="009B7C69">
              <w:rPr>
                <w:rFonts w:cs="Arial"/>
                <w:sz w:val="18"/>
                <w:szCs w:val="20"/>
              </w:rPr>
              <w:t>6,4</w:t>
            </w:r>
          </w:p>
        </w:tc>
        <w:tc>
          <w:tcPr>
            <w:tcW w:w="733" w:type="dxa"/>
          </w:tcPr>
          <w:p w:rsidR="007853F0" w:rsidRPr="009B7C69" w:rsidRDefault="007853F0" w:rsidP="00B51B51">
            <w:pPr>
              <w:widowControl w:val="0"/>
              <w:jc w:val="center"/>
              <w:rPr>
                <w:rFonts w:cs="Arial"/>
                <w:sz w:val="18"/>
                <w:szCs w:val="20"/>
              </w:rPr>
            </w:pPr>
            <w:r w:rsidRPr="009B7C69">
              <w:rPr>
                <w:rFonts w:cs="Arial"/>
                <w:sz w:val="18"/>
                <w:szCs w:val="20"/>
              </w:rPr>
              <w:t>32,9</w:t>
            </w:r>
          </w:p>
        </w:tc>
        <w:tc>
          <w:tcPr>
            <w:tcW w:w="661" w:type="dxa"/>
          </w:tcPr>
          <w:p w:rsidR="007853F0" w:rsidRPr="009B7C69" w:rsidRDefault="007853F0" w:rsidP="00B51B51">
            <w:pPr>
              <w:widowControl w:val="0"/>
              <w:jc w:val="center"/>
              <w:rPr>
                <w:rFonts w:cs="Arial"/>
                <w:sz w:val="18"/>
                <w:szCs w:val="20"/>
              </w:rPr>
            </w:pPr>
            <w:r w:rsidRPr="009B7C69">
              <w:rPr>
                <w:rFonts w:cs="Arial"/>
                <w:sz w:val="18"/>
                <w:szCs w:val="20"/>
              </w:rPr>
              <w:t>76,2</w:t>
            </w:r>
          </w:p>
        </w:tc>
        <w:tc>
          <w:tcPr>
            <w:tcW w:w="1072" w:type="dxa"/>
          </w:tcPr>
          <w:p w:rsidR="007853F0" w:rsidRPr="009B7C69" w:rsidRDefault="007853F0" w:rsidP="00B51B51">
            <w:pPr>
              <w:widowControl w:val="0"/>
              <w:jc w:val="center"/>
              <w:rPr>
                <w:rFonts w:cs="Arial"/>
                <w:sz w:val="18"/>
                <w:szCs w:val="20"/>
              </w:rPr>
            </w:pPr>
            <w:r w:rsidRPr="009B7C69">
              <w:rPr>
                <w:rFonts w:cs="Arial"/>
                <w:sz w:val="18"/>
                <w:szCs w:val="20"/>
              </w:rPr>
              <w:t>8,2</w:t>
            </w:r>
          </w:p>
        </w:tc>
      </w:tr>
      <w:bookmarkEnd w:id="386"/>
      <w:bookmarkEnd w:id="387"/>
    </w:tbl>
    <w:p w:rsidR="007853F0" w:rsidRPr="009B7C69" w:rsidRDefault="007853F0" w:rsidP="00B51B51">
      <w:pPr>
        <w:widowControl w:val="0"/>
      </w:pPr>
    </w:p>
    <w:p w:rsidR="007853F0" w:rsidRPr="009B7C69" w:rsidRDefault="007853F0" w:rsidP="00B51B51">
      <w:pPr>
        <w:widowControl w:val="0"/>
      </w:pPr>
      <w:r w:rsidRPr="009B7C69">
        <w:t>A partir de lo señalado se presenta la estimación de la demanda de la industria.</w:t>
      </w:r>
    </w:p>
    <w:p w:rsidR="007853F0" w:rsidRPr="009B7C69" w:rsidRDefault="007853F0" w:rsidP="00B51B51">
      <w:pPr>
        <w:widowControl w:val="0"/>
      </w:pPr>
    </w:p>
    <w:p w:rsidR="007853F0" w:rsidRPr="009B7C69" w:rsidRDefault="007853F0" w:rsidP="00B51B51">
      <w:pPr>
        <w:pStyle w:val="Epgrafe"/>
        <w:widowControl w:val="0"/>
      </w:pPr>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104</w:t>
      </w:r>
      <w:r w:rsidR="007F3102">
        <w:fldChar w:fldCharType="end"/>
      </w:r>
      <w:r w:rsidRPr="009B7C69">
        <w:t xml:space="preserve"> Demanda de Agua para Industria</w:t>
      </w:r>
    </w:p>
    <w:tbl>
      <w:tblPr>
        <w:tblW w:w="9262" w:type="dxa"/>
        <w:jc w:val="center"/>
        <w:tblCellMar>
          <w:left w:w="70" w:type="dxa"/>
          <w:right w:w="70" w:type="dxa"/>
        </w:tblCellMar>
        <w:tblLook w:val="0000" w:firstRow="0" w:lastRow="0" w:firstColumn="0" w:lastColumn="0" w:noHBand="0" w:noVBand="0"/>
      </w:tblPr>
      <w:tblGrid>
        <w:gridCol w:w="1582"/>
        <w:gridCol w:w="4465"/>
        <w:gridCol w:w="1635"/>
        <w:gridCol w:w="1580"/>
      </w:tblGrid>
      <w:tr w:rsidR="007853F0" w:rsidRPr="009B7C69">
        <w:trPr>
          <w:tblHeader/>
          <w:jc w:val="center"/>
        </w:trPr>
        <w:tc>
          <w:tcPr>
            <w:tcW w:w="1582" w:type="dxa"/>
            <w:tcBorders>
              <w:top w:val="single" w:sz="4" w:space="0" w:color="auto"/>
              <w:left w:val="single" w:sz="4" w:space="0" w:color="auto"/>
              <w:bottom w:val="single" w:sz="8" w:space="0" w:color="auto"/>
              <w:right w:val="single" w:sz="8" w:space="0" w:color="auto"/>
            </w:tcBorders>
            <w:shd w:val="clear" w:color="auto" w:fill="auto"/>
            <w:noWrap/>
            <w:vAlign w:val="center"/>
          </w:tcPr>
          <w:p w:rsidR="007853F0" w:rsidRPr="009B7C69" w:rsidRDefault="007853F0" w:rsidP="00B51B51">
            <w:pPr>
              <w:widowControl w:val="0"/>
              <w:jc w:val="center"/>
              <w:rPr>
                <w:rFonts w:cs="Arial"/>
                <w:bCs/>
                <w:sz w:val="16"/>
                <w:szCs w:val="16"/>
              </w:rPr>
            </w:pPr>
            <w:r w:rsidRPr="009B7C69">
              <w:rPr>
                <w:rFonts w:cs="Arial"/>
                <w:bCs/>
                <w:sz w:val="16"/>
                <w:szCs w:val="16"/>
              </w:rPr>
              <w:t>Código Subcuenca</w:t>
            </w:r>
          </w:p>
        </w:tc>
        <w:tc>
          <w:tcPr>
            <w:tcW w:w="4465" w:type="dxa"/>
            <w:tcBorders>
              <w:top w:val="single" w:sz="4" w:space="0" w:color="auto"/>
              <w:left w:val="nil"/>
              <w:bottom w:val="single" w:sz="8" w:space="0" w:color="auto"/>
              <w:right w:val="single" w:sz="4" w:space="0" w:color="auto"/>
            </w:tcBorders>
            <w:shd w:val="clear" w:color="auto" w:fill="auto"/>
            <w:noWrap/>
            <w:vAlign w:val="center"/>
          </w:tcPr>
          <w:p w:rsidR="007853F0" w:rsidRPr="009B7C69" w:rsidRDefault="007853F0" w:rsidP="00B51B51">
            <w:pPr>
              <w:widowControl w:val="0"/>
              <w:jc w:val="center"/>
              <w:rPr>
                <w:rFonts w:cs="Arial"/>
                <w:bCs/>
                <w:sz w:val="16"/>
                <w:szCs w:val="16"/>
              </w:rPr>
            </w:pPr>
            <w:r w:rsidRPr="009B7C69">
              <w:rPr>
                <w:rFonts w:cs="Arial"/>
                <w:bCs/>
                <w:sz w:val="16"/>
                <w:szCs w:val="16"/>
              </w:rPr>
              <w:t>Nombre Subcuenca</w:t>
            </w:r>
          </w:p>
        </w:tc>
        <w:tc>
          <w:tcPr>
            <w:tcW w:w="1635" w:type="dxa"/>
            <w:tcBorders>
              <w:top w:val="single" w:sz="4" w:space="0" w:color="auto"/>
              <w:left w:val="nil"/>
              <w:bottom w:val="single" w:sz="8" w:space="0" w:color="auto"/>
              <w:right w:val="single" w:sz="4" w:space="0" w:color="auto"/>
            </w:tcBorders>
          </w:tcPr>
          <w:p w:rsidR="007853F0" w:rsidRPr="009B7C69" w:rsidRDefault="007853F0" w:rsidP="00B51B51">
            <w:pPr>
              <w:widowControl w:val="0"/>
              <w:jc w:val="center"/>
              <w:rPr>
                <w:rFonts w:cs="Arial"/>
                <w:bCs/>
                <w:sz w:val="16"/>
                <w:szCs w:val="16"/>
              </w:rPr>
            </w:pPr>
            <w:r w:rsidRPr="009B7C69">
              <w:rPr>
                <w:rFonts w:cs="Arial"/>
                <w:bCs/>
                <w:sz w:val="16"/>
                <w:szCs w:val="16"/>
              </w:rPr>
              <w:t>Año Base 2005 (l/s)</w:t>
            </w:r>
          </w:p>
        </w:tc>
        <w:tc>
          <w:tcPr>
            <w:tcW w:w="1580" w:type="dxa"/>
            <w:tcBorders>
              <w:top w:val="single" w:sz="4" w:space="0" w:color="auto"/>
              <w:left w:val="nil"/>
              <w:bottom w:val="single" w:sz="8" w:space="0" w:color="auto"/>
              <w:right w:val="single" w:sz="4" w:space="0" w:color="auto"/>
            </w:tcBorders>
          </w:tcPr>
          <w:p w:rsidR="007853F0" w:rsidRPr="009B7C69" w:rsidRDefault="007853F0" w:rsidP="00B51B51">
            <w:pPr>
              <w:widowControl w:val="0"/>
              <w:jc w:val="center"/>
              <w:rPr>
                <w:rFonts w:cs="Arial"/>
                <w:bCs/>
                <w:sz w:val="16"/>
                <w:szCs w:val="16"/>
              </w:rPr>
            </w:pPr>
            <w:r w:rsidRPr="009B7C69">
              <w:rPr>
                <w:rFonts w:cs="Arial"/>
                <w:bCs/>
                <w:sz w:val="16"/>
                <w:szCs w:val="16"/>
              </w:rPr>
              <w:t>Año Base 2012 (l/s)</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0571</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 xml:space="preserve">Forma Parte de </w:t>
            </w:r>
            <w:smartTag w:uri="urn:schemas-microsoft-com:office:smarttags" w:element="PersonName">
              <w:smartTagPr>
                <w:attr w:name="ProductID" w:val="La Subcuenca Del"/>
              </w:smartTagPr>
              <w:r w:rsidRPr="009B7C69">
                <w:rPr>
                  <w:rFonts w:cs="Arial"/>
                  <w:sz w:val="16"/>
                  <w:szCs w:val="16"/>
                </w:rPr>
                <w:t>La Subcuenca Del</w:t>
              </w:r>
            </w:smartTag>
            <w:r w:rsidRPr="009B7C69">
              <w:rPr>
                <w:rFonts w:cs="Arial"/>
                <w:sz w:val="16"/>
                <w:szCs w:val="16"/>
              </w:rPr>
              <w:t xml:space="preserve"> Río Maipo Medio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7853F0"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0600</w:t>
            </w:r>
          </w:p>
        </w:tc>
        <w:tc>
          <w:tcPr>
            <w:tcW w:w="4465" w:type="dxa"/>
            <w:tcBorders>
              <w:top w:val="nil"/>
              <w:left w:val="nil"/>
              <w:bottom w:val="single" w:sz="4" w:space="0" w:color="auto"/>
              <w:right w:val="single" w:sz="4" w:space="0" w:color="auto"/>
            </w:tcBorders>
            <w:shd w:val="clear" w:color="auto" w:fill="auto"/>
            <w:noWrap/>
            <w:vAlign w:val="center"/>
          </w:tcPr>
          <w:p w:rsidR="007853F0" w:rsidRPr="009B7C69" w:rsidRDefault="007853F0" w:rsidP="00B51B51">
            <w:pPr>
              <w:widowControl w:val="0"/>
              <w:rPr>
                <w:rFonts w:cs="Arial"/>
                <w:sz w:val="16"/>
                <w:szCs w:val="16"/>
              </w:rPr>
            </w:pPr>
            <w:r w:rsidRPr="009B7C69">
              <w:rPr>
                <w:rFonts w:cs="Arial"/>
                <w:sz w:val="16"/>
                <w:szCs w:val="16"/>
              </w:rPr>
              <w:t>Río Cachapoal Alto (Hasta Bajo Junta Río Claro)</w:t>
            </w:r>
          </w:p>
        </w:tc>
        <w:tc>
          <w:tcPr>
            <w:tcW w:w="1635" w:type="dxa"/>
            <w:vMerge w:val="restart"/>
            <w:tcBorders>
              <w:top w:val="single" w:sz="4" w:space="0" w:color="auto"/>
              <w:left w:val="nil"/>
              <w:bottom w:val="single" w:sz="4" w:space="0" w:color="auto"/>
              <w:right w:val="single" w:sz="4" w:space="0" w:color="auto"/>
            </w:tcBorders>
            <w:vAlign w:val="center"/>
          </w:tcPr>
          <w:p w:rsidR="007853F0" w:rsidRPr="009B7C69" w:rsidRDefault="007853F0" w:rsidP="00B51B51">
            <w:pPr>
              <w:widowControl w:val="0"/>
              <w:jc w:val="center"/>
              <w:rPr>
                <w:rFonts w:cs="Arial"/>
                <w:sz w:val="16"/>
                <w:szCs w:val="16"/>
              </w:rPr>
            </w:pPr>
            <w:r w:rsidRPr="009B7C69">
              <w:rPr>
                <w:rFonts w:cs="Arial"/>
                <w:sz w:val="16"/>
                <w:szCs w:val="16"/>
              </w:rPr>
              <w:t>1.232</w:t>
            </w:r>
          </w:p>
        </w:tc>
        <w:tc>
          <w:tcPr>
            <w:tcW w:w="1580" w:type="dxa"/>
            <w:vMerge w:val="restart"/>
            <w:tcBorders>
              <w:top w:val="single" w:sz="4" w:space="0" w:color="auto"/>
              <w:left w:val="nil"/>
              <w:bottom w:val="single" w:sz="4" w:space="0" w:color="auto"/>
              <w:right w:val="single" w:sz="4" w:space="0" w:color="auto"/>
            </w:tcBorders>
            <w:vAlign w:val="center"/>
          </w:tcPr>
          <w:p w:rsidR="007853F0" w:rsidRPr="009B7C69" w:rsidRDefault="0064752E" w:rsidP="00B51B51">
            <w:pPr>
              <w:widowControl w:val="0"/>
              <w:jc w:val="center"/>
              <w:rPr>
                <w:rFonts w:cs="Arial"/>
                <w:sz w:val="16"/>
                <w:szCs w:val="16"/>
              </w:rPr>
            </w:pPr>
            <w:r>
              <w:rPr>
                <w:rFonts w:cs="Arial"/>
                <w:sz w:val="16"/>
                <w:szCs w:val="16"/>
              </w:rPr>
              <w:t>2.139</w:t>
            </w:r>
          </w:p>
        </w:tc>
      </w:tr>
      <w:tr w:rsidR="007853F0"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0601</w:t>
            </w:r>
          </w:p>
        </w:tc>
        <w:tc>
          <w:tcPr>
            <w:tcW w:w="4465" w:type="dxa"/>
            <w:tcBorders>
              <w:top w:val="nil"/>
              <w:left w:val="nil"/>
              <w:bottom w:val="single" w:sz="4" w:space="0" w:color="auto"/>
              <w:right w:val="single" w:sz="4" w:space="0" w:color="auto"/>
            </w:tcBorders>
            <w:shd w:val="clear" w:color="auto" w:fill="auto"/>
            <w:noWrap/>
            <w:vAlign w:val="center"/>
          </w:tcPr>
          <w:p w:rsidR="007853F0" w:rsidRPr="009B7C69" w:rsidRDefault="007853F0" w:rsidP="00B51B51">
            <w:pPr>
              <w:widowControl w:val="0"/>
              <w:rPr>
                <w:rFonts w:cs="Arial"/>
                <w:sz w:val="16"/>
                <w:szCs w:val="16"/>
              </w:rPr>
            </w:pPr>
            <w:r w:rsidRPr="009B7C69">
              <w:rPr>
                <w:rFonts w:cs="Arial"/>
                <w:sz w:val="16"/>
                <w:szCs w:val="16"/>
              </w:rPr>
              <w:t>Cachapoal Bajo</w:t>
            </w:r>
          </w:p>
        </w:tc>
        <w:tc>
          <w:tcPr>
            <w:tcW w:w="1635" w:type="dxa"/>
            <w:vMerge/>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p>
        </w:tc>
        <w:tc>
          <w:tcPr>
            <w:tcW w:w="1580" w:type="dxa"/>
            <w:vMerge/>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0602</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Río Tinguiririca Alto (Hasta Bajo Junta Río Claro)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0603</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Tinguiririca Bajo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0604</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Alhué</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0605</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Río Rapel</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0610</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Río Rapel y Estero Topocalma</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0611</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Topocalma</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0612</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E. Topocalma y E. Nilahue</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0613</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Nilahue</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single" w:sz="4" w:space="0" w:color="auto"/>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0614</w:t>
            </w:r>
          </w:p>
        </w:tc>
        <w:tc>
          <w:tcPr>
            <w:tcW w:w="4465" w:type="dxa"/>
            <w:tcBorders>
              <w:top w:val="single" w:sz="4" w:space="0" w:color="auto"/>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Estero Nilahue y Límite Región</w:t>
            </w:r>
          </w:p>
        </w:tc>
        <w:tc>
          <w:tcPr>
            <w:tcW w:w="1635" w:type="dxa"/>
            <w:tcBorders>
              <w:top w:val="single" w:sz="4" w:space="0" w:color="auto"/>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single" w:sz="4" w:space="0" w:color="auto"/>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7853F0" w:rsidRPr="009B7C69">
        <w:trPr>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Total</w:t>
            </w:r>
          </w:p>
        </w:tc>
        <w:tc>
          <w:tcPr>
            <w:tcW w:w="1635" w:type="dxa"/>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r w:rsidRPr="009B7C69">
              <w:rPr>
                <w:rFonts w:cs="Arial"/>
                <w:sz w:val="16"/>
                <w:szCs w:val="16"/>
              </w:rPr>
              <w:t>1.232</w:t>
            </w:r>
          </w:p>
        </w:tc>
        <w:tc>
          <w:tcPr>
            <w:tcW w:w="1580" w:type="dxa"/>
            <w:tcBorders>
              <w:top w:val="single" w:sz="4" w:space="0" w:color="auto"/>
              <w:left w:val="nil"/>
              <w:bottom w:val="single" w:sz="4" w:space="0" w:color="auto"/>
              <w:right w:val="single" w:sz="4" w:space="0" w:color="auto"/>
            </w:tcBorders>
          </w:tcPr>
          <w:p w:rsidR="007853F0" w:rsidRPr="009B7C69" w:rsidRDefault="0064752E" w:rsidP="00B51B51">
            <w:pPr>
              <w:widowControl w:val="0"/>
              <w:jc w:val="center"/>
              <w:rPr>
                <w:rFonts w:cs="Arial"/>
                <w:sz w:val="16"/>
                <w:szCs w:val="16"/>
              </w:rPr>
            </w:pPr>
            <w:r>
              <w:rPr>
                <w:rFonts w:cs="Arial"/>
                <w:sz w:val="16"/>
                <w:szCs w:val="16"/>
              </w:rPr>
              <w:t>2.139</w:t>
            </w:r>
          </w:p>
        </w:tc>
      </w:tr>
    </w:tbl>
    <w:p w:rsidR="00AA7A84" w:rsidRPr="009B7C69" w:rsidRDefault="00AA7A84" w:rsidP="00AA7A84">
      <w:pPr>
        <w:pStyle w:val="Ttulo4Ttulo4"/>
        <w:keepNext w:val="0"/>
        <w:widowControl w:val="0"/>
        <w:numPr>
          <w:ilvl w:val="0"/>
          <w:numId w:val="0"/>
        </w:numPr>
      </w:pPr>
      <w:bookmarkStart w:id="388" w:name="_Toc338410209"/>
    </w:p>
    <w:p w:rsidR="007853F0" w:rsidRPr="009B7C69" w:rsidRDefault="007853F0" w:rsidP="00B51B51">
      <w:pPr>
        <w:pStyle w:val="Ttulo4Ttulo4"/>
        <w:keepNext w:val="0"/>
        <w:widowControl w:val="0"/>
      </w:pPr>
      <w:bookmarkStart w:id="389" w:name="_Toc344391837"/>
      <w:r w:rsidRPr="009B7C69">
        <w:lastRenderedPageBreak/>
        <w:t>Situación Futura</w:t>
      </w:r>
      <w:bookmarkEnd w:id="388"/>
      <w:bookmarkEnd w:id="389"/>
    </w:p>
    <w:p w:rsidR="007853F0" w:rsidRPr="009B7C69" w:rsidRDefault="007853F0" w:rsidP="00B51B51">
      <w:pPr>
        <w:widowControl w:val="0"/>
      </w:pPr>
    </w:p>
    <w:p w:rsidR="007853F0" w:rsidRPr="009B7C69" w:rsidRDefault="007853F0" w:rsidP="00B51B51">
      <w:pPr>
        <w:widowControl w:val="0"/>
      </w:pPr>
      <w:r w:rsidRPr="009B7C69">
        <w:t>A objeto de estimar la demanda futura de agua del sector industrial y dada la falta de proyecciones económicas detalladas para el largo plazo, se adoptó como referencia utilizar la misma tasa de crecimiento del PIB estimada anteriormente, con un criterio conservador al suponer que las demandas de recurso hídrico por uso industrial aumentarán a largo plazo.</w:t>
      </w:r>
    </w:p>
    <w:p w:rsidR="007853F0" w:rsidRPr="009B7C69" w:rsidRDefault="007853F0" w:rsidP="00B51B51">
      <w:pPr>
        <w:widowControl w:val="0"/>
      </w:pPr>
    </w:p>
    <w:p w:rsidR="007853F0" w:rsidRPr="009B7C69" w:rsidRDefault="007853F0" w:rsidP="00B51B51">
      <w:pPr>
        <w:pStyle w:val="Epgrafe"/>
        <w:widowControl w:val="0"/>
      </w:pPr>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105</w:t>
      </w:r>
      <w:r w:rsidR="007F3102">
        <w:fldChar w:fldCharType="end"/>
      </w:r>
      <w:r w:rsidRPr="009B7C69">
        <w:t xml:space="preserve"> Demanda de Agua para Industria</w:t>
      </w:r>
    </w:p>
    <w:tbl>
      <w:tblPr>
        <w:tblW w:w="9262" w:type="dxa"/>
        <w:jc w:val="center"/>
        <w:tblCellMar>
          <w:left w:w="70" w:type="dxa"/>
          <w:right w:w="70" w:type="dxa"/>
        </w:tblCellMar>
        <w:tblLook w:val="0000" w:firstRow="0" w:lastRow="0" w:firstColumn="0" w:lastColumn="0" w:noHBand="0" w:noVBand="0"/>
      </w:tblPr>
      <w:tblGrid>
        <w:gridCol w:w="1582"/>
        <w:gridCol w:w="4465"/>
        <w:gridCol w:w="1635"/>
        <w:gridCol w:w="1580"/>
      </w:tblGrid>
      <w:tr w:rsidR="007853F0" w:rsidRPr="009B7C69">
        <w:trPr>
          <w:tblHeader/>
          <w:jc w:val="center"/>
        </w:trPr>
        <w:tc>
          <w:tcPr>
            <w:tcW w:w="1582" w:type="dxa"/>
            <w:tcBorders>
              <w:top w:val="single" w:sz="4" w:space="0" w:color="auto"/>
              <w:left w:val="single" w:sz="4" w:space="0" w:color="auto"/>
              <w:bottom w:val="single" w:sz="8" w:space="0" w:color="auto"/>
              <w:right w:val="single" w:sz="8" w:space="0" w:color="auto"/>
            </w:tcBorders>
            <w:shd w:val="clear" w:color="auto" w:fill="auto"/>
            <w:noWrap/>
            <w:vAlign w:val="center"/>
          </w:tcPr>
          <w:p w:rsidR="007853F0" w:rsidRPr="009B7C69" w:rsidRDefault="007853F0" w:rsidP="00B51B51">
            <w:pPr>
              <w:widowControl w:val="0"/>
              <w:jc w:val="center"/>
              <w:rPr>
                <w:rFonts w:cs="Arial"/>
                <w:bCs/>
                <w:sz w:val="16"/>
                <w:szCs w:val="16"/>
              </w:rPr>
            </w:pPr>
            <w:r w:rsidRPr="009B7C69">
              <w:rPr>
                <w:rFonts w:cs="Arial"/>
                <w:bCs/>
                <w:sz w:val="16"/>
                <w:szCs w:val="16"/>
              </w:rPr>
              <w:t>Código Subcuenca</w:t>
            </w:r>
          </w:p>
        </w:tc>
        <w:tc>
          <w:tcPr>
            <w:tcW w:w="4465" w:type="dxa"/>
            <w:tcBorders>
              <w:top w:val="single" w:sz="4" w:space="0" w:color="auto"/>
              <w:left w:val="nil"/>
              <w:bottom w:val="single" w:sz="8" w:space="0" w:color="auto"/>
              <w:right w:val="single" w:sz="4" w:space="0" w:color="auto"/>
            </w:tcBorders>
            <w:shd w:val="clear" w:color="auto" w:fill="auto"/>
            <w:noWrap/>
            <w:vAlign w:val="center"/>
          </w:tcPr>
          <w:p w:rsidR="007853F0" w:rsidRPr="009B7C69" w:rsidRDefault="007853F0" w:rsidP="00B51B51">
            <w:pPr>
              <w:widowControl w:val="0"/>
              <w:jc w:val="center"/>
              <w:rPr>
                <w:rFonts w:cs="Arial"/>
                <w:bCs/>
                <w:sz w:val="16"/>
                <w:szCs w:val="16"/>
              </w:rPr>
            </w:pPr>
            <w:r w:rsidRPr="009B7C69">
              <w:rPr>
                <w:rFonts w:cs="Arial"/>
                <w:bCs/>
                <w:sz w:val="16"/>
                <w:szCs w:val="16"/>
              </w:rPr>
              <w:t>Nombre Subcuenca</w:t>
            </w:r>
          </w:p>
        </w:tc>
        <w:tc>
          <w:tcPr>
            <w:tcW w:w="1635" w:type="dxa"/>
            <w:tcBorders>
              <w:top w:val="single" w:sz="4" w:space="0" w:color="auto"/>
              <w:left w:val="nil"/>
              <w:bottom w:val="single" w:sz="8" w:space="0" w:color="auto"/>
              <w:right w:val="single" w:sz="4" w:space="0" w:color="auto"/>
            </w:tcBorders>
          </w:tcPr>
          <w:p w:rsidR="007853F0" w:rsidRPr="009B7C69" w:rsidRDefault="007853F0" w:rsidP="00B51B51">
            <w:pPr>
              <w:widowControl w:val="0"/>
              <w:jc w:val="center"/>
              <w:rPr>
                <w:rFonts w:cs="Arial"/>
                <w:bCs/>
                <w:sz w:val="16"/>
                <w:szCs w:val="16"/>
              </w:rPr>
            </w:pPr>
            <w:r w:rsidRPr="009B7C69">
              <w:rPr>
                <w:rFonts w:cs="Arial"/>
                <w:bCs/>
                <w:sz w:val="16"/>
                <w:szCs w:val="16"/>
              </w:rPr>
              <w:t>Año Base 2005 (l/s)</w:t>
            </w:r>
          </w:p>
        </w:tc>
        <w:tc>
          <w:tcPr>
            <w:tcW w:w="1580" w:type="dxa"/>
            <w:tcBorders>
              <w:top w:val="single" w:sz="4" w:space="0" w:color="auto"/>
              <w:left w:val="nil"/>
              <w:bottom w:val="single" w:sz="8" w:space="0" w:color="auto"/>
              <w:right w:val="single" w:sz="4" w:space="0" w:color="auto"/>
            </w:tcBorders>
          </w:tcPr>
          <w:p w:rsidR="007853F0" w:rsidRPr="009B7C69" w:rsidRDefault="007853F0" w:rsidP="00B51B51">
            <w:pPr>
              <w:widowControl w:val="0"/>
              <w:jc w:val="center"/>
              <w:rPr>
                <w:rFonts w:cs="Arial"/>
                <w:bCs/>
                <w:sz w:val="16"/>
                <w:szCs w:val="16"/>
              </w:rPr>
            </w:pPr>
            <w:r w:rsidRPr="009B7C69">
              <w:rPr>
                <w:rFonts w:cs="Arial"/>
                <w:bCs/>
                <w:sz w:val="16"/>
                <w:szCs w:val="16"/>
              </w:rPr>
              <w:t>Año Base 2030 (l/s)</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0571</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 xml:space="preserve">Forma Parte de </w:t>
            </w:r>
            <w:smartTag w:uri="urn:schemas-microsoft-com:office:smarttags" w:element="PersonName">
              <w:smartTagPr>
                <w:attr w:name="ProductID" w:val="La Subcuenca Del"/>
              </w:smartTagPr>
              <w:r w:rsidRPr="009B7C69">
                <w:rPr>
                  <w:rFonts w:cs="Arial"/>
                  <w:sz w:val="16"/>
                  <w:szCs w:val="16"/>
                </w:rPr>
                <w:t>La Subcuenca Del</w:t>
              </w:r>
            </w:smartTag>
            <w:r w:rsidRPr="009B7C69">
              <w:rPr>
                <w:rFonts w:cs="Arial"/>
                <w:sz w:val="16"/>
                <w:szCs w:val="16"/>
              </w:rPr>
              <w:t xml:space="preserve"> Río Maipo Medio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7853F0"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0600</w:t>
            </w:r>
          </w:p>
        </w:tc>
        <w:tc>
          <w:tcPr>
            <w:tcW w:w="4465" w:type="dxa"/>
            <w:tcBorders>
              <w:top w:val="nil"/>
              <w:left w:val="nil"/>
              <w:bottom w:val="single" w:sz="4" w:space="0" w:color="auto"/>
              <w:right w:val="single" w:sz="4" w:space="0" w:color="auto"/>
            </w:tcBorders>
            <w:shd w:val="clear" w:color="auto" w:fill="auto"/>
            <w:noWrap/>
            <w:vAlign w:val="center"/>
          </w:tcPr>
          <w:p w:rsidR="007853F0" w:rsidRPr="009B7C69" w:rsidRDefault="007853F0" w:rsidP="00B51B51">
            <w:pPr>
              <w:widowControl w:val="0"/>
              <w:rPr>
                <w:rFonts w:cs="Arial"/>
                <w:sz w:val="16"/>
                <w:szCs w:val="16"/>
              </w:rPr>
            </w:pPr>
            <w:r w:rsidRPr="009B7C69">
              <w:rPr>
                <w:rFonts w:cs="Arial"/>
                <w:sz w:val="16"/>
                <w:szCs w:val="16"/>
              </w:rPr>
              <w:t>Río Cachapoal Alto (Hasta Bajo Junta Río Claro)</w:t>
            </w:r>
          </w:p>
        </w:tc>
        <w:tc>
          <w:tcPr>
            <w:tcW w:w="1635" w:type="dxa"/>
            <w:vMerge w:val="restart"/>
            <w:tcBorders>
              <w:top w:val="single" w:sz="4" w:space="0" w:color="auto"/>
              <w:left w:val="nil"/>
              <w:bottom w:val="single" w:sz="4" w:space="0" w:color="auto"/>
              <w:right w:val="single" w:sz="4" w:space="0" w:color="auto"/>
            </w:tcBorders>
            <w:vAlign w:val="center"/>
          </w:tcPr>
          <w:p w:rsidR="007853F0" w:rsidRPr="009B7C69" w:rsidRDefault="007853F0" w:rsidP="00B51B51">
            <w:pPr>
              <w:widowControl w:val="0"/>
              <w:jc w:val="center"/>
              <w:rPr>
                <w:rFonts w:cs="Arial"/>
                <w:sz w:val="16"/>
                <w:szCs w:val="16"/>
              </w:rPr>
            </w:pPr>
            <w:r w:rsidRPr="009B7C69">
              <w:rPr>
                <w:rFonts w:cs="Arial"/>
                <w:sz w:val="16"/>
                <w:szCs w:val="16"/>
              </w:rPr>
              <w:t>1.232</w:t>
            </w:r>
          </w:p>
        </w:tc>
        <w:tc>
          <w:tcPr>
            <w:tcW w:w="1580" w:type="dxa"/>
            <w:vMerge w:val="restart"/>
            <w:tcBorders>
              <w:top w:val="single" w:sz="4" w:space="0" w:color="auto"/>
              <w:left w:val="nil"/>
              <w:bottom w:val="single" w:sz="4" w:space="0" w:color="auto"/>
              <w:right w:val="single" w:sz="4" w:space="0" w:color="auto"/>
            </w:tcBorders>
            <w:vAlign w:val="center"/>
          </w:tcPr>
          <w:p w:rsidR="007853F0" w:rsidRPr="009B7C69" w:rsidRDefault="0064752E" w:rsidP="00B51B51">
            <w:pPr>
              <w:widowControl w:val="0"/>
              <w:jc w:val="center"/>
              <w:rPr>
                <w:rFonts w:cs="Arial"/>
                <w:sz w:val="16"/>
                <w:szCs w:val="16"/>
              </w:rPr>
            </w:pPr>
            <w:r>
              <w:rPr>
                <w:rFonts w:cs="Arial"/>
                <w:sz w:val="16"/>
                <w:szCs w:val="16"/>
              </w:rPr>
              <w:t>8.837</w:t>
            </w:r>
          </w:p>
        </w:tc>
      </w:tr>
      <w:tr w:rsidR="007853F0"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0601</w:t>
            </w:r>
          </w:p>
        </w:tc>
        <w:tc>
          <w:tcPr>
            <w:tcW w:w="4465" w:type="dxa"/>
            <w:tcBorders>
              <w:top w:val="nil"/>
              <w:left w:val="nil"/>
              <w:bottom w:val="single" w:sz="4" w:space="0" w:color="auto"/>
              <w:right w:val="single" w:sz="4" w:space="0" w:color="auto"/>
            </w:tcBorders>
            <w:shd w:val="clear" w:color="auto" w:fill="auto"/>
            <w:noWrap/>
            <w:vAlign w:val="center"/>
          </w:tcPr>
          <w:p w:rsidR="007853F0" w:rsidRPr="009B7C69" w:rsidRDefault="007853F0" w:rsidP="00B51B51">
            <w:pPr>
              <w:widowControl w:val="0"/>
              <w:rPr>
                <w:rFonts w:cs="Arial"/>
                <w:sz w:val="16"/>
                <w:szCs w:val="16"/>
              </w:rPr>
            </w:pPr>
            <w:r w:rsidRPr="009B7C69">
              <w:rPr>
                <w:rFonts w:cs="Arial"/>
                <w:sz w:val="16"/>
                <w:szCs w:val="16"/>
              </w:rPr>
              <w:t>Cachapoal Bajo</w:t>
            </w:r>
          </w:p>
        </w:tc>
        <w:tc>
          <w:tcPr>
            <w:tcW w:w="1635" w:type="dxa"/>
            <w:vMerge/>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p>
        </w:tc>
        <w:tc>
          <w:tcPr>
            <w:tcW w:w="1580" w:type="dxa"/>
            <w:vMerge/>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0602</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Río Tinguiririca Alto (Hasta Bajo Junta Río Claro)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0603</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Tinguiririca Bajo</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0604</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Alhué</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bookmarkStart w:id="390" w:name="_Hlk344373084"/>
            <w:r w:rsidRPr="009B7C69">
              <w:rPr>
                <w:rFonts w:cs="Arial"/>
                <w:sz w:val="16"/>
                <w:szCs w:val="16"/>
              </w:rPr>
              <w:t>0605</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Río Rapel</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bookmarkEnd w:id="390"/>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0610</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Río Rapel y Estero Topocalma</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0611</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Topocalma</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0612</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E. Topocalma y E. Nilahue</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nil"/>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0613</w:t>
            </w:r>
          </w:p>
        </w:tc>
        <w:tc>
          <w:tcPr>
            <w:tcW w:w="4465" w:type="dxa"/>
            <w:tcBorders>
              <w:top w:val="nil"/>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Estero Nilahue</w:t>
            </w:r>
          </w:p>
        </w:tc>
        <w:tc>
          <w:tcPr>
            <w:tcW w:w="1635"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nil"/>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64752E" w:rsidRPr="009B7C69">
        <w:trPr>
          <w:jc w:val="center"/>
        </w:trPr>
        <w:tc>
          <w:tcPr>
            <w:tcW w:w="1582" w:type="dxa"/>
            <w:tcBorders>
              <w:top w:val="single" w:sz="4" w:space="0" w:color="auto"/>
              <w:left w:val="single" w:sz="4" w:space="0" w:color="auto"/>
              <w:bottom w:val="single" w:sz="4" w:space="0" w:color="auto"/>
              <w:right w:val="single" w:sz="8" w:space="0" w:color="auto"/>
            </w:tcBorders>
            <w:shd w:val="clear" w:color="auto" w:fill="auto"/>
            <w:noWrap/>
            <w:vAlign w:val="center"/>
          </w:tcPr>
          <w:p w:rsidR="0064752E" w:rsidRPr="009B7C69" w:rsidRDefault="0064752E" w:rsidP="00B51B51">
            <w:pPr>
              <w:widowControl w:val="0"/>
              <w:jc w:val="center"/>
              <w:rPr>
                <w:rFonts w:cs="Arial"/>
                <w:sz w:val="16"/>
                <w:szCs w:val="16"/>
              </w:rPr>
            </w:pPr>
            <w:r w:rsidRPr="009B7C69">
              <w:rPr>
                <w:rFonts w:cs="Arial"/>
                <w:sz w:val="16"/>
                <w:szCs w:val="16"/>
              </w:rPr>
              <w:t>0614</w:t>
            </w:r>
          </w:p>
        </w:tc>
        <w:tc>
          <w:tcPr>
            <w:tcW w:w="4465" w:type="dxa"/>
            <w:tcBorders>
              <w:top w:val="single" w:sz="4" w:space="0" w:color="auto"/>
              <w:left w:val="nil"/>
              <w:bottom w:val="single" w:sz="4" w:space="0" w:color="auto"/>
              <w:right w:val="single" w:sz="4" w:space="0" w:color="auto"/>
            </w:tcBorders>
            <w:shd w:val="clear" w:color="auto" w:fill="auto"/>
            <w:noWrap/>
            <w:vAlign w:val="center"/>
          </w:tcPr>
          <w:p w:rsidR="0064752E" w:rsidRPr="009B7C69" w:rsidRDefault="0064752E" w:rsidP="00B51B51">
            <w:pPr>
              <w:widowControl w:val="0"/>
              <w:rPr>
                <w:rFonts w:cs="Arial"/>
                <w:sz w:val="16"/>
                <w:szCs w:val="16"/>
              </w:rPr>
            </w:pPr>
            <w:r w:rsidRPr="009B7C69">
              <w:rPr>
                <w:rFonts w:cs="Arial"/>
                <w:sz w:val="16"/>
                <w:szCs w:val="16"/>
              </w:rPr>
              <w:t>Costeras Entre Estero Nilahue y Límite Región</w:t>
            </w:r>
          </w:p>
        </w:tc>
        <w:tc>
          <w:tcPr>
            <w:tcW w:w="1635" w:type="dxa"/>
            <w:tcBorders>
              <w:top w:val="single" w:sz="4" w:space="0" w:color="auto"/>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c>
          <w:tcPr>
            <w:tcW w:w="1580" w:type="dxa"/>
            <w:tcBorders>
              <w:top w:val="single" w:sz="4" w:space="0" w:color="auto"/>
              <w:left w:val="nil"/>
              <w:bottom w:val="single" w:sz="4" w:space="0" w:color="auto"/>
              <w:right w:val="single" w:sz="4" w:space="0" w:color="auto"/>
            </w:tcBorders>
          </w:tcPr>
          <w:p w:rsidR="0064752E" w:rsidRPr="009B7C69" w:rsidRDefault="0064752E" w:rsidP="00733D2A">
            <w:pPr>
              <w:widowControl w:val="0"/>
              <w:jc w:val="center"/>
              <w:rPr>
                <w:rFonts w:cs="Arial"/>
                <w:sz w:val="16"/>
                <w:szCs w:val="16"/>
              </w:rPr>
            </w:pPr>
            <w:r>
              <w:rPr>
                <w:rFonts w:cs="Arial"/>
                <w:sz w:val="16"/>
                <w:szCs w:val="16"/>
              </w:rPr>
              <w:t>0</w:t>
            </w:r>
          </w:p>
        </w:tc>
      </w:tr>
      <w:tr w:rsidR="007853F0" w:rsidRPr="009B7C69">
        <w:trPr>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9B7C69" w:rsidRDefault="007853F0" w:rsidP="00B51B51">
            <w:pPr>
              <w:widowControl w:val="0"/>
              <w:jc w:val="center"/>
              <w:rPr>
                <w:rFonts w:cs="Arial"/>
                <w:sz w:val="16"/>
                <w:szCs w:val="16"/>
              </w:rPr>
            </w:pPr>
            <w:r w:rsidRPr="009B7C69">
              <w:rPr>
                <w:rFonts w:cs="Arial"/>
                <w:sz w:val="16"/>
                <w:szCs w:val="16"/>
              </w:rPr>
              <w:t>Total</w:t>
            </w:r>
          </w:p>
        </w:tc>
        <w:tc>
          <w:tcPr>
            <w:tcW w:w="1635" w:type="dxa"/>
            <w:tcBorders>
              <w:top w:val="single" w:sz="4" w:space="0" w:color="auto"/>
              <w:left w:val="nil"/>
              <w:bottom w:val="single" w:sz="4" w:space="0" w:color="auto"/>
              <w:right w:val="single" w:sz="4" w:space="0" w:color="auto"/>
            </w:tcBorders>
          </w:tcPr>
          <w:p w:rsidR="007853F0" w:rsidRPr="009B7C69" w:rsidRDefault="007853F0" w:rsidP="00B51B51">
            <w:pPr>
              <w:widowControl w:val="0"/>
              <w:jc w:val="center"/>
              <w:rPr>
                <w:rFonts w:cs="Arial"/>
                <w:sz w:val="16"/>
                <w:szCs w:val="16"/>
              </w:rPr>
            </w:pPr>
            <w:r w:rsidRPr="009B7C69">
              <w:rPr>
                <w:rFonts w:cs="Arial"/>
                <w:sz w:val="16"/>
                <w:szCs w:val="16"/>
              </w:rPr>
              <w:t>1.232</w:t>
            </w:r>
          </w:p>
        </w:tc>
        <w:tc>
          <w:tcPr>
            <w:tcW w:w="1580" w:type="dxa"/>
            <w:tcBorders>
              <w:top w:val="single" w:sz="4" w:space="0" w:color="auto"/>
              <w:left w:val="nil"/>
              <w:bottom w:val="single" w:sz="4" w:space="0" w:color="auto"/>
              <w:right w:val="single" w:sz="4" w:space="0" w:color="auto"/>
            </w:tcBorders>
          </w:tcPr>
          <w:p w:rsidR="007853F0" w:rsidRPr="009B7C69" w:rsidRDefault="0064752E" w:rsidP="00B51B51">
            <w:pPr>
              <w:widowControl w:val="0"/>
              <w:jc w:val="center"/>
              <w:rPr>
                <w:rFonts w:cs="Arial"/>
                <w:sz w:val="16"/>
                <w:szCs w:val="16"/>
              </w:rPr>
            </w:pPr>
            <w:r>
              <w:rPr>
                <w:rFonts w:cs="Arial"/>
                <w:sz w:val="16"/>
                <w:szCs w:val="16"/>
              </w:rPr>
              <w:t>8.837</w:t>
            </w:r>
          </w:p>
        </w:tc>
      </w:tr>
    </w:tbl>
    <w:p w:rsidR="001E5A91" w:rsidRPr="009B7C69" w:rsidRDefault="001E5A91" w:rsidP="001E5A91">
      <w:bookmarkStart w:id="391" w:name="_Toc338410210"/>
    </w:p>
    <w:p w:rsidR="00AA7A84" w:rsidRPr="009B7C69" w:rsidRDefault="00AA7A84" w:rsidP="00AA7A84">
      <w:r w:rsidRPr="009B7C69">
        <w:t>A modo de resumen en las Figuras siguientes se grafican las demandas industriales para los 2 escenarios.</w:t>
      </w:r>
    </w:p>
    <w:p w:rsidR="00AA7A84" w:rsidRPr="009B7C69" w:rsidRDefault="00AA7A84" w:rsidP="00AA7A84"/>
    <w:p w:rsidR="00AA7A84" w:rsidRPr="009B7C69" w:rsidRDefault="00AA7A84" w:rsidP="00AA7A84">
      <w:pPr>
        <w:jc w:val="center"/>
        <w:rPr>
          <w:rFonts w:cs="Arial"/>
          <w:b/>
          <w:bCs/>
          <w:noProof/>
          <w:spacing w:val="-3"/>
        </w:rPr>
      </w:pPr>
      <w:r w:rsidRPr="009B7C69">
        <w:rPr>
          <w:b/>
        </w:rPr>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63</w:t>
      </w:r>
      <w:r w:rsidR="00951FEC">
        <w:rPr>
          <w:b/>
        </w:rPr>
        <w:fldChar w:fldCharType="end"/>
      </w:r>
      <w:r w:rsidRPr="009B7C69">
        <w:rPr>
          <w:b/>
        </w:rPr>
        <w:t xml:space="preserve">  Demandas Industriales, Situación Actual y Futura</w:t>
      </w:r>
    </w:p>
    <w:p w:rsidR="00AA7A84" w:rsidRPr="00E20A0F" w:rsidRDefault="00254CE2" w:rsidP="001E5A91">
      <w:r>
        <w:rPr>
          <w:noProof/>
          <w:lang w:val="es-CL" w:eastAsia="es-CL"/>
        </w:rPr>
        <w:drawing>
          <wp:inline distT="0" distB="0" distL="0" distR="0">
            <wp:extent cx="5784215" cy="3136900"/>
            <wp:effectExtent l="0" t="0" r="0" b="635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84215" cy="3136900"/>
                    </a:xfrm>
                    <a:prstGeom prst="rect">
                      <a:avLst/>
                    </a:prstGeom>
                    <a:noFill/>
                    <a:ln>
                      <a:noFill/>
                    </a:ln>
                  </pic:spPr>
                </pic:pic>
              </a:graphicData>
            </a:graphic>
          </wp:inline>
        </w:drawing>
      </w:r>
    </w:p>
    <w:p w:rsidR="00AA7A84" w:rsidRPr="009B7C69" w:rsidRDefault="00AA7A84" w:rsidP="001E5A91"/>
    <w:p w:rsidR="007853F0" w:rsidRPr="009B7C69" w:rsidRDefault="007853F0" w:rsidP="001E5A91">
      <w:pPr>
        <w:pStyle w:val="Ttulo3"/>
      </w:pPr>
      <w:bookmarkStart w:id="392" w:name="_Toc344391838"/>
      <w:r w:rsidRPr="009B7C69">
        <w:t>Minería</w:t>
      </w:r>
      <w:bookmarkEnd w:id="391"/>
      <w:bookmarkEnd w:id="392"/>
    </w:p>
    <w:p w:rsidR="007853F0" w:rsidRPr="009B7C69" w:rsidRDefault="007853F0" w:rsidP="00B51B51">
      <w:pPr>
        <w:pStyle w:val="Ttulo4Ttulo4"/>
        <w:keepNext w:val="0"/>
        <w:widowControl w:val="0"/>
      </w:pPr>
      <w:bookmarkStart w:id="393" w:name="_Toc338410211"/>
      <w:bookmarkStart w:id="394" w:name="_Toc344391839"/>
      <w:r w:rsidRPr="009B7C69">
        <w:t>Situación Actual</w:t>
      </w:r>
      <w:bookmarkEnd w:id="393"/>
      <w:bookmarkEnd w:id="394"/>
    </w:p>
    <w:p w:rsidR="007853F0" w:rsidRPr="009B7C69" w:rsidRDefault="007853F0" w:rsidP="00B51B51">
      <w:pPr>
        <w:widowControl w:val="0"/>
      </w:pPr>
    </w:p>
    <w:p w:rsidR="007853F0" w:rsidRPr="009B7C69" w:rsidRDefault="007853F0" w:rsidP="00B51B51">
      <w:pPr>
        <w:widowControl w:val="0"/>
      </w:pPr>
      <w:r w:rsidRPr="009B7C69">
        <w:t xml:space="preserve">La actividad minera en </w:t>
      </w:r>
      <w:smartTag w:uri="urn:schemas-microsoft-com:office:smarttags" w:element="PersonName">
        <w:smartTagPr>
          <w:attr w:name="ProductID" w:val="la Región"/>
        </w:smartTagPr>
        <w:r w:rsidRPr="009B7C69">
          <w:t>la Región</w:t>
        </w:r>
      </w:smartTag>
      <w:r w:rsidRPr="009B7C69">
        <w:t xml:space="preserve"> de O´Higgins está integrada por explotaciones que van </w:t>
      </w:r>
      <w:r w:rsidRPr="009B7C69">
        <w:lastRenderedPageBreak/>
        <w:t>desde la pequeña minería hasta la gran minería.</w:t>
      </w:r>
    </w:p>
    <w:p w:rsidR="001E5A91" w:rsidRPr="009B7C69" w:rsidRDefault="001E5A91" w:rsidP="00B51B51">
      <w:pPr>
        <w:widowControl w:val="0"/>
      </w:pPr>
    </w:p>
    <w:p w:rsidR="007853F0" w:rsidRPr="009B7C69" w:rsidRDefault="007853F0" w:rsidP="00B51B51">
      <w:pPr>
        <w:widowControl w:val="0"/>
      </w:pPr>
      <w:r w:rsidRPr="009B7C69">
        <w:t xml:space="preserve">De acuerdo al Anuario de </w:t>
      </w:r>
      <w:smartTag w:uri="urn:schemas-microsoft-com:office:smarttags" w:element="PersonName">
        <w:smartTagPr>
          <w:attr w:name="ProductID" w:val="la Minería"/>
        </w:smartTagPr>
        <w:r w:rsidRPr="009B7C69">
          <w:t>la Minería</w:t>
        </w:r>
      </w:smartTag>
      <w:r w:rsidRPr="009B7C69">
        <w:t xml:space="preserve"> de Chile del año 2011 elaborado por SERNAGEOMIN, en la región de O’Higgins los principales yacimientos mineros alcanzan a un número de 2, abarcando tanto a explotaciones de minerales metálicos, así como de rocas y mineras industriales.</w:t>
      </w:r>
    </w:p>
    <w:p w:rsidR="007853F0" w:rsidRPr="009B7C69" w:rsidRDefault="007853F0" w:rsidP="00B51B51">
      <w:pPr>
        <w:widowControl w:val="0"/>
      </w:pPr>
    </w:p>
    <w:p w:rsidR="007853F0" w:rsidRPr="009B7C69" w:rsidRDefault="007853F0" w:rsidP="00B51B51">
      <w:pPr>
        <w:widowControl w:val="0"/>
      </w:pPr>
      <w:r w:rsidRPr="009B7C69">
        <w:t xml:space="preserve">A modo de referencia, en </w:t>
      </w:r>
      <w:smartTag w:uri="urn:schemas-microsoft-com:office:smarttags" w:element="PersonName">
        <w:smartTagPr>
          <w:attr w:name="ProductID" w:val="la ￼￼￼￼￼￼￼￼￼￼￼￼￼￼￼￼￼￼￼￼￼￼￼￼￼￼￼￼￼￼￼￼￼￼￼￼￼￼￼￼￼Tabla"/>
        </w:smartTagPr>
        <w:r w:rsidRPr="009B7C69">
          <w:t xml:space="preserve">la </w:t>
        </w:r>
        <w:r w:rsidRPr="009B7C69">
          <w:fldChar w:fldCharType="begin"/>
        </w:r>
        <w:r w:rsidRPr="009B7C69">
          <w:instrText xml:space="preserve"> REF _Ref336341446 \h </w:instrText>
        </w:r>
        <w:r w:rsidRPr="009B7C69">
          <w:instrText xml:space="preserve"> \* MERGEFORMAT </w:instrText>
        </w:r>
        <w:r w:rsidRPr="009B7C69">
          <w:fldChar w:fldCharType="separate"/>
        </w:r>
        <w:r w:rsidR="00264070" w:rsidRPr="009B7C69">
          <w:t>Tabla</w:t>
        </w:r>
      </w:smartTag>
      <w:r w:rsidR="00264070" w:rsidRPr="009B7C69">
        <w:t xml:space="preserve"> </w:t>
      </w:r>
      <w:r w:rsidR="00264070">
        <w:rPr>
          <w:noProof/>
        </w:rPr>
        <w:t>5.106</w:t>
      </w:r>
      <w:r w:rsidRPr="009B7C69">
        <w:fldChar w:fldCharType="end"/>
      </w:r>
      <w:r w:rsidRPr="009B7C69">
        <w:t xml:space="preserve"> se entrega el detalle de las principales explotaciones.</w:t>
      </w:r>
    </w:p>
    <w:p w:rsidR="007853F0" w:rsidRPr="009B7C69" w:rsidRDefault="007853F0" w:rsidP="00B51B51">
      <w:pPr>
        <w:widowControl w:val="0"/>
      </w:pPr>
    </w:p>
    <w:p w:rsidR="007853F0" w:rsidRPr="009B7C69" w:rsidRDefault="007853F0" w:rsidP="00B51B51">
      <w:pPr>
        <w:pStyle w:val="Epgrafe"/>
        <w:widowControl w:val="0"/>
      </w:pPr>
      <w:bookmarkStart w:id="395" w:name="OLE_LINK9"/>
      <w:bookmarkStart w:id="396" w:name="OLE_LINK10"/>
      <w:bookmarkStart w:id="397" w:name="_Ref336341446"/>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106</w:t>
      </w:r>
      <w:r w:rsidR="007F3102">
        <w:fldChar w:fldCharType="end"/>
      </w:r>
      <w:bookmarkEnd w:id="397"/>
      <w:r w:rsidRPr="009B7C69">
        <w:t xml:space="preserve"> Principales Explotaciones Mineras de </w:t>
      </w:r>
      <w:smartTag w:uri="urn:schemas-microsoft-com:office:smarttags" w:element="PersonName">
        <w:smartTagPr>
          <w:attr w:name="ProductID" w:val="la Región"/>
        </w:smartTagPr>
        <w:r w:rsidRPr="009B7C69">
          <w:t>la Región</w:t>
        </w:r>
      </w:smartTag>
      <w:r w:rsidRPr="009B7C69">
        <w:t xml:space="preserve"> de O’Higgins</w:t>
      </w:r>
    </w:p>
    <w:tbl>
      <w:tblPr>
        <w:tblW w:w="9470" w:type="dxa"/>
        <w:jc w:val="center"/>
        <w:tblInd w:w="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
        <w:gridCol w:w="3223"/>
        <w:gridCol w:w="2468"/>
        <w:gridCol w:w="1348"/>
        <w:gridCol w:w="985"/>
        <w:gridCol w:w="1021"/>
      </w:tblGrid>
      <w:tr w:rsidR="007853F0" w:rsidRPr="009B7C69">
        <w:trPr>
          <w:jc w:val="center"/>
        </w:trPr>
        <w:tc>
          <w:tcPr>
            <w:tcW w:w="425" w:type="dxa"/>
            <w:vMerge w:val="restart"/>
            <w:vAlign w:val="center"/>
          </w:tcPr>
          <w:p w:rsidR="007853F0" w:rsidRPr="009B7C69" w:rsidRDefault="007853F0" w:rsidP="00B51B51">
            <w:pPr>
              <w:widowControl w:val="0"/>
              <w:jc w:val="center"/>
              <w:rPr>
                <w:rFonts w:cs="Arial"/>
                <w:sz w:val="16"/>
                <w:szCs w:val="18"/>
              </w:rPr>
            </w:pPr>
            <w:bookmarkStart w:id="398" w:name="OLE_LINK7"/>
            <w:bookmarkStart w:id="399" w:name="OLE_LINK8"/>
            <w:bookmarkEnd w:id="395"/>
            <w:bookmarkEnd w:id="396"/>
            <w:r w:rsidRPr="009B7C69">
              <w:rPr>
                <w:rFonts w:cs="Arial"/>
                <w:sz w:val="16"/>
                <w:szCs w:val="18"/>
              </w:rPr>
              <w:t>N°</w:t>
            </w:r>
          </w:p>
        </w:tc>
        <w:tc>
          <w:tcPr>
            <w:tcW w:w="3223" w:type="dxa"/>
            <w:vMerge w:val="restart"/>
            <w:vAlign w:val="center"/>
          </w:tcPr>
          <w:p w:rsidR="007853F0" w:rsidRPr="009B7C69" w:rsidRDefault="007853F0" w:rsidP="00B51B51">
            <w:pPr>
              <w:widowControl w:val="0"/>
              <w:jc w:val="center"/>
              <w:rPr>
                <w:rFonts w:cs="Arial"/>
                <w:sz w:val="16"/>
                <w:szCs w:val="18"/>
              </w:rPr>
            </w:pPr>
            <w:r w:rsidRPr="009B7C69">
              <w:rPr>
                <w:rFonts w:cs="Arial"/>
                <w:sz w:val="16"/>
                <w:szCs w:val="18"/>
              </w:rPr>
              <w:t>Nombre Empresa</w:t>
            </w:r>
          </w:p>
        </w:tc>
        <w:tc>
          <w:tcPr>
            <w:tcW w:w="2468" w:type="dxa"/>
            <w:vMerge w:val="restart"/>
            <w:vAlign w:val="center"/>
          </w:tcPr>
          <w:p w:rsidR="007853F0" w:rsidRPr="009B7C69" w:rsidRDefault="007853F0" w:rsidP="00B51B51">
            <w:pPr>
              <w:widowControl w:val="0"/>
              <w:jc w:val="center"/>
              <w:rPr>
                <w:rFonts w:cs="Arial"/>
                <w:sz w:val="16"/>
                <w:szCs w:val="18"/>
              </w:rPr>
            </w:pPr>
            <w:r w:rsidRPr="009B7C69">
              <w:rPr>
                <w:rFonts w:cs="Arial"/>
                <w:sz w:val="16"/>
                <w:szCs w:val="18"/>
              </w:rPr>
              <w:t>Nombre Instalación</w:t>
            </w:r>
          </w:p>
        </w:tc>
        <w:tc>
          <w:tcPr>
            <w:tcW w:w="1348" w:type="dxa"/>
            <w:vMerge w:val="restart"/>
            <w:vAlign w:val="center"/>
          </w:tcPr>
          <w:p w:rsidR="007853F0" w:rsidRPr="009B7C69" w:rsidRDefault="007853F0" w:rsidP="00B51B51">
            <w:pPr>
              <w:widowControl w:val="0"/>
              <w:jc w:val="center"/>
              <w:rPr>
                <w:rFonts w:cs="Arial"/>
                <w:sz w:val="16"/>
                <w:szCs w:val="18"/>
              </w:rPr>
            </w:pPr>
            <w:r w:rsidRPr="009B7C69">
              <w:rPr>
                <w:rFonts w:cs="Arial"/>
                <w:sz w:val="16"/>
                <w:szCs w:val="18"/>
              </w:rPr>
              <w:t>Pasta Principal</w:t>
            </w:r>
          </w:p>
        </w:tc>
        <w:tc>
          <w:tcPr>
            <w:tcW w:w="2006" w:type="dxa"/>
            <w:gridSpan w:val="2"/>
            <w:vAlign w:val="center"/>
          </w:tcPr>
          <w:p w:rsidR="007853F0" w:rsidRPr="009B7C69" w:rsidRDefault="007853F0" w:rsidP="00B51B51">
            <w:pPr>
              <w:widowControl w:val="0"/>
              <w:jc w:val="center"/>
              <w:rPr>
                <w:rFonts w:cs="Arial"/>
                <w:sz w:val="16"/>
                <w:szCs w:val="18"/>
              </w:rPr>
            </w:pPr>
            <w:r w:rsidRPr="009B7C69">
              <w:rPr>
                <w:rFonts w:cs="Arial"/>
                <w:sz w:val="16"/>
                <w:szCs w:val="18"/>
              </w:rPr>
              <w:t>Coordenadas UTM</w:t>
            </w:r>
          </w:p>
        </w:tc>
      </w:tr>
      <w:tr w:rsidR="007853F0" w:rsidRPr="009B7C69">
        <w:trPr>
          <w:jc w:val="center"/>
        </w:trPr>
        <w:tc>
          <w:tcPr>
            <w:tcW w:w="425" w:type="dxa"/>
            <w:vMerge/>
            <w:vAlign w:val="center"/>
          </w:tcPr>
          <w:p w:rsidR="007853F0" w:rsidRPr="009B7C69" w:rsidRDefault="007853F0" w:rsidP="00B51B51">
            <w:pPr>
              <w:widowControl w:val="0"/>
              <w:jc w:val="center"/>
              <w:rPr>
                <w:rFonts w:cs="Arial"/>
                <w:sz w:val="16"/>
                <w:szCs w:val="18"/>
              </w:rPr>
            </w:pPr>
          </w:p>
        </w:tc>
        <w:tc>
          <w:tcPr>
            <w:tcW w:w="3223" w:type="dxa"/>
            <w:vMerge/>
            <w:vAlign w:val="center"/>
          </w:tcPr>
          <w:p w:rsidR="007853F0" w:rsidRPr="009B7C69" w:rsidRDefault="007853F0" w:rsidP="00B51B51">
            <w:pPr>
              <w:widowControl w:val="0"/>
              <w:jc w:val="center"/>
              <w:rPr>
                <w:rFonts w:cs="Arial"/>
                <w:sz w:val="16"/>
                <w:szCs w:val="18"/>
              </w:rPr>
            </w:pPr>
          </w:p>
        </w:tc>
        <w:tc>
          <w:tcPr>
            <w:tcW w:w="2468" w:type="dxa"/>
            <w:vMerge/>
            <w:vAlign w:val="center"/>
          </w:tcPr>
          <w:p w:rsidR="007853F0" w:rsidRPr="009B7C69" w:rsidRDefault="007853F0" w:rsidP="00B51B51">
            <w:pPr>
              <w:widowControl w:val="0"/>
              <w:jc w:val="center"/>
              <w:rPr>
                <w:rFonts w:cs="Arial"/>
                <w:sz w:val="16"/>
                <w:szCs w:val="18"/>
              </w:rPr>
            </w:pPr>
          </w:p>
        </w:tc>
        <w:tc>
          <w:tcPr>
            <w:tcW w:w="1348" w:type="dxa"/>
            <w:vMerge/>
            <w:vAlign w:val="center"/>
          </w:tcPr>
          <w:p w:rsidR="007853F0" w:rsidRPr="009B7C69" w:rsidRDefault="007853F0" w:rsidP="00B51B51">
            <w:pPr>
              <w:widowControl w:val="0"/>
              <w:jc w:val="center"/>
              <w:rPr>
                <w:rFonts w:cs="Arial"/>
                <w:sz w:val="16"/>
                <w:szCs w:val="18"/>
              </w:rPr>
            </w:pPr>
          </w:p>
        </w:tc>
        <w:tc>
          <w:tcPr>
            <w:tcW w:w="985" w:type="dxa"/>
            <w:vAlign w:val="center"/>
          </w:tcPr>
          <w:p w:rsidR="007853F0" w:rsidRPr="009B7C69" w:rsidRDefault="007853F0" w:rsidP="00B51B51">
            <w:pPr>
              <w:widowControl w:val="0"/>
              <w:jc w:val="center"/>
              <w:rPr>
                <w:rFonts w:cs="Arial"/>
                <w:sz w:val="16"/>
                <w:szCs w:val="18"/>
              </w:rPr>
            </w:pPr>
            <w:r w:rsidRPr="009B7C69">
              <w:rPr>
                <w:rFonts w:cs="Arial"/>
                <w:sz w:val="16"/>
                <w:szCs w:val="18"/>
              </w:rPr>
              <w:t>Este</w:t>
            </w:r>
          </w:p>
        </w:tc>
        <w:tc>
          <w:tcPr>
            <w:tcW w:w="1021" w:type="dxa"/>
            <w:vAlign w:val="center"/>
          </w:tcPr>
          <w:p w:rsidR="007853F0" w:rsidRPr="009B7C69" w:rsidRDefault="007853F0" w:rsidP="00B51B51">
            <w:pPr>
              <w:widowControl w:val="0"/>
              <w:jc w:val="center"/>
              <w:rPr>
                <w:rFonts w:cs="Arial"/>
                <w:sz w:val="16"/>
                <w:szCs w:val="18"/>
              </w:rPr>
            </w:pPr>
            <w:r w:rsidRPr="009B7C69">
              <w:rPr>
                <w:rFonts w:cs="Arial"/>
                <w:sz w:val="16"/>
                <w:szCs w:val="18"/>
              </w:rPr>
              <w:t>Norte</w:t>
            </w:r>
          </w:p>
        </w:tc>
      </w:tr>
      <w:tr w:rsidR="007853F0" w:rsidRPr="009B7C69">
        <w:trPr>
          <w:jc w:val="center"/>
        </w:trPr>
        <w:tc>
          <w:tcPr>
            <w:tcW w:w="425" w:type="dxa"/>
            <w:vAlign w:val="center"/>
          </w:tcPr>
          <w:p w:rsidR="007853F0" w:rsidRPr="009B7C69" w:rsidRDefault="007853F0" w:rsidP="00B51B51">
            <w:pPr>
              <w:widowControl w:val="0"/>
              <w:jc w:val="center"/>
              <w:rPr>
                <w:rFonts w:cs="Arial"/>
                <w:sz w:val="16"/>
                <w:szCs w:val="18"/>
              </w:rPr>
            </w:pPr>
            <w:r w:rsidRPr="009B7C69">
              <w:rPr>
                <w:rFonts w:cs="Arial"/>
                <w:sz w:val="16"/>
                <w:szCs w:val="18"/>
              </w:rPr>
              <w:t>1</w:t>
            </w:r>
          </w:p>
        </w:tc>
        <w:tc>
          <w:tcPr>
            <w:tcW w:w="3223" w:type="dxa"/>
            <w:vAlign w:val="center"/>
          </w:tcPr>
          <w:p w:rsidR="007853F0" w:rsidRPr="009B7C69" w:rsidRDefault="007853F0" w:rsidP="00B51B51">
            <w:pPr>
              <w:widowControl w:val="0"/>
              <w:rPr>
                <w:rFonts w:cs="Arial"/>
                <w:sz w:val="16"/>
                <w:szCs w:val="18"/>
              </w:rPr>
            </w:pPr>
            <w:r w:rsidRPr="009B7C69">
              <w:rPr>
                <w:rFonts w:cs="Arial"/>
                <w:sz w:val="16"/>
                <w:szCs w:val="18"/>
              </w:rPr>
              <w:t>Codelco Chile. División El Teniente</w:t>
            </w:r>
          </w:p>
        </w:tc>
        <w:tc>
          <w:tcPr>
            <w:tcW w:w="2468" w:type="dxa"/>
            <w:vAlign w:val="center"/>
          </w:tcPr>
          <w:p w:rsidR="007853F0" w:rsidRPr="009B7C69" w:rsidRDefault="007853F0" w:rsidP="00B51B51">
            <w:pPr>
              <w:widowControl w:val="0"/>
              <w:rPr>
                <w:rFonts w:cs="Arial"/>
                <w:sz w:val="16"/>
                <w:szCs w:val="18"/>
              </w:rPr>
            </w:pPr>
            <w:r w:rsidRPr="009B7C69">
              <w:rPr>
                <w:rFonts w:cs="Arial"/>
                <w:sz w:val="16"/>
                <w:szCs w:val="18"/>
              </w:rPr>
              <w:t>El Teniente</w:t>
            </w:r>
          </w:p>
        </w:tc>
        <w:tc>
          <w:tcPr>
            <w:tcW w:w="1348" w:type="dxa"/>
            <w:vAlign w:val="center"/>
          </w:tcPr>
          <w:p w:rsidR="007853F0" w:rsidRPr="009B7C69" w:rsidRDefault="007853F0" w:rsidP="00B51B51">
            <w:pPr>
              <w:widowControl w:val="0"/>
              <w:rPr>
                <w:rFonts w:cs="Arial"/>
                <w:sz w:val="16"/>
                <w:szCs w:val="18"/>
              </w:rPr>
            </w:pPr>
            <w:r w:rsidRPr="009B7C69">
              <w:rPr>
                <w:rFonts w:cs="Arial"/>
                <w:sz w:val="16"/>
                <w:szCs w:val="18"/>
              </w:rPr>
              <w:t>Cobre</w:t>
            </w:r>
          </w:p>
        </w:tc>
        <w:tc>
          <w:tcPr>
            <w:tcW w:w="985" w:type="dxa"/>
            <w:vAlign w:val="center"/>
          </w:tcPr>
          <w:p w:rsidR="007853F0" w:rsidRPr="009B7C69" w:rsidRDefault="007853F0" w:rsidP="00B51B51">
            <w:pPr>
              <w:widowControl w:val="0"/>
              <w:jc w:val="center"/>
              <w:rPr>
                <w:rFonts w:cs="Arial"/>
                <w:sz w:val="16"/>
                <w:szCs w:val="18"/>
              </w:rPr>
            </w:pPr>
            <w:r w:rsidRPr="009B7C69">
              <w:rPr>
                <w:rFonts w:cs="Arial"/>
                <w:sz w:val="16"/>
                <w:szCs w:val="18"/>
              </w:rPr>
              <w:t>367.260</w:t>
            </w:r>
          </w:p>
        </w:tc>
        <w:tc>
          <w:tcPr>
            <w:tcW w:w="1021" w:type="dxa"/>
            <w:vAlign w:val="center"/>
          </w:tcPr>
          <w:p w:rsidR="007853F0" w:rsidRPr="009B7C69" w:rsidRDefault="007853F0" w:rsidP="00B51B51">
            <w:pPr>
              <w:widowControl w:val="0"/>
              <w:jc w:val="center"/>
              <w:rPr>
                <w:rFonts w:cs="Arial"/>
                <w:sz w:val="16"/>
                <w:szCs w:val="18"/>
              </w:rPr>
            </w:pPr>
            <w:r w:rsidRPr="009B7C69">
              <w:rPr>
                <w:rFonts w:cs="Arial"/>
                <w:sz w:val="16"/>
                <w:szCs w:val="18"/>
              </w:rPr>
              <w:t>6.228.170</w:t>
            </w:r>
          </w:p>
        </w:tc>
      </w:tr>
      <w:tr w:rsidR="007853F0" w:rsidRPr="009B7C69">
        <w:trPr>
          <w:jc w:val="center"/>
        </w:trPr>
        <w:tc>
          <w:tcPr>
            <w:tcW w:w="425" w:type="dxa"/>
            <w:vAlign w:val="center"/>
          </w:tcPr>
          <w:p w:rsidR="007853F0" w:rsidRPr="009B7C69" w:rsidRDefault="007853F0" w:rsidP="00B51B51">
            <w:pPr>
              <w:widowControl w:val="0"/>
              <w:jc w:val="center"/>
              <w:rPr>
                <w:rFonts w:cs="Arial"/>
                <w:sz w:val="16"/>
                <w:szCs w:val="18"/>
              </w:rPr>
            </w:pPr>
            <w:r w:rsidRPr="009B7C69">
              <w:rPr>
                <w:rFonts w:cs="Arial"/>
                <w:sz w:val="16"/>
                <w:szCs w:val="18"/>
              </w:rPr>
              <w:t>2</w:t>
            </w:r>
          </w:p>
        </w:tc>
        <w:tc>
          <w:tcPr>
            <w:tcW w:w="3223" w:type="dxa"/>
            <w:vAlign w:val="center"/>
          </w:tcPr>
          <w:p w:rsidR="007853F0" w:rsidRPr="009B7C69" w:rsidRDefault="007853F0" w:rsidP="00B51B51">
            <w:pPr>
              <w:widowControl w:val="0"/>
              <w:rPr>
                <w:rFonts w:cs="Arial"/>
                <w:sz w:val="16"/>
                <w:szCs w:val="18"/>
              </w:rPr>
            </w:pPr>
            <w:r w:rsidRPr="009B7C69">
              <w:rPr>
                <w:rFonts w:cs="Arial"/>
                <w:sz w:val="16"/>
                <w:szCs w:val="18"/>
              </w:rPr>
              <w:t>Las Pataguas</w:t>
            </w:r>
          </w:p>
        </w:tc>
        <w:tc>
          <w:tcPr>
            <w:tcW w:w="2468" w:type="dxa"/>
            <w:vAlign w:val="center"/>
          </w:tcPr>
          <w:p w:rsidR="007853F0" w:rsidRPr="009B7C69" w:rsidRDefault="007853F0" w:rsidP="00B51B51">
            <w:pPr>
              <w:widowControl w:val="0"/>
              <w:rPr>
                <w:rFonts w:cs="Arial"/>
                <w:sz w:val="16"/>
                <w:szCs w:val="18"/>
              </w:rPr>
            </w:pPr>
            <w:r w:rsidRPr="009B7C69">
              <w:rPr>
                <w:rFonts w:cs="Arial"/>
                <w:sz w:val="16"/>
                <w:szCs w:val="18"/>
              </w:rPr>
              <w:t>La Patagua</w:t>
            </w:r>
          </w:p>
        </w:tc>
        <w:tc>
          <w:tcPr>
            <w:tcW w:w="1348" w:type="dxa"/>
            <w:vAlign w:val="center"/>
          </w:tcPr>
          <w:p w:rsidR="007853F0" w:rsidRPr="009B7C69" w:rsidRDefault="007853F0" w:rsidP="00B51B51">
            <w:pPr>
              <w:widowControl w:val="0"/>
              <w:rPr>
                <w:rFonts w:cs="Arial"/>
                <w:sz w:val="16"/>
                <w:szCs w:val="18"/>
              </w:rPr>
            </w:pPr>
            <w:r w:rsidRPr="009B7C69">
              <w:rPr>
                <w:rFonts w:cs="Arial"/>
                <w:sz w:val="16"/>
                <w:szCs w:val="18"/>
              </w:rPr>
              <w:t>Pumicita</w:t>
            </w:r>
          </w:p>
        </w:tc>
        <w:tc>
          <w:tcPr>
            <w:tcW w:w="985" w:type="dxa"/>
            <w:vAlign w:val="center"/>
          </w:tcPr>
          <w:p w:rsidR="007853F0" w:rsidRPr="009B7C69" w:rsidRDefault="007853F0" w:rsidP="00B51B51">
            <w:pPr>
              <w:widowControl w:val="0"/>
              <w:jc w:val="center"/>
              <w:rPr>
                <w:rFonts w:cs="Arial"/>
                <w:sz w:val="16"/>
                <w:szCs w:val="18"/>
              </w:rPr>
            </w:pPr>
            <w:r w:rsidRPr="009B7C69">
              <w:rPr>
                <w:rFonts w:cs="Arial"/>
                <w:sz w:val="16"/>
                <w:szCs w:val="18"/>
              </w:rPr>
              <w:t>267.125</w:t>
            </w:r>
          </w:p>
        </w:tc>
        <w:tc>
          <w:tcPr>
            <w:tcW w:w="1021" w:type="dxa"/>
            <w:vAlign w:val="center"/>
          </w:tcPr>
          <w:p w:rsidR="007853F0" w:rsidRPr="009B7C69" w:rsidRDefault="007853F0" w:rsidP="00B51B51">
            <w:pPr>
              <w:widowControl w:val="0"/>
              <w:jc w:val="center"/>
              <w:rPr>
                <w:rFonts w:cs="Arial"/>
                <w:sz w:val="16"/>
                <w:szCs w:val="18"/>
              </w:rPr>
            </w:pPr>
            <w:r w:rsidRPr="009B7C69">
              <w:rPr>
                <w:rFonts w:cs="Arial"/>
                <w:sz w:val="16"/>
                <w:szCs w:val="18"/>
              </w:rPr>
              <w:t>6.184.922</w:t>
            </w:r>
          </w:p>
        </w:tc>
      </w:tr>
    </w:tbl>
    <w:bookmarkEnd w:id="398"/>
    <w:bookmarkEnd w:id="399"/>
    <w:p w:rsidR="007853F0" w:rsidRPr="009B7C69" w:rsidRDefault="007853F0" w:rsidP="00B51B51">
      <w:pPr>
        <w:widowControl w:val="0"/>
        <w:rPr>
          <w:sz w:val="16"/>
          <w:szCs w:val="18"/>
        </w:rPr>
      </w:pPr>
      <w:r w:rsidRPr="009B7C69">
        <w:rPr>
          <w:sz w:val="16"/>
          <w:szCs w:val="18"/>
        </w:rPr>
        <w:t xml:space="preserve">Fuente: Anuario de </w:t>
      </w:r>
      <w:smartTag w:uri="urn:schemas-microsoft-com:office:smarttags" w:element="PersonName">
        <w:smartTagPr>
          <w:attr w:name="ProductID" w:val="la Minería"/>
        </w:smartTagPr>
        <w:r w:rsidRPr="009B7C69">
          <w:rPr>
            <w:sz w:val="16"/>
            <w:szCs w:val="18"/>
          </w:rPr>
          <w:t>la Minería</w:t>
        </w:r>
      </w:smartTag>
      <w:r w:rsidRPr="009B7C69">
        <w:rPr>
          <w:sz w:val="16"/>
          <w:szCs w:val="18"/>
        </w:rPr>
        <w:t xml:space="preserve"> de Chile del año 2011. SERNAGEOMIN, 2011.</w:t>
      </w:r>
    </w:p>
    <w:p w:rsidR="007853F0" w:rsidRPr="009B7C69" w:rsidRDefault="007853F0" w:rsidP="00B51B51">
      <w:pPr>
        <w:widowControl w:val="0"/>
      </w:pPr>
    </w:p>
    <w:p w:rsidR="007853F0" w:rsidRPr="009B7C69" w:rsidRDefault="007853F0" w:rsidP="00B51B51">
      <w:pPr>
        <w:widowControl w:val="0"/>
      </w:pPr>
      <w:r w:rsidRPr="009B7C69">
        <w:t xml:space="preserve">De acuerdo al Anuario de Minería del año 2011 en </w:t>
      </w:r>
      <w:smartTag w:uri="urn:schemas-microsoft-com:office:smarttags" w:element="PersonName">
        <w:smartTagPr>
          <w:attr w:name="ProductID" w:val="la Región"/>
        </w:smartTagPr>
        <w:r w:rsidRPr="009B7C69">
          <w:t>la Región</w:t>
        </w:r>
      </w:smartTag>
      <w:r w:rsidRPr="009B7C69">
        <w:t xml:space="preserve"> de O´Higgins la principal producción minera es el cobre alcanzando las 420.020 toneladas.</w:t>
      </w:r>
    </w:p>
    <w:p w:rsidR="001E5A91" w:rsidRPr="009B7C69" w:rsidRDefault="001E5A91" w:rsidP="00B51B51">
      <w:pPr>
        <w:widowControl w:val="0"/>
      </w:pPr>
    </w:p>
    <w:p w:rsidR="007853F0" w:rsidRPr="009B7C69" w:rsidRDefault="007853F0" w:rsidP="00B51B51">
      <w:pPr>
        <w:widowControl w:val="0"/>
      </w:pPr>
      <w:r w:rsidRPr="009B7C69">
        <w:t>Dicha producción representa más del 99% del total de producción de minerales metálicos de la región, siguiéndole en importancia la producción de molibdeno, tal como se observa en la siguiente tabla.</w:t>
      </w:r>
    </w:p>
    <w:p w:rsidR="007853F0" w:rsidRPr="009B7C69" w:rsidRDefault="007853F0" w:rsidP="00B51B51">
      <w:pPr>
        <w:widowControl w:val="0"/>
      </w:pPr>
    </w:p>
    <w:p w:rsidR="007853F0" w:rsidRPr="009B7C69" w:rsidRDefault="007853F0" w:rsidP="00B51B51">
      <w:pPr>
        <w:pStyle w:val="Epgrafe"/>
        <w:widowControl w:val="0"/>
      </w:pPr>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107</w:t>
      </w:r>
      <w:r w:rsidR="007F3102">
        <w:fldChar w:fldCharType="end"/>
      </w:r>
      <w:r w:rsidRPr="009B7C69">
        <w:t xml:space="preserve"> Producción Minera de </w:t>
      </w:r>
      <w:smartTag w:uri="urn:schemas-microsoft-com:office:smarttags" w:element="PersonName">
        <w:smartTagPr>
          <w:attr w:name="ProductID" w:val="la Región O"/>
        </w:smartTagPr>
        <w:r w:rsidRPr="009B7C69">
          <w:t>la Región O</w:t>
        </w:r>
      </w:smartTag>
      <w:r w:rsidRPr="009B7C69">
        <w:t>´Higgins</w:t>
      </w:r>
    </w:p>
    <w:tbl>
      <w:tblPr>
        <w:tblW w:w="6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8"/>
        <w:gridCol w:w="1958"/>
        <w:gridCol w:w="2168"/>
      </w:tblGrid>
      <w:tr w:rsidR="007853F0" w:rsidRPr="009B7C69">
        <w:trPr>
          <w:trHeight w:val="418"/>
          <w:jc w:val="center"/>
        </w:trPr>
        <w:tc>
          <w:tcPr>
            <w:tcW w:w="1958" w:type="dxa"/>
            <w:vAlign w:val="center"/>
          </w:tcPr>
          <w:p w:rsidR="007853F0" w:rsidRPr="009B7C69" w:rsidRDefault="007853F0" w:rsidP="00B51B51">
            <w:pPr>
              <w:widowControl w:val="0"/>
              <w:jc w:val="center"/>
              <w:rPr>
                <w:rFonts w:cs="Arial"/>
                <w:sz w:val="16"/>
                <w:szCs w:val="18"/>
              </w:rPr>
            </w:pPr>
            <w:r w:rsidRPr="009B7C69">
              <w:rPr>
                <w:rFonts w:cs="Arial"/>
                <w:sz w:val="16"/>
                <w:szCs w:val="18"/>
              </w:rPr>
              <w:t>Tipo Minerales</w:t>
            </w:r>
          </w:p>
        </w:tc>
        <w:tc>
          <w:tcPr>
            <w:tcW w:w="1958" w:type="dxa"/>
            <w:vAlign w:val="center"/>
          </w:tcPr>
          <w:p w:rsidR="007853F0" w:rsidRPr="009B7C69" w:rsidRDefault="007853F0" w:rsidP="00B51B51">
            <w:pPr>
              <w:widowControl w:val="0"/>
              <w:jc w:val="center"/>
              <w:rPr>
                <w:rFonts w:cs="Arial"/>
                <w:sz w:val="16"/>
                <w:szCs w:val="18"/>
              </w:rPr>
            </w:pPr>
            <w:r w:rsidRPr="009B7C69">
              <w:rPr>
                <w:rFonts w:cs="Arial"/>
                <w:sz w:val="16"/>
                <w:szCs w:val="18"/>
              </w:rPr>
              <w:t>Minerales</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Producción (toneladas)</w:t>
            </w:r>
          </w:p>
        </w:tc>
      </w:tr>
      <w:tr w:rsidR="007853F0" w:rsidRPr="009B7C69">
        <w:trPr>
          <w:jc w:val="center"/>
        </w:trPr>
        <w:tc>
          <w:tcPr>
            <w:tcW w:w="1958" w:type="dxa"/>
            <w:vMerge w:val="restart"/>
          </w:tcPr>
          <w:p w:rsidR="007853F0" w:rsidRPr="009B7C69" w:rsidRDefault="007853F0" w:rsidP="00B51B51">
            <w:pPr>
              <w:widowControl w:val="0"/>
              <w:jc w:val="center"/>
              <w:rPr>
                <w:rFonts w:cs="Arial"/>
                <w:sz w:val="16"/>
                <w:szCs w:val="18"/>
              </w:rPr>
            </w:pPr>
            <w:r w:rsidRPr="009B7C69">
              <w:rPr>
                <w:rFonts w:cs="Arial"/>
                <w:sz w:val="16"/>
                <w:szCs w:val="18"/>
              </w:rPr>
              <w:t>Metálicos</w:t>
            </w: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Cobre</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420.220</w:t>
            </w:r>
          </w:p>
        </w:tc>
      </w:tr>
      <w:tr w:rsidR="007853F0" w:rsidRPr="009B7C69">
        <w:trPr>
          <w:jc w:val="center"/>
        </w:trPr>
        <w:tc>
          <w:tcPr>
            <w:tcW w:w="1958" w:type="dxa"/>
            <w:vMerge/>
          </w:tcPr>
          <w:p w:rsidR="007853F0" w:rsidRPr="009B7C69" w:rsidRDefault="007853F0" w:rsidP="00B51B51">
            <w:pPr>
              <w:widowControl w:val="0"/>
              <w:jc w:val="center"/>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Molibdeno</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6.175</w:t>
            </w:r>
          </w:p>
        </w:tc>
      </w:tr>
      <w:tr w:rsidR="007853F0" w:rsidRPr="009B7C69">
        <w:trPr>
          <w:jc w:val="center"/>
        </w:trPr>
        <w:tc>
          <w:tcPr>
            <w:tcW w:w="1958" w:type="dxa"/>
            <w:vMerge/>
          </w:tcPr>
          <w:p w:rsidR="007853F0" w:rsidRPr="009B7C69" w:rsidRDefault="007853F0" w:rsidP="00B51B51">
            <w:pPr>
              <w:widowControl w:val="0"/>
              <w:jc w:val="center"/>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Oro</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0,1</w:t>
            </w:r>
          </w:p>
        </w:tc>
      </w:tr>
      <w:tr w:rsidR="007853F0" w:rsidRPr="009B7C69">
        <w:trPr>
          <w:jc w:val="center"/>
        </w:trPr>
        <w:tc>
          <w:tcPr>
            <w:tcW w:w="1958" w:type="dxa"/>
            <w:vMerge/>
          </w:tcPr>
          <w:p w:rsidR="007853F0" w:rsidRPr="009B7C69" w:rsidRDefault="007853F0" w:rsidP="00B51B51">
            <w:pPr>
              <w:widowControl w:val="0"/>
              <w:jc w:val="center"/>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Plata</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86</w:t>
            </w:r>
          </w:p>
        </w:tc>
      </w:tr>
      <w:tr w:rsidR="007853F0" w:rsidRPr="009B7C69">
        <w:trPr>
          <w:jc w:val="center"/>
        </w:trPr>
        <w:tc>
          <w:tcPr>
            <w:tcW w:w="1958" w:type="dxa"/>
            <w:vMerge w:val="restart"/>
          </w:tcPr>
          <w:p w:rsidR="007853F0" w:rsidRPr="009B7C69" w:rsidRDefault="007853F0" w:rsidP="00B51B51">
            <w:pPr>
              <w:widowControl w:val="0"/>
              <w:jc w:val="center"/>
              <w:rPr>
                <w:rFonts w:cs="Arial"/>
                <w:sz w:val="16"/>
                <w:szCs w:val="18"/>
              </w:rPr>
            </w:pPr>
            <w:r w:rsidRPr="009B7C69">
              <w:rPr>
                <w:rFonts w:cs="Arial"/>
                <w:sz w:val="16"/>
                <w:szCs w:val="18"/>
              </w:rPr>
              <w:t>Rocas y Minerales Industriales</w:t>
            </w: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Pumicita</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201.343</w:t>
            </w:r>
          </w:p>
        </w:tc>
      </w:tr>
      <w:tr w:rsidR="007853F0" w:rsidRPr="009B7C69">
        <w:trPr>
          <w:jc w:val="center"/>
        </w:trPr>
        <w:tc>
          <w:tcPr>
            <w:tcW w:w="1958" w:type="dxa"/>
            <w:vMerge/>
          </w:tcPr>
          <w:p w:rsidR="007853F0" w:rsidRPr="009B7C69" w:rsidRDefault="007853F0" w:rsidP="00B51B51">
            <w:pPr>
              <w:widowControl w:val="0"/>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Ácido Sulfúrico</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1.187.548</w:t>
            </w:r>
          </w:p>
        </w:tc>
      </w:tr>
      <w:tr w:rsidR="007853F0" w:rsidRPr="009B7C69">
        <w:trPr>
          <w:jc w:val="center"/>
        </w:trPr>
        <w:tc>
          <w:tcPr>
            <w:tcW w:w="1958" w:type="dxa"/>
            <w:vMerge/>
          </w:tcPr>
          <w:p w:rsidR="007853F0" w:rsidRPr="009B7C69" w:rsidRDefault="007853F0" w:rsidP="00B51B51">
            <w:pPr>
              <w:widowControl w:val="0"/>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Arcilla Plástica</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1.271</w:t>
            </w:r>
          </w:p>
        </w:tc>
      </w:tr>
      <w:tr w:rsidR="007853F0" w:rsidRPr="009B7C69">
        <w:trPr>
          <w:jc w:val="center"/>
        </w:trPr>
        <w:tc>
          <w:tcPr>
            <w:tcW w:w="1958" w:type="dxa"/>
            <w:vMerge/>
          </w:tcPr>
          <w:p w:rsidR="007853F0" w:rsidRPr="009B7C69" w:rsidRDefault="007853F0" w:rsidP="00B51B51">
            <w:pPr>
              <w:widowControl w:val="0"/>
              <w:rPr>
                <w:rFonts w:cs="Arial"/>
                <w:sz w:val="16"/>
                <w:szCs w:val="18"/>
              </w:rPr>
            </w:pPr>
          </w:p>
        </w:tc>
        <w:tc>
          <w:tcPr>
            <w:tcW w:w="1958" w:type="dxa"/>
            <w:vAlign w:val="center"/>
          </w:tcPr>
          <w:p w:rsidR="007853F0" w:rsidRPr="009B7C69" w:rsidRDefault="007853F0" w:rsidP="00B51B51">
            <w:pPr>
              <w:widowControl w:val="0"/>
              <w:rPr>
                <w:rFonts w:cs="Arial"/>
                <w:sz w:val="16"/>
                <w:szCs w:val="18"/>
              </w:rPr>
            </w:pPr>
            <w:r w:rsidRPr="009B7C69">
              <w:rPr>
                <w:rFonts w:cs="Arial"/>
                <w:sz w:val="16"/>
                <w:szCs w:val="18"/>
              </w:rPr>
              <w:t>Caolín</w:t>
            </w:r>
          </w:p>
        </w:tc>
        <w:tc>
          <w:tcPr>
            <w:tcW w:w="2168" w:type="dxa"/>
            <w:vAlign w:val="center"/>
          </w:tcPr>
          <w:p w:rsidR="007853F0" w:rsidRPr="009B7C69" w:rsidRDefault="007853F0" w:rsidP="00B51B51">
            <w:pPr>
              <w:widowControl w:val="0"/>
              <w:jc w:val="center"/>
              <w:rPr>
                <w:rFonts w:cs="Arial"/>
                <w:sz w:val="16"/>
                <w:szCs w:val="18"/>
              </w:rPr>
            </w:pPr>
            <w:r w:rsidRPr="009B7C69">
              <w:rPr>
                <w:rFonts w:cs="Arial"/>
                <w:sz w:val="16"/>
                <w:szCs w:val="18"/>
              </w:rPr>
              <w:t>1.836</w:t>
            </w:r>
          </w:p>
        </w:tc>
      </w:tr>
    </w:tbl>
    <w:p w:rsidR="007853F0" w:rsidRPr="009B7C69" w:rsidRDefault="007853F0" w:rsidP="00B51B51">
      <w:pPr>
        <w:pStyle w:val="Epgrafe"/>
        <w:widowControl w:val="0"/>
        <w:rPr>
          <w:b w:val="0"/>
          <w:bCs w:val="0"/>
          <w:sz w:val="16"/>
          <w:szCs w:val="16"/>
        </w:rPr>
      </w:pPr>
      <w:r w:rsidRPr="009B7C69">
        <w:rPr>
          <w:b w:val="0"/>
          <w:bCs w:val="0"/>
          <w:sz w:val="16"/>
          <w:szCs w:val="16"/>
        </w:rPr>
        <w:t xml:space="preserve">Fuente: Anuario de </w:t>
      </w:r>
      <w:smartTag w:uri="urn:schemas-microsoft-com:office:smarttags" w:element="PersonName">
        <w:smartTagPr>
          <w:attr w:name="ProductID" w:val="la Minería"/>
        </w:smartTagPr>
        <w:r w:rsidRPr="009B7C69">
          <w:rPr>
            <w:b w:val="0"/>
            <w:bCs w:val="0"/>
            <w:sz w:val="16"/>
            <w:szCs w:val="16"/>
          </w:rPr>
          <w:t>la Minería</w:t>
        </w:r>
      </w:smartTag>
      <w:r w:rsidRPr="009B7C69">
        <w:rPr>
          <w:b w:val="0"/>
          <w:bCs w:val="0"/>
          <w:sz w:val="16"/>
          <w:szCs w:val="16"/>
        </w:rPr>
        <w:t xml:space="preserve"> de Chile del año 2011. SERNAGEOMIN, 2011. </w:t>
      </w:r>
    </w:p>
    <w:p w:rsidR="007853F0" w:rsidRPr="009B7C69" w:rsidRDefault="007853F0" w:rsidP="00B51B51">
      <w:pPr>
        <w:widowControl w:val="0"/>
      </w:pPr>
    </w:p>
    <w:p w:rsidR="007853F0" w:rsidRPr="009B7C69" w:rsidRDefault="007853F0" w:rsidP="00B51B51">
      <w:pPr>
        <w:widowControl w:val="0"/>
      </w:pPr>
      <w:r w:rsidRPr="009B7C69">
        <w:t>Para las distintas explotaciones mineras que operan en la región, no existe información suficiente que permita estimar las demandas de agua actual, en atención a que no hay un registro público de ellas, dado que estos antecedentes dan cuenta de modo indirecto de los niveles de producción que generalmente son manejados en forma reservada.</w:t>
      </w:r>
    </w:p>
    <w:p w:rsidR="007853F0" w:rsidRPr="009B7C69" w:rsidRDefault="007853F0" w:rsidP="00B51B51">
      <w:pPr>
        <w:widowControl w:val="0"/>
      </w:pPr>
    </w:p>
    <w:p w:rsidR="007853F0" w:rsidRPr="009B7C69" w:rsidRDefault="007853F0" w:rsidP="00B51B51">
      <w:pPr>
        <w:widowControl w:val="0"/>
      </w:pPr>
      <w:r w:rsidRPr="009B7C69">
        <w:t xml:space="preserve">A nivel regional uno de los principales antecedentes que permite caracterizar la demanda minera ha sido realizado por PROUST y COCHILCO en los estudios denominados Derechos, Extracciones y Tasas Unitarias de Consumo de Agua del Sector Minero, Regiones Centro-Norte de Chile (2008), Proyección Consumo de Agua en </w:t>
      </w:r>
      <w:smartTag w:uri="urn:schemas-microsoft-com:office:smarttags" w:element="PersonName">
        <w:smartTagPr>
          <w:attr w:name="ProductID" w:val="la Minería"/>
        </w:smartTagPr>
        <w:r w:rsidRPr="009B7C69">
          <w:t>la Minería</w:t>
        </w:r>
      </w:smartTag>
      <w:r w:rsidRPr="009B7C69">
        <w:t xml:space="preserve"> del Cobre 2009-2020 (2009) y Consumo del Agua en </w:t>
      </w:r>
      <w:smartTag w:uri="urn:schemas-microsoft-com:office:smarttags" w:element="PersonName">
        <w:smartTagPr>
          <w:attr w:name="ProductID" w:val="la Minería"/>
        </w:smartTagPr>
        <w:r w:rsidRPr="009B7C69">
          <w:t>la Minería</w:t>
        </w:r>
      </w:smartTag>
      <w:r w:rsidRPr="009B7C69">
        <w:t xml:space="preserve"> del Cobre 2010 (2009).</w:t>
      </w:r>
    </w:p>
    <w:p w:rsidR="007853F0" w:rsidRPr="009B7C69" w:rsidRDefault="007853F0" w:rsidP="00B51B51">
      <w:pPr>
        <w:widowControl w:val="0"/>
      </w:pPr>
    </w:p>
    <w:p w:rsidR="007853F0" w:rsidRPr="009B7C69" w:rsidRDefault="007853F0" w:rsidP="00B51B51">
      <w:pPr>
        <w:widowControl w:val="0"/>
      </w:pPr>
      <w:r w:rsidRPr="009B7C69">
        <w:t>En estos estudios, las proyecciones permiten tener una aproximación bastante cercana a la demanda de agua actual de la minería regional considerando que la producción minera representa más del 99% de la producción minera regional al año 2010.</w:t>
      </w:r>
    </w:p>
    <w:p w:rsidR="007853F0" w:rsidRPr="009B7C69" w:rsidRDefault="007853F0" w:rsidP="00B51B51">
      <w:pPr>
        <w:widowControl w:val="0"/>
      </w:pPr>
    </w:p>
    <w:p w:rsidR="00E20A0F" w:rsidRDefault="00E20A0F" w:rsidP="00B51B51">
      <w:pPr>
        <w:widowControl w:val="0"/>
      </w:pPr>
    </w:p>
    <w:p w:rsidR="007853F0" w:rsidRPr="009B7C69" w:rsidRDefault="007853F0" w:rsidP="00B51B51">
      <w:pPr>
        <w:widowControl w:val="0"/>
      </w:pPr>
      <w:r w:rsidRPr="009B7C69">
        <w:lastRenderedPageBreak/>
        <w:t xml:space="preserve">PROUST en su estudio desarrollado el año 2008 realizó un análisis de la relación de las extracciones de aguas informadas por las empresas mineras (yacimientos de cobre) y sus derechos constituidos según información de </w:t>
      </w:r>
      <w:smartTag w:uri="urn:schemas-microsoft-com:office:smarttags" w:element="PersonName">
        <w:smartTagPr>
          <w:attr w:name="ProductID" w:val="la DGA"/>
        </w:smartTagPr>
        <w:r w:rsidRPr="009B7C69">
          <w:t>la DGA</w:t>
        </w:r>
      </w:smartTag>
      <w:r w:rsidRPr="009B7C69">
        <w:t>, todos ellos al año 2006.</w:t>
      </w:r>
    </w:p>
    <w:p w:rsidR="00AA7A84" w:rsidRPr="009B7C69" w:rsidRDefault="00AA7A84" w:rsidP="00B51B51">
      <w:pPr>
        <w:widowControl w:val="0"/>
      </w:pPr>
    </w:p>
    <w:p w:rsidR="007853F0" w:rsidRPr="009B7C69" w:rsidRDefault="007853F0" w:rsidP="00B51B51">
      <w:pPr>
        <w:widowControl w:val="0"/>
      </w:pPr>
      <w:r w:rsidRPr="009B7C69">
        <w:t xml:space="preserve">Para </w:t>
      </w:r>
      <w:smartTag w:uri="urn:schemas-microsoft-com:office:smarttags" w:element="PersonName">
        <w:smartTagPr>
          <w:attr w:name="ProductID" w:val="la Región"/>
        </w:smartTagPr>
        <w:r w:rsidRPr="009B7C69">
          <w:t>la Región</w:t>
        </w:r>
      </w:smartTag>
      <w:r w:rsidRPr="009B7C69">
        <w:t xml:space="preserve"> de O’Higgins se logró establecer que para el principal yacimiento que opera al año 2006, el consumo informado de agua alcanzaría los 2100 l/s para un total de 1.200 l/s de derechos de agua constituidos y 3.461 l/s de derechos eventuales, tal como se observa en </w:t>
      </w:r>
      <w:smartTag w:uri="urn:schemas-microsoft-com:office:smarttags" w:element="PersonName">
        <w:smartTagPr>
          <w:attr w:name="ProductID" w:val="la ￼￼￼￼￼￼￼￼￼￼￼￼￼￼￼￼￼￼￼￼￼￼￼￼￼￼￼￼￼￼￼￼￼￼￼￼￼￼￼￼￼Tabla"/>
        </w:smartTagPr>
        <w:r w:rsidRPr="009B7C69">
          <w:t>la Tabla</w:t>
        </w:r>
      </w:smartTag>
      <w:r w:rsidRPr="009B7C69">
        <w:t xml:space="preserve"> siguiente.</w:t>
      </w:r>
    </w:p>
    <w:p w:rsidR="007853F0" w:rsidRPr="009B7C69" w:rsidRDefault="007853F0" w:rsidP="00B51B51">
      <w:pPr>
        <w:widowControl w:val="0"/>
      </w:pPr>
    </w:p>
    <w:p w:rsidR="007853F0" w:rsidRPr="009B7C69" w:rsidRDefault="007853F0" w:rsidP="00B51B51">
      <w:pPr>
        <w:pStyle w:val="Epgrafe"/>
        <w:widowControl w:val="0"/>
      </w:pPr>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108</w:t>
      </w:r>
      <w:r w:rsidR="007F3102">
        <w:fldChar w:fldCharType="end"/>
      </w:r>
      <w:r w:rsidRPr="009B7C69">
        <w:t xml:space="preserve"> Producción Minera de </w:t>
      </w:r>
      <w:smartTag w:uri="urn:schemas-microsoft-com:office:smarttags" w:element="PersonName">
        <w:smartTagPr>
          <w:attr w:name="ProductID" w:val="la Región"/>
        </w:smartTagPr>
        <w:r w:rsidRPr="009B7C69">
          <w:t>la Región</w:t>
        </w:r>
      </w:smartTag>
      <w:r w:rsidRPr="009B7C69">
        <w:t xml:space="preserve"> de O´Higgins</w:t>
      </w:r>
    </w:p>
    <w:tbl>
      <w:tblPr>
        <w:tblW w:w="9219" w:type="dxa"/>
        <w:jc w:val="center"/>
        <w:tblInd w:w="349" w:type="dxa"/>
        <w:tblCellMar>
          <w:left w:w="70" w:type="dxa"/>
          <w:right w:w="70" w:type="dxa"/>
        </w:tblCellMar>
        <w:tblLook w:val="0000" w:firstRow="0" w:lastRow="0" w:firstColumn="0" w:lastColumn="0" w:noHBand="0" w:noVBand="0"/>
      </w:tblPr>
      <w:tblGrid>
        <w:gridCol w:w="2273"/>
        <w:gridCol w:w="1211"/>
        <w:gridCol w:w="1199"/>
        <w:gridCol w:w="567"/>
        <w:gridCol w:w="1275"/>
        <w:gridCol w:w="1134"/>
        <w:gridCol w:w="567"/>
        <w:gridCol w:w="993"/>
      </w:tblGrid>
      <w:tr w:rsidR="007853F0" w:rsidRPr="009B7C69">
        <w:trPr>
          <w:trHeight w:val="255"/>
          <w:jc w:val="center"/>
        </w:trPr>
        <w:tc>
          <w:tcPr>
            <w:tcW w:w="227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Empresa Minera</w:t>
            </w:r>
          </w:p>
        </w:tc>
        <w:tc>
          <w:tcPr>
            <w:tcW w:w="2977" w:type="dxa"/>
            <w:gridSpan w:val="3"/>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Consuntivos Superficiales</w:t>
            </w:r>
          </w:p>
        </w:tc>
        <w:tc>
          <w:tcPr>
            <w:tcW w:w="2976" w:type="dxa"/>
            <w:gridSpan w:val="3"/>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Consuntivos Subterráneos</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bottom"/>
          </w:tcPr>
          <w:p w:rsidR="007853F0" w:rsidRPr="009B7C69" w:rsidRDefault="007853F0" w:rsidP="00B51B51">
            <w:pPr>
              <w:widowControl w:val="0"/>
              <w:jc w:val="center"/>
              <w:rPr>
                <w:rFonts w:cs="Arial"/>
                <w:sz w:val="16"/>
                <w:szCs w:val="18"/>
              </w:rPr>
            </w:pPr>
            <w:r w:rsidRPr="009B7C69">
              <w:rPr>
                <w:rFonts w:cs="Arial"/>
                <w:sz w:val="16"/>
                <w:szCs w:val="18"/>
              </w:rPr>
              <w:t>Extracción Informada</w:t>
            </w:r>
          </w:p>
        </w:tc>
      </w:tr>
      <w:tr w:rsidR="007853F0" w:rsidRPr="009B7C69">
        <w:trPr>
          <w:trHeight w:val="255"/>
          <w:jc w:val="center"/>
        </w:trPr>
        <w:tc>
          <w:tcPr>
            <w:tcW w:w="2273"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sz w:val="16"/>
                <w:szCs w:val="18"/>
              </w:rPr>
            </w:pPr>
          </w:p>
        </w:tc>
        <w:tc>
          <w:tcPr>
            <w:tcW w:w="121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Permanentes</w:t>
            </w:r>
          </w:p>
        </w:tc>
        <w:tc>
          <w:tcPr>
            <w:tcW w:w="1199"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Eventuales</w:t>
            </w: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Total</w:t>
            </w:r>
          </w:p>
        </w:tc>
        <w:tc>
          <w:tcPr>
            <w:tcW w:w="1275"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Permanentes</w:t>
            </w:r>
          </w:p>
        </w:tc>
        <w:tc>
          <w:tcPr>
            <w:tcW w:w="1134"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Eventuales</w:t>
            </w: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Total</w:t>
            </w:r>
          </w:p>
        </w:tc>
        <w:tc>
          <w:tcPr>
            <w:tcW w:w="993"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sz w:val="16"/>
                <w:szCs w:val="18"/>
              </w:rPr>
            </w:pPr>
          </w:p>
        </w:tc>
      </w:tr>
      <w:tr w:rsidR="007853F0" w:rsidRPr="009B7C69">
        <w:trPr>
          <w:trHeight w:val="255"/>
          <w:jc w:val="center"/>
        </w:trPr>
        <w:tc>
          <w:tcPr>
            <w:tcW w:w="2273"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rPr>
                <w:rFonts w:cs="Arial"/>
                <w:sz w:val="16"/>
                <w:szCs w:val="18"/>
              </w:rPr>
            </w:pPr>
            <w:bookmarkStart w:id="400" w:name="_Hlk336504233"/>
            <w:r w:rsidRPr="009B7C69">
              <w:rPr>
                <w:rFonts w:cs="Arial"/>
                <w:sz w:val="16"/>
                <w:szCs w:val="18"/>
              </w:rPr>
              <w:t>Codelco División El Teniente</w:t>
            </w:r>
          </w:p>
        </w:tc>
        <w:tc>
          <w:tcPr>
            <w:tcW w:w="121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1.200</w:t>
            </w:r>
          </w:p>
        </w:tc>
        <w:tc>
          <w:tcPr>
            <w:tcW w:w="1199"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3.461</w:t>
            </w: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4.661</w:t>
            </w:r>
          </w:p>
        </w:tc>
        <w:tc>
          <w:tcPr>
            <w:tcW w:w="1275"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306</w:t>
            </w:r>
          </w:p>
        </w:tc>
        <w:tc>
          <w:tcPr>
            <w:tcW w:w="1134"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0</w:t>
            </w: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306</w:t>
            </w:r>
          </w:p>
        </w:tc>
        <w:tc>
          <w:tcPr>
            <w:tcW w:w="993"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2.100</w:t>
            </w:r>
          </w:p>
        </w:tc>
      </w:tr>
      <w:tr w:rsidR="007853F0" w:rsidRPr="009B7C69">
        <w:trPr>
          <w:trHeight w:val="255"/>
          <w:jc w:val="center"/>
        </w:trPr>
        <w:tc>
          <w:tcPr>
            <w:tcW w:w="2273"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r w:rsidRPr="009B7C69">
              <w:rPr>
                <w:rFonts w:cs="Arial"/>
                <w:sz w:val="16"/>
                <w:szCs w:val="18"/>
              </w:rPr>
              <w:t>Total</w:t>
            </w:r>
          </w:p>
        </w:tc>
        <w:tc>
          <w:tcPr>
            <w:tcW w:w="121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1199"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1275"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1134"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567"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c>
          <w:tcPr>
            <w:tcW w:w="993"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8"/>
              </w:rPr>
            </w:pPr>
          </w:p>
        </w:tc>
      </w:tr>
    </w:tbl>
    <w:bookmarkEnd w:id="400"/>
    <w:p w:rsidR="007853F0" w:rsidRPr="009B7C69" w:rsidRDefault="007853F0" w:rsidP="00B51B51">
      <w:pPr>
        <w:widowControl w:val="0"/>
        <w:jc w:val="center"/>
        <w:rPr>
          <w:sz w:val="18"/>
          <w:szCs w:val="18"/>
        </w:rPr>
      </w:pPr>
      <w:r w:rsidRPr="009B7C69">
        <w:rPr>
          <w:sz w:val="18"/>
          <w:szCs w:val="18"/>
        </w:rPr>
        <w:t>Fuente: Derechos, Extracciones y Tasas Unitarias de Consumo de Agua del Sector Minero, Regiones Centro-Norte de Chile. PROUST, 2008.</w:t>
      </w:r>
    </w:p>
    <w:p w:rsidR="007853F0" w:rsidRPr="009B7C69" w:rsidRDefault="007853F0" w:rsidP="00B51B51">
      <w:pPr>
        <w:widowControl w:val="0"/>
        <w:jc w:val="center"/>
        <w:rPr>
          <w:sz w:val="18"/>
          <w:szCs w:val="18"/>
        </w:rPr>
      </w:pPr>
    </w:p>
    <w:p w:rsidR="007853F0" w:rsidRPr="009B7C69" w:rsidRDefault="007853F0" w:rsidP="00B51B51">
      <w:pPr>
        <w:widowControl w:val="0"/>
      </w:pPr>
      <w:r w:rsidRPr="009B7C69">
        <w:t xml:space="preserve">De </w:t>
      </w:r>
      <w:smartTag w:uri="urn:schemas-microsoft-com:office:smarttags" w:element="PersonName">
        <w:smartTagPr>
          <w:attr w:name="ProductID" w:val="la ￼￼￼￼￼￼￼￼￼￼￼￼￼￼￼￼￼￼￼￼￼￼￼￼￼￼￼￼￼￼￼￼￼￼￼￼￼￼￼￼￼Tabla"/>
        </w:smartTagPr>
        <w:r w:rsidRPr="009B7C69">
          <w:t>la Tabla</w:t>
        </w:r>
      </w:smartTag>
      <w:r w:rsidRPr="009B7C69">
        <w:t xml:space="preserve"> anterior también se desprende que al año 2006 las extracciones representan menos de la mitad del total de derechos constituidos.</w:t>
      </w:r>
    </w:p>
    <w:p w:rsidR="007853F0" w:rsidRPr="009B7C69" w:rsidRDefault="007853F0" w:rsidP="00B51B51">
      <w:pPr>
        <w:widowControl w:val="0"/>
      </w:pPr>
    </w:p>
    <w:p w:rsidR="007853F0" w:rsidRPr="009B7C69" w:rsidRDefault="007853F0" w:rsidP="00B51B51">
      <w:pPr>
        <w:widowControl w:val="0"/>
      </w:pPr>
      <w:r w:rsidRPr="009B7C69">
        <w:t xml:space="preserve">Más recientemente COCHILCO, realizó una estimación de las demandas de agua para la producción minera de cobre en </w:t>
      </w:r>
      <w:smartTag w:uri="urn:schemas-microsoft-com:office:smarttags" w:element="PersonName">
        <w:smartTagPr>
          <w:attr w:name="ProductID" w:val="la Región"/>
        </w:smartTagPr>
        <w:r w:rsidRPr="009B7C69">
          <w:t>la Región</w:t>
        </w:r>
      </w:smartTag>
      <w:r w:rsidRPr="009B7C69">
        <w:t xml:space="preserve"> de O´Higgins en el período comprendido entre los años </w:t>
      </w:r>
      <w:smartTag w:uri="urn:schemas-microsoft-com:office:smarttags" w:element="metricconverter">
        <w:smartTagPr>
          <w:attr w:name="ProductID" w:val="2009 a"/>
        </w:smartTagPr>
        <w:r w:rsidRPr="009B7C69">
          <w:t>2009 a</w:t>
        </w:r>
      </w:smartTag>
      <w:r w:rsidRPr="009B7C69">
        <w:t xml:space="preserve"> 2020 diferenciada según procesos (concentrados y cátodos).</w:t>
      </w:r>
    </w:p>
    <w:p w:rsidR="007853F0" w:rsidRPr="009B7C69" w:rsidRDefault="007853F0" w:rsidP="00B51B51">
      <w:pPr>
        <w:widowControl w:val="0"/>
      </w:pPr>
    </w:p>
    <w:p w:rsidR="007853F0" w:rsidRPr="009B7C69" w:rsidRDefault="007853F0" w:rsidP="00B51B51">
      <w:pPr>
        <w:widowControl w:val="0"/>
      </w:pPr>
      <w:r w:rsidRPr="009B7C69">
        <w:t xml:space="preserve">Las estimaciones de la demanda fueron realizadas a partir de la información proporcionada por las empresas mineras a COCHILCO tanto referente a proyecciones de producción y de consumos. Estas estimaciones se presentan en </w:t>
      </w:r>
      <w:smartTag w:uri="urn:schemas-microsoft-com:office:smarttags" w:element="PersonName">
        <w:smartTagPr>
          <w:attr w:name="ProductID" w:val="la ￼￼￼￼￼￼￼￼￼￼￼￼￼￼￼￼￼￼￼￼￼￼￼￼￼￼￼￼￼￼￼￼￼￼￼￼￼￼￼￼￼Tabla"/>
        </w:smartTagPr>
        <w:r w:rsidRPr="009B7C69">
          <w:t xml:space="preserve">la </w:t>
        </w:r>
        <w:r w:rsidRPr="009B7C69">
          <w:fldChar w:fldCharType="begin"/>
        </w:r>
        <w:r w:rsidRPr="009B7C69">
          <w:instrText xml:space="preserve"> REF _Ref336420332 \h </w:instrText>
        </w:r>
        <w:r w:rsidRPr="009B7C69">
          <w:instrText xml:space="preserve"> \* MERGEFORMAT </w:instrText>
        </w:r>
        <w:r w:rsidRPr="009B7C69">
          <w:fldChar w:fldCharType="separate"/>
        </w:r>
        <w:r w:rsidR="00264070" w:rsidRPr="009B7C69">
          <w:t>Tabla</w:t>
        </w:r>
      </w:smartTag>
      <w:r w:rsidR="00264070" w:rsidRPr="009B7C69">
        <w:t xml:space="preserve"> </w:t>
      </w:r>
      <w:r w:rsidR="00264070">
        <w:rPr>
          <w:noProof/>
        </w:rPr>
        <w:t>5.109</w:t>
      </w:r>
      <w:r w:rsidRPr="009B7C69">
        <w:fldChar w:fldCharType="end"/>
      </w:r>
      <w:r w:rsidRPr="009B7C69">
        <w:t>.</w:t>
      </w:r>
    </w:p>
    <w:p w:rsidR="007853F0" w:rsidRPr="009B7C69" w:rsidRDefault="007853F0" w:rsidP="00B51B51">
      <w:pPr>
        <w:widowControl w:val="0"/>
      </w:pPr>
    </w:p>
    <w:p w:rsidR="007853F0" w:rsidRPr="009B7C69" w:rsidRDefault="007853F0" w:rsidP="00B51B51">
      <w:pPr>
        <w:pStyle w:val="Epgrafe"/>
        <w:widowControl w:val="0"/>
      </w:pPr>
      <w:bookmarkStart w:id="401" w:name="_Ref336420332"/>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109</w:t>
      </w:r>
      <w:r w:rsidR="007F3102">
        <w:fldChar w:fldCharType="end"/>
      </w:r>
      <w:bookmarkEnd w:id="401"/>
      <w:r w:rsidRPr="009B7C69">
        <w:t xml:space="preserve"> Demanda de Agua para Producción de Cobre</w:t>
      </w:r>
    </w:p>
    <w:tbl>
      <w:tblPr>
        <w:tblW w:w="9268" w:type="dxa"/>
        <w:jc w:val="center"/>
        <w:tblLayout w:type="fixed"/>
        <w:tblCellMar>
          <w:left w:w="70" w:type="dxa"/>
          <w:right w:w="70" w:type="dxa"/>
        </w:tblCellMar>
        <w:tblLook w:val="0000" w:firstRow="0" w:lastRow="0" w:firstColumn="0" w:lastColumn="0" w:noHBand="0" w:noVBand="0"/>
      </w:tblPr>
      <w:tblGrid>
        <w:gridCol w:w="1220"/>
        <w:gridCol w:w="670"/>
        <w:gridCol w:w="671"/>
        <w:gridCol w:w="671"/>
        <w:gridCol w:w="670"/>
        <w:gridCol w:w="671"/>
        <w:gridCol w:w="671"/>
        <w:gridCol w:w="670"/>
        <w:gridCol w:w="671"/>
        <w:gridCol w:w="671"/>
        <w:gridCol w:w="670"/>
        <w:gridCol w:w="671"/>
        <w:gridCol w:w="671"/>
      </w:tblGrid>
      <w:tr w:rsidR="007853F0" w:rsidRPr="009B7C69">
        <w:trPr>
          <w:jc w:val="center"/>
        </w:trPr>
        <w:tc>
          <w:tcPr>
            <w:tcW w:w="1220" w:type="dxa"/>
            <w:vMerge w:val="restart"/>
            <w:tcBorders>
              <w:top w:val="single" w:sz="4" w:space="0" w:color="auto"/>
              <w:left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Tipo de Proceso</w:t>
            </w:r>
          </w:p>
        </w:tc>
        <w:tc>
          <w:tcPr>
            <w:tcW w:w="8048" w:type="dxa"/>
            <w:gridSpan w:val="12"/>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Demanda Anual de Agua (Millones m</w:t>
            </w:r>
            <w:r w:rsidRPr="009B7C69">
              <w:rPr>
                <w:rFonts w:cs="Arial"/>
                <w:bCs/>
                <w:sz w:val="16"/>
                <w:szCs w:val="16"/>
                <w:vertAlign w:val="superscript"/>
              </w:rPr>
              <w:t>3</w:t>
            </w:r>
            <w:r w:rsidRPr="009B7C69">
              <w:rPr>
                <w:rFonts w:cs="Arial"/>
                <w:bCs/>
                <w:sz w:val="16"/>
                <w:szCs w:val="16"/>
              </w:rPr>
              <w:t>)</w:t>
            </w:r>
          </w:p>
        </w:tc>
      </w:tr>
      <w:tr w:rsidR="001E5A91" w:rsidRPr="009B7C69">
        <w:trPr>
          <w:jc w:val="center"/>
        </w:trPr>
        <w:tc>
          <w:tcPr>
            <w:tcW w:w="1220" w:type="dxa"/>
            <w:vMerge/>
            <w:tcBorders>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left"/>
              <w:rPr>
                <w:rFonts w:cs="Arial"/>
                <w:bCs/>
                <w:sz w:val="16"/>
                <w:szCs w:val="16"/>
              </w:rPr>
            </w:pP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2009</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2010</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2011</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2012</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2013</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2014</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2015</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2016</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2017</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2018</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2019</w:t>
            </w:r>
          </w:p>
        </w:tc>
        <w:tc>
          <w:tcPr>
            <w:tcW w:w="671" w:type="dxa"/>
            <w:tcBorders>
              <w:top w:val="single" w:sz="4" w:space="0" w:color="auto"/>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bCs/>
                <w:sz w:val="16"/>
                <w:szCs w:val="16"/>
              </w:rPr>
            </w:pPr>
            <w:r w:rsidRPr="009B7C69">
              <w:rPr>
                <w:rFonts w:cs="Arial"/>
                <w:bCs/>
                <w:sz w:val="16"/>
                <w:szCs w:val="16"/>
              </w:rPr>
              <w:t>2020</w:t>
            </w:r>
          </w:p>
        </w:tc>
      </w:tr>
      <w:tr w:rsidR="001E5A91" w:rsidRPr="009B7C69">
        <w:trPr>
          <w:jc w:val="center"/>
        </w:trPr>
        <w:tc>
          <w:tcPr>
            <w:tcW w:w="122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left"/>
              <w:rPr>
                <w:rFonts w:cs="Arial"/>
                <w:sz w:val="16"/>
                <w:szCs w:val="16"/>
              </w:rPr>
            </w:pPr>
            <w:r w:rsidRPr="009B7C69">
              <w:rPr>
                <w:rFonts w:cs="Arial"/>
                <w:sz w:val="16"/>
                <w:szCs w:val="16"/>
              </w:rPr>
              <w:t>Concentrados</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65,0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67,9</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73,6</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74,6</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73,8</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71,4</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67,1</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62,5</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63,8</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64,2</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65,7</w:t>
            </w:r>
          </w:p>
        </w:tc>
      </w:tr>
      <w:tr w:rsidR="001E5A91" w:rsidRPr="009B7C69">
        <w:trPr>
          <w:jc w:val="center"/>
        </w:trPr>
        <w:tc>
          <w:tcPr>
            <w:tcW w:w="122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left"/>
              <w:rPr>
                <w:rFonts w:cs="Arial"/>
                <w:sz w:val="16"/>
                <w:szCs w:val="16"/>
              </w:rPr>
            </w:pPr>
            <w:r w:rsidRPr="009B7C69">
              <w:rPr>
                <w:rFonts w:cs="Arial"/>
                <w:sz w:val="16"/>
                <w:szCs w:val="16"/>
              </w:rPr>
              <w:t>Cátodos</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0,0</w:t>
            </w:r>
          </w:p>
        </w:tc>
      </w:tr>
      <w:tr w:rsidR="001E5A91" w:rsidRPr="009B7C69">
        <w:trPr>
          <w:jc w:val="center"/>
        </w:trPr>
        <w:tc>
          <w:tcPr>
            <w:tcW w:w="122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left"/>
              <w:rPr>
                <w:rFonts w:cs="Arial"/>
                <w:sz w:val="16"/>
                <w:szCs w:val="16"/>
              </w:rPr>
            </w:pPr>
            <w:r w:rsidRPr="009B7C69">
              <w:rPr>
                <w:rFonts w:cs="Arial"/>
                <w:sz w:val="16"/>
                <w:szCs w:val="16"/>
              </w:rPr>
              <w:t>Total</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65,0</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67,9</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73,6</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74,6</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73,8</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71,4</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67,1</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62,5</w:t>
            </w:r>
          </w:p>
        </w:tc>
        <w:tc>
          <w:tcPr>
            <w:tcW w:w="67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63,8</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64,2</w:t>
            </w:r>
          </w:p>
        </w:tc>
        <w:tc>
          <w:tcPr>
            <w:tcW w:w="671"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sz w:val="16"/>
                <w:szCs w:val="16"/>
              </w:rPr>
            </w:pPr>
            <w:r w:rsidRPr="009B7C69">
              <w:rPr>
                <w:rFonts w:cs="Arial"/>
                <w:sz w:val="16"/>
                <w:szCs w:val="16"/>
              </w:rPr>
              <w:t>65,7</w:t>
            </w:r>
          </w:p>
        </w:tc>
      </w:tr>
    </w:tbl>
    <w:p w:rsidR="007853F0" w:rsidRPr="009B7C69" w:rsidRDefault="007853F0" w:rsidP="00B51B51">
      <w:pPr>
        <w:widowControl w:val="0"/>
        <w:rPr>
          <w:sz w:val="16"/>
          <w:szCs w:val="18"/>
        </w:rPr>
      </w:pPr>
      <w:r w:rsidRPr="009B7C69">
        <w:rPr>
          <w:sz w:val="16"/>
          <w:szCs w:val="18"/>
        </w:rPr>
        <w:t>Fuente: COCHILCO</w:t>
      </w:r>
    </w:p>
    <w:p w:rsidR="007853F0" w:rsidRPr="009B7C69" w:rsidRDefault="007853F0" w:rsidP="00B51B51">
      <w:pPr>
        <w:widowControl w:val="0"/>
      </w:pPr>
    </w:p>
    <w:p w:rsidR="007853F0" w:rsidRPr="009B7C69" w:rsidRDefault="007853F0" w:rsidP="00B51B51">
      <w:pPr>
        <w:widowControl w:val="0"/>
      </w:pPr>
      <w:r w:rsidRPr="009B7C69">
        <w:t xml:space="preserve">Considerando indicados en </w:t>
      </w:r>
      <w:smartTag w:uri="urn:schemas-microsoft-com:office:smarttags" w:element="PersonName">
        <w:smartTagPr>
          <w:attr w:name="ProductID" w:val="la ￼￼￼￼￼￼￼￼￼￼￼￼￼￼￼￼￼￼￼￼￼￼￼￼￼￼￼￼￼￼￼￼￼￼￼￼￼￼￼￼￼Tabla"/>
        </w:smartTagPr>
        <w:r w:rsidRPr="009B7C69">
          <w:t>la Tabla</w:t>
        </w:r>
      </w:smartTag>
      <w:r w:rsidRPr="009B7C69">
        <w:t xml:space="preserve"> anterior se puede señalar que la demanda actual de agua para producción de cobre en </w:t>
      </w:r>
      <w:smartTag w:uri="urn:schemas-microsoft-com:office:smarttags" w:element="PersonName">
        <w:smartTagPr>
          <w:attr w:name="ProductID" w:val="la Región"/>
        </w:smartTagPr>
        <w:r w:rsidRPr="009B7C69">
          <w:t>la Región</w:t>
        </w:r>
      </w:smartTag>
      <w:r w:rsidRPr="009B7C69">
        <w:t xml:space="preserve"> de O’Higgins asciende a un total de 38,2 millones de m</w:t>
      </w:r>
      <w:r w:rsidRPr="009B7C69">
        <w:rPr>
          <w:szCs w:val="22"/>
          <w:vertAlign w:val="superscript"/>
        </w:rPr>
        <w:t>3</w:t>
      </w:r>
      <w:r w:rsidRPr="009B7C69">
        <w:t xml:space="preserve">. De este total más del 99 % corresponde a la demanda de agua asociada a la producción de concentrados y los restantes a cátodos. </w:t>
      </w:r>
    </w:p>
    <w:p w:rsidR="007853F0" w:rsidRPr="009B7C69" w:rsidRDefault="007853F0" w:rsidP="00B51B51">
      <w:pPr>
        <w:widowControl w:val="0"/>
      </w:pPr>
    </w:p>
    <w:p w:rsidR="007853F0" w:rsidRPr="009B7C69" w:rsidRDefault="007853F0" w:rsidP="00B51B51">
      <w:pPr>
        <w:widowControl w:val="0"/>
      </w:pPr>
      <w:r w:rsidRPr="009B7C69">
        <w:t xml:space="preserve">Por otra parte en </w:t>
      </w:r>
      <w:smartTag w:uri="urn:schemas-microsoft-com:office:smarttags" w:element="PersonName">
        <w:smartTagPr>
          <w:attr w:name="ProductID" w:val="la ￼￼￼￼￼￼￼￼￼￼￼￼￼￼￼￼￼￼￼￼￼￼￼￼￼Figura"/>
        </w:smartTagPr>
        <w:r w:rsidRPr="009B7C69">
          <w:t xml:space="preserve">la </w:t>
        </w:r>
        <w:r w:rsidRPr="009B7C69">
          <w:fldChar w:fldCharType="begin"/>
        </w:r>
        <w:r w:rsidRPr="009B7C69">
          <w:instrText xml:space="preserve"> REF _Ref336422390 \h </w:instrText>
        </w:r>
        <w:r w:rsidRPr="009B7C69">
          <w:instrText xml:space="preserve"> \* MERGEFORMAT </w:instrText>
        </w:r>
        <w:r w:rsidRPr="009B7C69">
          <w:fldChar w:fldCharType="separate"/>
        </w:r>
        <w:r w:rsidR="00264070" w:rsidRPr="009B7C69">
          <w:t>Figura</w:t>
        </w:r>
      </w:smartTag>
      <w:r w:rsidR="00264070" w:rsidRPr="009B7C69">
        <w:t xml:space="preserve"> </w:t>
      </w:r>
      <w:r w:rsidR="00264070">
        <w:rPr>
          <w:noProof/>
        </w:rPr>
        <w:t>5.64</w:t>
      </w:r>
      <w:r w:rsidRPr="009B7C69">
        <w:fldChar w:fldCharType="end"/>
      </w:r>
      <w:r w:rsidRPr="009B7C69">
        <w:t xml:space="preserve"> se gráfica la demanda anual de agua expresada en l/s. De acuerdo a esta gráfica la demanda de agua al año 2012 ascendería a 2.333 l/s.</w:t>
      </w:r>
    </w:p>
    <w:p w:rsidR="001E5A91" w:rsidRPr="009B7C69" w:rsidRDefault="001E5A91" w:rsidP="00B51B51">
      <w:pPr>
        <w:widowControl w:val="0"/>
      </w:pPr>
    </w:p>
    <w:p w:rsidR="001E5A91" w:rsidRPr="009B7C69" w:rsidRDefault="001E5A91" w:rsidP="001E5A91">
      <w:pPr>
        <w:widowControl w:val="0"/>
      </w:pPr>
      <w:r w:rsidRPr="009B7C69">
        <w:t xml:space="preserve">Cabe señalar que las demandas estimadas para </w:t>
      </w:r>
      <w:smartTag w:uri="urn:schemas-microsoft-com:office:smarttags" w:element="PersonName">
        <w:smartTagPr>
          <w:attr w:name="ProductID" w:val="la Región"/>
        </w:smartTagPr>
        <w:r w:rsidRPr="009B7C69">
          <w:t>la Región</w:t>
        </w:r>
      </w:smartTag>
      <w:r w:rsidRPr="009B7C69">
        <w:t xml:space="preserve"> de O´Higgins son representativas del principal yacimiento de cobre, es decir </w:t>
      </w:r>
      <w:smartTag w:uri="urn:schemas-microsoft-com:office:smarttags" w:element="PersonName">
        <w:smartTagPr>
          <w:attr w:name="ProductID" w:val="la División El"/>
        </w:smartTagPr>
        <w:r w:rsidRPr="009B7C69">
          <w:t>La División El</w:t>
        </w:r>
      </w:smartTag>
      <w:r w:rsidRPr="009B7C69">
        <w:t xml:space="preserve"> Teniente.</w:t>
      </w:r>
    </w:p>
    <w:p w:rsidR="001E5A91" w:rsidRPr="009B7C69" w:rsidRDefault="001E5A91" w:rsidP="001E5A91">
      <w:pPr>
        <w:widowControl w:val="0"/>
      </w:pPr>
    </w:p>
    <w:p w:rsidR="001E5A91" w:rsidRPr="009B7C69" w:rsidRDefault="001E5A91" w:rsidP="001E5A91">
      <w:pPr>
        <w:widowControl w:val="0"/>
      </w:pPr>
      <w:r w:rsidRPr="009B7C69">
        <w:t>De acuerdo a la distribución de las faenas mineras, las demandas informadas se presentan en la cuenca del río Rapel.</w:t>
      </w:r>
    </w:p>
    <w:p w:rsidR="001E5A91" w:rsidRPr="009B7C69" w:rsidRDefault="001E5A91" w:rsidP="00B51B51">
      <w:pPr>
        <w:widowControl w:val="0"/>
      </w:pPr>
    </w:p>
    <w:p w:rsidR="001E5A91" w:rsidRPr="009B7C69" w:rsidRDefault="001E5A91" w:rsidP="00B51B51">
      <w:pPr>
        <w:widowControl w:val="0"/>
      </w:pPr>
    </w:p>
    <w:p w:rsidR="001E5A91" w:rsidRPr="009B7C69" w:rsidRDefault="001E5A91" w:rsidP="00B51B51">
      <w:pPr>
        <w:widowControl w:val="0"/>
      </w:pPr>
    </w:p>
    <w:p w:rsidR="007853F0" w:rsidRPr="009B7C69" w:rsidRDefault="007853F0" w:rsidP="00B51B51">
      <w:pPr>
        <w:pStyle w:val="Epgrafe"/>
        <w:widowControl w:val="0"/>
      </w:pPr>
      <w:r w:rsidRPr="009B7C69">
        <w:lastRenderedPageBreak/>
        <w:t xml:space="preserve"> </w:t>
      </w:r>
      <w:bookmarkStart w:id="402" w:name="_Ref336422390"/>
      <w:r w:rsidRPr="009B7C69">
        <w:t xml:space="preserve">Figura </w:t>
      </w:r>
      <w:r w:rsidR="00951FEC">
        <w:fldChar w:fldCharType="begin"/>
      </w:r>
      <w:r w:rsidR="00951FEC">
        <w:instrText xml:space="preserve"> STYLEREF 1 \s </w:instrText>
      </w:r>
      <w:r w:rsidR="00951FEC">
        <w:fldChar w:fldCharType="separate"/>
      </w:r>
      <w:r w:rsidR="00264070">
        <w:rPr>
          <w:noProof/>
        </w:rPr>
        <w:t>5</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64</w:t>
      </w:r>
      <w:r w:rsidR="00951FEC">
        <w:fldChar w:fldCharType="end"/>
      </w:r>
      <w:bookmarkEnd w:id="402"/>
      <w:r w:rsidRPr="009B7C69">
        <w:t xml:space="preserve"> Demanda de Agua para </w:t>
      </w:r>
      <w:smartTag w:uri="urn:schemas-microsoft-com:office:smarttags" w:element="PersonName">
        <w:smartTagPr>
          <w:attr w:name="ProductID" w:val="la Producción"/>
        </w:smartTagPr>
        <w:r w:rsidRPr="009B7C69">
          <w:t>la Producción</w:t>
        </w:r>
      </w:smartTag>
      <w:r w:rsidRPr="009B7C69">
        <w:t xml:space="preserve"> de Cobre</w:t>
      </w:r>
    </w:p>
    <w:p w:rsidR="007853F0" w:rsidRPr="009B7C69" w:rsidRDefault="00254CE2" w:rsidP="00B51B51">
      <w:pPr>
        <w:widowControl w:val="0"/>
        <w:jc w:val="center"/>
      </w:pPr>
      <w:r>
        <w:rPr>
          <w:noProof/>
          <w:lang w:val="es-CL" w:eastAsia="es-CL"/>
        </w:rPr>
        <w:drawing>
          <wp:inline distT="0" distB="0" distL="0" distR="0">
            <wp:extent cx="5465445" cy="2976880"/>
            <wp:effectExtent l="19050" t="19050" r="20955" b="1397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14:useLocalDpi xmlns:a14="http://schemas.microsoft.com/office/drawing/2010/main" val="0"/>
                        </a:ext>
                      </a:extLst>
                    </a:blip>
                    <a:srcRect l="4605" t="4585" r="987" b="6017"/>
                    <a:stretch>
                      <a:fillRect/>
                    </a:stretch>
                  </pic:blipFill>
                  <pic:spPr bwMode="auto">
                    <a:xfrm>
                      <a:off x="0" y="0"/>
                      <a:ext cx="5465445" cy="2976880"/>
                    </a:xfrm>
                    <a:prstGeom prst="rect">
                      <a:avLst/>
                    </a:prstGeom>
                    <a:noFill/>
                    <a:ln w="6350" cmpd="sng">
                      <a:solidFill>
                        <a:srgbClr val="000000"/>
                      </a:solidFill>
                      <a:miter lim="800000"/>
                      <a:headEnd/>
                      <a:tailEnd/>
                    </a:ln>
                    <a:effectLst/>
                  </pic:spPr>
                </pic:pic>
              </a:graphicData>
            </a:graphic>
          </wp:inline>
        </w:drawing>
      </w:r>
    </w:p>
    <w:p w:rsidR="007853F0" w:rsidRPr="009B7C69" w:rsidRDefault="007853F0" w:rsidP="00B51B51">
      <w:pPr>
        <w:pStyle w:val="Ttulo4Ttulo4"/>
        <w:keepNext w:val="0"/>
        <w:widowControl w:val="0"/>
      </w:pPr>
      <w:bookmarkStart w:id="403" w:name="_Toc338410212"/>
      <w:bookmarkStart w:id="404" w:name="_Toc344391840"/>
      <w:r w:rsidRPr="009B7C69">
        <w:t>Situación Proyectada</w:t>
      </w:r>
      <w:bookmarkEnd w:id="403"/>
      <w:bookmarkEnd w:id="404"/>
    </w:p>
    <w:p w:rsidR="007853F0" w:rsidRPr="009B7C69" w:rsidRDefault="007853F0" w:rsidP="00B51B51">
      <w:pPr>
        <w:widowControl w:val="0"/>
        <w:rPr>
          <w:sz w:val="18"/>
          <w:szCs w:val="18"/>
        </w:rPr>
      </w:pPr>
    </w:p>
    <w:p w:rsidR="007853F0" w:rsidRPr="009B7C69" w:rsidRDefault="007853F0" w:rsidP="00B51B51">
      <w:pPr>
        <w:widowControl w:val="0"/>
      </w:pPr>
      <w:r w:rsidRPr="009B7C69">
        <w:t>A objeto de cuantificar la proyección de las demandas mineras al año 2030 se tomó como referencia las estimaciones formuladas por COCHILCO y que han sido informadas en el punto anterior.</w:t>
      </w:r>
    </w:p>
    <w:p w:rsidR="007853F0" w:rsidRPr="009B7C69" w:rsidRDefault="007853F0" w:rsidP="00B51B51">
      <w:pPr>
        <w:widowControl w:val="0"/>
      </w:pPr>
    </w:p>
    <w:p w:rsidR="007853F0" w:rsidRPr="009B7C69" w:rsidRDefault="007853F0" w:rsidP="00B51B51">
      <w:pPr>
        <w:widowControl w:val="0"/>
      </w:pPr>
      <w:r w:rsidRPr="009B7C69">
        <w:t>De acuerdo a este estudio las demandas de aguas proyectadas hasta el año 2020 ascenderían a 65,7 millones de m</w:t>
      </w:r>
      <w:r w:rsidRPr="009B7C69">
        <w:rPr>
          <w:szCs w:val="22"/>
          <w:vertAlign w:val="superscript"/>
        </w:rPr>
        <w:t>3</w:t>
      </w:r>
      <w:r w:rsidRPr="009B7C69">
        <w:t>, equivalentes a 2.083,3 l/s.</w:t>
      </w:r>
    </w:p>
    <w:p w:rsidR="007853F0" w:rsidRPr="009B7C69" w:rsidRDefault="007853F0" w:rsidP="00B51B51">
      <w:pPr>
        <w:widowControl w:val="0"/>
      </w:pPr>
    </w:p>
    <w:p w:rsidR="007853F0" w:rsidRPr="009B7C69" w:rsidRDefault="007853F0" w:rsidP="00B51B51">
      <w:pPr>
        <w:widowControl w:val="0"/>
      </w:pPr>
      <w:r w:rsidRPr="009B7C69">
        <w:t xml:space="preserve">De acuerdo a </w:t>
      </w:r>
      <w:smartTag w:uri="urn:schemas-microsoft-com:office:smarttags" w:element="PersonName">
        <w:smartTagPr>
          <w:attr w:name="ProductID" w:val="la ￼￼￼￼￼￼￼￼￼￼￼￼￼￼￼￼￼￼￼￼￼￼￼￼￼Figura"/>
        </w:smartTagPr>
        <w:r w:rsidRPr="009B7C69">
          <w:t xml:space="preserve">la </w:t>
        </w:r>
        <w:r w:rsidRPr="009B7C69">
          <w:fldChar w:fldCharType="begin"/>
        </w:r>
        <w:r w:rsidRPr="009B7C69">
          <w:instrText xml:space="preserve"> REF _Ref336422390 \h </w:instrText>
        </w:r>
        <w:r w:rsidRPr="009B7C69">
          <w:instrText xml:space="preserve"> \* MERGEFORMAT </w:instrText>
        </w:r>
        <w:r w:rsidRPr="009B7C69">
          <w:fldChar w:fldCharType="separate"/>
        </w:r>
        <w:r w:rsidR="00264070" w:rsidRPr="009B7C69">
          <w:t>Figura</w:t>
        </w:r>
      </w:smartTag>
      <w:r w:rsidR="00264070" w:rsidRPr="009B7C69">
        <w:t xml:space="preserve"> </w:t>
      </w:r>
      <w:r w:rsidR="00264070">
        <w:rPr>
          <w:noProof/>
        </w:rPr>
        <w:t>5.64</w:t>
      </w:r>
      <w:r w:rsidRPr="009B7C69">
        <w:fldChar w:fldCharType="end"/>
      </w:r>
      <w:r w:rsidRPr="009B7C69">
        <w:t xml:space="preserve"> se puede observar 2 períodos claros, el primero de 2009 al 2014 en el que hay un aumento gradual en la demanda de agua fresca año a año para la producción de concentrados de cobre, que se explicaría principalmente por la proyección de una mayor producción de concentrados de El Teniente y por tanto mayor demanda de agua en ese período. El otro período destacable es a partir del 2015 al 2020 y a diferencia del período anterior, se proyecta habría una gradual reducción en la demanda de agua. Esta disminución se debería fundamentalmente a las estimaciones de una menor producción de concentrados en esa Región.</w:t>
      </w:r>
    </w:p>
    <w:p w:rsidR="007853F0" w:rsidRPr="009B7C69" w:rsidRDefault="007853F0" w:rsidP="00B51B51">
      <w:pPr>
        <w:widowControl w:val="0"/>
      </w:pPr>
    </w:p>
    <w:p w:rsidR="007853F0" w:rsidRPr="009B7C69" w:rsidRDefault="007853F0" w:rsidP="00B51B51">
      <w:pPr>
        <w:widowControl w:val="0"/>
      </w:pPr>
      <w:r w:rsidRPr="009B7C69">
        <w:t>Dada esta situación y considerando un criterio conservador se ha adoptado que la demanda al año 2030 será similar a la proyectada al año 2020.</w:t>
      </w:r>
    </w:p>
    <w:p w:rsidR="001E5A91" w:rsidRPr="009B7C69" w:rsidRDefault="001E5A91" w:rsidP="00B51B51">
      <w:pPr>
        <w:widowControl w:val="0"/>
      </w:pPr>
    </w:p>
    <w:p w:rsidR="00AA7A84" w:rsidRPr="009B7C69" w:rsidRDefault="00AA7A84" w:rsidP="00AA7A84">
      <w:r w:rsidRPr="009B7C69">
        <w:t>A modo de resumen en las Figuras siguientes se grafican las demandas mineras para los 2 escenarios.</w:t>
      </w:r>
    </w:p>
    <w:p w:rsidR="00AA7A84" w:rsidRPr="009B7C69" w:rsidRDefault="00AA7A84" w:rsidP="00B51B51">
      <w:pPr>
        <w:widowControl w:val="0"/>
      </w:pPr>
    </w:p>
    <w:p w:rsidR="008A4471" w:rsidRPr="009B7C69" w:rsidRDefault="008A4471" w:rsidP="00B51B51">
      <w:pPr>
        <w:widowControl w:val="0"/>
      </w:pPr>
    </w:p>
    <w:p w:rsidR="008A4471" w:rsidRPr="009B7C69" w:rsidRDefault="008A4471" w:rsidP="00B51B51">
      <w:pPr>
        <w:widowControl w:val="0"/>
      </w:pPr>
    </w:p>
    <w:p w:rsidR="008A4471" w:rsidRPr="009B7C69" w:rsidRDefault="008A4471" w:rsidP="00B51B51">
      <w:pPr>
        <w:widowControl w:val="0"/>
      </w:pPr>
    </w:p>
    <w:p w:rsidR="008A4471" w:rsidRPr="009B7C69" w:rsidRDefault="008A4471" w:rsidP="00B51B51">
      <w:pPr>
        <w:widowControl w:val="0"/>
      </w:pPr>
    </w:p>
    <w:p w:rsidR="008A4471" w:rsidRPr="009B7C69" w:rsidRDefault="009B7C69" w:rsidP="008A4471">
      <w:pPr>
        <w:jc w:val="center"/>
        <w:rPr>
          <w:rFonts w:cs="Arial"/>
          <w:b/>
          <w:bCs/>
          <w:noProof/>
          <w:spacing w:val="-3"/>
        </w:rPr>
      </w:pPr>
      <w:r w:rsidRPr="009B7C69">
        <w:rPr>
          <w:b/>
        </w:rPr>
        <w:br w:type="page"/>
      </w:r>
      <w:r w:rsidR="008A4471" w:rsidRPr="009B7C69">
        <w:rPr>
          <w:b/>
        </w:rPr>
        <w:lastRenderedPageBreak/>
        <w:t xml:space="preserve">Figura </w:t>
      </w:r>
      <w:r w:rsidR="00951FEC">
        <w:rPr>
          <w:b/>
        </w:rPr>
        <w:fldChar w:fldCharType="begin"/>
      </w:r>
      <w:r w:rsidR="00951FEC">
        <w:rPr>
          <w:b/>
        </w:rPr>
        <w:instrText xml:space="preserve"> STYLEREF 1 \s </w:instrText>
      </w:r>
      <w:r w:rsidR="00951FEC">
        <w:rPr>
          <w:b/>
        </w:rPr>
        <w:fldChar w:fldCharType="separate"/>
      </w:r>
      <w:r w:rsidR="00264070">
        <w:rPr>
          <w:b/>
          <w:noProof/>
        </w:rPr>
        <w:t>5</w:t>
      </w:r>
      <w:r w:rsidR="00951FEC">
        <w:rPr>
          <w:b/>
        </w:rPr>
        <w:fldChar w:fldCharType="end"/>
      </w:r>
      <w:r w:rsidR="00951FEC">
        <w:rPr>
          <w:b/>
        </w:rPr>
        <w:t>.</w:t>
      </w:r>
      <w:r w:rsidR="00951FEC">
        <w:rPr>
          <w:b/>
        </w:rPr>
        <w:fldChar w:fldCharType="begin"/>
      </w:r>
      <w:r w:rsidR="00951FEC">
        <w:rPr>
          <w:b/>
        </w:rPr>
        <w:instrText xml:space="preserve"> SEQ Figura \* ARABIC \s 1 </w:instrText>
      </w:r>
      <w:r w:rsidR="00951FEC">
        <w:rPr>
          <w:b/>
        </w:rPr>
        <w:fldChar w:fldCharType="separate"/>
      </w:r>
      <w:r w:rsidR="00264070">
        <w:rPr>
          <w:b/>
          <w:noProof/>
        </w:rPr>
        <w:t>65</w:t>
      </w:r>
      <w:r w:rsidR="00951FEC">
        <w:rPr>
          <w:b/>
        </w:rPr>
        <w:fldChar w:fldCharType="end"/>
      </w:r>
      <w:r w:rsidR="008A4471" w:rsidRPr="009B7C69">
        <w:rPr>
          <w:b/>
        </w:rPr>
        <w:t xml:space="preserve">  Demandas Mineras, Situación Actual y Futura</w:t>
      </w:r>
    </w:p>
    <w:p w:rsidR="008A4471" w:rsidRPr="009B7C69" w:rsidRDefault="00254CE2" w:rsidP="00B51B51">
      <w:pPr>
        <w:widowControl w:val="0"/>
      </w:pPr>
      <w:r>
        <w:rPr>
          <w:noProof/>
          <w:lang w:val="es-CL" w:eastAsia="es-CL"/>
        </w:rPr>
        <w:drawing>
          <wp:inline distT="0" distB="0" distL="0" distR="0">
            <wp:extent cx="5784215" cy="3136900"/>
            <wp:effectExtent l="0" t="0" r="0" b="635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84215" cy="3136900"/>
                    </a:xfrm>
                    <a:prstGeom prst="rect">
                      <a:avLst/>
                    </a:prstGeom>
                    <a:noFill/>
                    <a:ln>
                      <a:noFill/>
                    </a:ln>
                  </pic:spPr>
                </pic:pic>
              </a:graphicData>
            </a:graphic>
          </wp:inline>
        </w:drawing>
      </w:r>
    </w:p>
    <w:p w:rsidR="008A4471" w:rsidRPr="009B7C69" w:rsidRDefault="008A4471" w:rsidP="008A4471">
      <w:pPr>
        <w:pStyle w:val="Ttulo3"/>
        <w:numPr>
          <w:ilvl w:val="0"/>
          <w:numId w:val="0"/>
        </w:numPr>
      </w:pPr>
    </w:p>
    <w:p w:rsidR="007853F0" w:rsidRPr="009B7C69" w:rsidRDefault="007853F0" w:rsidP="001E5A91">
      <w:pPr>
        <w:pStyle w:val="Ttulo3"/>
      </w:pPr>
      <w:bookmarkStart w:id="405" w:name="_Toc344391841"/>
      <w:r w:rsidRPr="009B7C69">
        <w:t>Generación Eléctrica</w:t>
      </w:r>
      <w:bookmarkEnd w:id="405"/>
    </w:p>
    <w:p w:rsidR="007853F0" w:rsidRPr="009B7C69" w:rsidRDefault="007853F0" w:rsidP="00B51B51">
      <w:pPr>
        <w:widowControl w:val="0"/>
      </w:pPr>
    </w:p>
    <w:p w:rsidR="007853F0" w:rsidRPr="009B7C69" w:rsidRDefault="007853F0" w:rsidP="00B51B51">
      <w:pPr>
        <w:widowControl w:val="0"/>
        <w:rPr>
          <w:rFonts w:cs="Arial"/>
          <w:szCs w:val="22"/>
        </w:rPr>
      </w:pPr>
      <w:r w:rsidRPr="009B7C69">
        <w:t xml:space="preserve">Con el </w:t>
      </w:r>
      <w:r w:rsidRPr="009B7C69">
        <w:rPr>
          <w:rFonts w:cs="Arial"/>
          <w:szCs w:val="22"/>
        </w:rPr>
        <w:t xml:space="preserve">objeto de caracterizar las demandas históricas de agua por concepto de generación hidroeléctrica, se revisaron antecedentes provenientes del Centro de Despacho Económico de Carga, </w:t>
      </w:r>
      <w:smartTag w:uri="urn:schemas-microsoft-com:office:smarttags" w:element="PersonName">
        <w:smartTagPr>
          <w:attr w:name="ProductID" w:val="la Sofofa"/>
        </w:smartTagPr>
        <w:r w:rsidRPr="009B7C69">
          <w:rPr>
            <w:rFonts w:cs="Arial"/>
            <w:szCs w:val="22"/>
          </w:rPr>
          <w:t>la Sofofa</w:t>
        </w:r>
      </w:smartTag>
      <w:r w:rsidRPr="009B7C69">
        <w:rPr>
          <w:rFonts w:cs="Arial"/>
          <w:szCs w:val="22"/>
        </w:rPr>
        <w:t>, estudios previos y los sitios web de las centrales existentes.</w:t>
      </w:r>
    </w:p>
    <w:p w:rsidR="007853F0" w:rsidRPr="009B7C69" w:rsidRDefault="007853F0" w:rsidP="00B51B51">
      <w:pPr>
        <w:widowControl w:val="0"/>
        <w:rPr>
          <w:rFonts w:cs="Arial"/>
          <w:szCs w:val="22"/>
        </w:rPr>
      </w:pPr>
    </w:p>
    <w:p w:rsidR="007853F0" w:rsidRPr="009B7C69" w:rsidRDefault="007853F0" w:rsidP="00B51B51">
      <w:pPr>
        <w:widowControl w:val="0"/>
        <w:rPr>
          <w:rFonts w:cs="Arial"/>
          <w:szCs w:val="22"/>
        </w:rPr>
      </w:pPr>
      <w:r w:rsidRPr="009B7C69">
        <w:rPr>
          <w:rFonts w:cs="Arial"/>
          <w:szCs w:val="22"/>
        </w:rPr>
        <w:t xml:space="preserve">En la región de O´Higgins, la mayoría de las centrales hidroeléctricas se encuentra en la cuenca del río Cachapoal Alto, en donde existe una gran cantidad de recursos hídricos disponibles en período de deshielo, los cuales son utilizados para generación mediante centrales de pasada. A fines del año 2010, en la cuenca del río Tinguiririca Alto iniciaron su funcionamiento las centrales de pasada </w:t>
      </w:r>
      <w:smartTag w:uri="urn:schemas-microsoft-com:office:smarttags" w:element="PersonName">
        <w:smartTagPr>
          <w:attr w:name="ProductID" w:val="La Higuera"/>
        </w:smartTagPr>
        <w:r w:rsidRPr="009B7C69">
          <w:rPr>
            <w:rFonts w:cs="Arial"/>
            <w:szCs w:val="22"/>
          </w:rPr>
          <w:t>La Higuera</w:t>
        </w:r>
      </w:smartTag>
      <w:r w:rsidRPr="009B7C69">
        <w:rPr>
          <w:rFonts w:cs="Arial"/>
          <w:szCs w:val="22"/>
        </w:rPr>
        <w:t xml:space="preserve"> y </w:t>
      </w:r>
      <w:smartTag w:uri="urn:schemas-microsoft-com:office:smarttags" w:element="PersonName">
        <w:smartTagPr>
          <w:attr w:name="ProductID" w:val="La Confluencia"/>
        </w:smartTagPr>
        <w:r w:rsidRPr="009B7C69">
          <w:rPr>
            <w:rFonts w:cs="Arial"/>
            <w:szCs w:val="22"/>
          </w:rPr>
          <w:t>La Confluencia</w:t>
        </w:r>
      </w:smartTag>
      <w:r w:rsidRPr="009B7C69">
        <w:rPr>
          <w:rFonts w:cs="Arial"/>
          <w:szCs w:val="22"/>
        </w:rPr>
        <w:t>, desarrollando el potencial hidroeléctrico de esta zona, la cual no había sido explotada hasta la actualidad.</w:t>
      </w:r>
    </w:p>
    <w:p w:rsidR="007853F0" w:rsidRPr="009B7C69" w:rsidRDefault="007853F0" w:rsidP="00B51B51">
      <w:pPr>
        <w:widowControl w:val="0"/>
        <w:rPr>
          <w:rFonts w:cs="Arial"/>
          <w:szCs w:val="22"/>
        </w:rPr>
      </w:pPr>
    </w:p>
    <w:p w:rsidR="007853F0" w:rsidRPr="009B7C69" w:rsidRDefault="007853F0" w:rsidP="00B51B51">
      <w:pPr>
        <w:widowControl w:val="0"/>
        <w:rPr>
          <w:rFonts w:cs="Arial"/>
          <w:szCs w:val="22"/>
        </w:rPr>
      </w:pPr>
      <w:r w:rsidRPr="009B7C69">
        <w:rPr>
          <w:rFonts w:cs="Arial"/>
          <w:szCs w:val="22"/>
        </w:rPr>
        <w:t>Sin embargo, la central más importante de la región corresponde al embalse Rapel, el cual recibe las aguas provenientes de los ríos Cachapoal, Tinguiririca y el estero Alhué. Su caudal de diseño corresponde a 535 m</w:t>
      </w:r>
      <w:r w:rsidRPr="009B7C69">
        <w:rPr>
          <w:rFonts w:cs="Arial"/>
          <w:szCs w:val="22"/>
          <w:vertAlign w:val="superscript"/>
        </w:rPr>
        <w:t>3</w:t>
      </w:r>
      <w:r w:rsidRPr="009B7C69">
        <w:rPr>
          <w:rFonts w:cs="Arial"/>
          <w:szCs w:val="22"/>
        </w:rPr>
        <w:t>/s.</w:t>
      </w:r>
    </w:p>
    <w:p w:rsidR="007853F0" w:rsidRPr="009B7C69" w:rsidRDefault="007853F0" w:rsidP="00B51B51">
      <w:pPr>
        <w:widowControl w:val="0"/>
        <w:rPr>
          <w:rFonts w:cs="Arial"/>
          <w:szCs w:val="22"/>
        </w:rPr>
      </w:pPr>
    </w:p>
    <w:p w:rsidR="007853F0" w:rsidRPr="009B7C69" w:rsidRDefault="007853F0" w:rsidP="00B51B51">
      <w:pPr>
        <w:widowControl w:val="0"/>
        <w:rPr>
          <w:rFonts w:cs="Arial"/>
          <w:szCs w:val="22"/>
        </w:rPr>
      </w:pPr>
      <w:smartTag w:uri="urn:schemas-microsoft-com:office:smarttags" w:element="PersonName">
        <w:smartTagPr>
          <w:attr w:name="ProductID" w:val="la ￼￼￼￼￼￼￼￼￼￼￼￼￼￼￼￼￼￼￼￼￼￼￼￼￼￼￼￼￼￼￼￼￼￼￼￼￼￼￼￼￼Tabla"/>
        </w:smartTagPr>
        <w:r w:rsidRPr="009B7C69">
          <w:rPr>
            <w:rFonts w:cs="Arial"/>
            <w:szCs w:val="22"/>
          </w:rPr>
          <w:t>L</w:t>
        </w:r>
        <w:r w:rsidR="00AE103B">
          <w:rPr>
            <w:rFonts w:cs="Arial"/>
            <w:szCs w:val="22"/>
          </w:rPr>
          <w:t xml:space="preserve">a </w:t>
        </w:r>
        <w:r w:rsidR="00AE103B">
          <w:rPr>
            <w:rFonts w:cs="Arial"/>
            <w:szCs w:val="22"/>
          </w:rPr>
          <w:fldChar w:fldCharType="begin"/>
        </w:r>
        <w:r w:rsidR="00AE103B">
          <w:rPr>
            <w:rFonts w:cs="Arial"/>
            <w:szCs w:val="22"/>
          </w:rPr>
          <w:instrText xml:space="preserve"> REF _Ref337804772 \h </w:instrText>
        </w:r>
        <w:r w:rsidR="00AE103B">
          <w:rPr>
            <w:rFonts w:cs="Arial"/>
            <w:szCs w:val="22"/>
          </w:rPr>
        </w:r>
        <w:r w:rsidR="00AE103B">
          <w:rPr>
            <w:rFonts w:cs="Arial"/>
            <w:szCs w:val="22"/>
          </w:rPr>
          <w:fldChar w:fldCharType="separate"/>
        </w:r>
        <w:r w:rsidR="00264070" w:rsidRPr="009B7C69">
          <w:t>Tabla</w:t>
        </w:r>
      </w:smartTag>
      <w:r w:rsidR="00264070" w:rsidRPr="009B7C69">
        <w:t xml:space="preserve"> </w:t>
      </w:r>
      <w:r w:rsidR="00264070">
        <w:rPr>
          <w:noProof/>
        </w:rPr>
        <w:t>5</w:t>
      </w:r>
      <w:r w:rsidR="00264070">
        <w:t>.</w:t>
      </w:r>
      <w:r w:rsidR="00264070">
        <w:rPr>
          <w:noProof/>
        </w:rPr>
        <w:t>110</w:t>
      </w:r>
      <w:r w:rsidR="00AE103B">
        <w:rPr>
          <w:rFonts w:cs="Arial"/>
          <w:szCs w:val="22"/>
        </w:rPr>
        <w:fldChar w:fldCharType="end"/>
      </w:r>
      <w:r w:rsidR="00D544B9" w:rsidRPr="009B7C69">
        <w:rPr>
          <w:rFonts w:cs="Arial"/>
          <w:szCs w:val="22"/>
        </w:rPr>
        <w:t xml:space="preserve"> </w:t>
      </w:r>
      <w:r w:rsidR="00AA7A84" w:rsidRPr="009B7C69">
        <w:rPr>
          <w:rFonts w:cs="Arial"/>
          <w:szCs w:val="22"/>
        </w:rPr>
        <w:t>muestra</w:t>
      </w:r>
      <w:r w:rsidRPr="009B7C69">
        <w:rPr>
          <w:rFonts w:cs="Arial"/>
          <w:szCs w:val="22"/>
        </w:rPr>
        <w:t xml:space="preserve"> un listado con las principales características de las centrales hidroeléctricas existentes en la región.</w:t>
      </w:r>
    </w:p>
    <w:p w:rsidR="007853F0" w:rsidRPr="009B7C69" w:rsidRDefault="007853F0" w:rsidP="00B51B51">
      <w:pPr>
        <w:widowControl w:val="0"/>
        <w:rPr>
          <w:rFonts w:cs="Arial"/>
          <w:szCs w:val="22"/>
        </w:rPr>
      </w:pPr>
    </w:p>
    <w:p w:rsidR="007853F0" w:rsidRPr="009B7C69" w:rsidRDefault="007853F0" w:rsidP="00B51B51">
      <w:pPr>
        <w:pStyle w:val="Epgrafe"/>
        <w:widowControl w:val="0"/>
      </w:pPr>
      <w:bookmarkStart w:id="406" w:name="_Ref337804772"/>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110</w:t>
      </w:r>
      <w:r w:rsidR="007F3102">
        <w:fldChar w:fldCharType="end"/>
      </w:r>
      <w:bookmarkEnd w:id="406"/>
      <w:r w:rsidRPr="009B7C69">
        <w:t xml:space="preserve"> Centrales Hidroeléctricas del SIC y sus Características</w:t>
      </w:r>
    </w:p>
    <w:tbl>
      <w:tblPr>
        <w:tblW w:w="7052" w:type="dxa"/>
        <w:jc w:val="center"/>
        <w:tblCellMar>
          <w:left w:w="70" w:type="dxa"/>
          <w:right w:w="70" w:type="dxa"/>
        </w:tblCellMar>
        <w:tblLook w:val="04A0" w:firstRow="1" w:lastRow="0" w:firstColumn="1" w:lastColumn="0" w:noHBand="0" w:noVBand="1"/>
      </w:tblPr>
      <w:tblGrid>
        <w:gridCol w:w="1480"/>
        <w:gridCol w:w="1172"/>
        <w:gridCol w:w="1040"/>
        <w:gridCol w:w="1120"/>
        <w:gridCol w:w="1120"/>
        <w:gridCol w:w="1120"/>
      </w:tblGrid>
      <w:tr w:rsidR="007853F0" w:rsidRPr="009B7C69">
        <w:trPr>
          <w:trHeight w:val="184"/>
          <w:jc w:val="center"/>
        </w:trPr>
        <w:tc>
          <w:tcPr>
            <w:tcW w:w="14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Nombre Central</w:t>
            </w:r>
          </w:p>
        </w:tc>
        <w:tc>
          <w:tcPr>
            <w:tcW w:w="11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Propietario</w:t>
            </w:r>
          </w:p>
        </w:tc>
        <w:tc>
          <w:tcPr>
            <w:tcW w:w="10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 xml:space="preserve">Tipo </w:t>
            </w:r>
          </w:p>
        </w:tc>
        <w:tc>
          <w:tcPr>
            <w:tcW w:w="112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Gasto Central [m³/s]</w:t>
            </w:r>
          </w:p>
        </w:tc>
        <w:tc>
          <w:tcPr>
            <w:tcW w:w="112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Altura Caída [m]</w:t>
            </w:r>
          </w:p>
        </w:tc>
        <w:tc>
          <w:tcPr>
            <w:tcW w:w="112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853F0" w:rsidRPr="009B7C69" w:rsidRDefault="007853F0" w:rsidP="00B51B51">
            <w:pPr>
              <w:widowControl w:val="0"/>
              <w:jc w:val="center"/>
              <w:rPr>
                <w:rFonts w:cs="Arial"/>
                <w:b/>
                <w:bCs/>
                <w:sz w:val="16"/>
                <w:szCs w:val="16"/>
                <w:lang w:val="es-CL" w:eastAsia="es-CL"/>
              </w:rPr>
            </w:pPr>
            <w:r w:rsidRPr="009B7C69">
              <w:rPr>
                <w:rFonts w:cs="Arial"/>
                <w:b/>
                <w:bCs/>
                <w:sz w:val="16"/>
                <w:szCs w:val="16"/>
                <w:lang w:val="es-CL" w:eastAsia="es-CL"/>
              </w:rPr>
              <w:t>Potencia Instalada [MW]</w:t>
            </w:r>
          </w:p>
        </w:tc>
      </w:tr>
      <w:tr w:rsidR="007853F0" w:rsidRPr="009B7C69">
        <w:trPr>
          <w:trHeight w:val="184"/>
          <w:jc w:val="center"/>
        </w:trPr>
        <w:tc>
          <w:tcPr>
            <w:tcW w:w="148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72"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04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r>
      <w:tr w:rsidR="007853F0" w:rsidRPr="009B7C69">
        <w:trPr>
          <w:trHeight w:val="184"/>
          <w:jc w:val="center"/>
        </w:trPr>
        <w:tc>
          <w:tcPr>
            <w:tcW w:w="148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72"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04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c>
          <w:tcPr>
            <w:tcW w:w="1120" w:type="dxa"/>
            <w:vMerge/>
            <w:tcBorders>
              <w:top w:val="single" w:sz="4" w:space="0" w:color="auto"/>
              <w:left w:val="single" w:sz="4" w:space="0" w:color="auto"/>
              <w:bottom w:val="single" w:sz="4" w:space="0" w:color="000000"/>
              <w:right w:val="single" w:sz="4" w:space="0" w:color="auto"/>
            </w:tcBorders>
            <w:vAlign w:val="center"/>
          </w:tcPr>
          <w:p w:rsidR="007853F0" w:rsidRPr="009B7C69" w:rsidRDefault="007853F0" w:rsidP="00B51B51">
            <w:pPr>
              <w:widowControl w:val="0"/>
              <w:jc w:val="left"/>
              <w:rPr>
                <w:rFonts w:cs="Arial"/>
                <w:b/>
                <w:bCs/>
                <w:sz w:val="16"/>
                <w:szCs w:val="16"/>
                <w:lang w:val="es-CL" w:eastAsia="es-CL"/>
              </w:rPr>
            </w:pP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Rapel</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ENDESA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Embalse</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535,1</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76,0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378,0</w:t>
            </w: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Sauzal</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ENDESA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73,5</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118,0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76,8</w:t>
            </w: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Sauzalito</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ENDESA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45,0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25,0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12,0</w:t>
            </w: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Coya</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Pacific Hydro</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9,0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137,0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11,0</w:t>
            </w: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Pangal</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Pacific Hydro</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La Higuera</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SN Power</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50,0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372,0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155,0</w:t>
            </w:r>
          </w:p>
        </w:tc>
      </w:tr>
      <w:tr w:rsidR="007853F0" w:rsidRPr="009B7C69">
        <w:trPr>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La Confluencia</w:t>
            </w:r>
          </w:p>
        </w:tc>
        <w:tc>
          <w:tcPr>
            <w:tcW w:w="1172"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SN Power</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52,5</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344,0</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16"/>
                <w:lang w:val="es-CL" w:eastAsia="es-CL"/>
              </w:rPr>
            </w:pPr>
            <w:r w:rsidRPr="009B7C69">
              <w:rPr>
                <w:rFonts w:cs="Arial"/>
                <w:color w:val="000000"/>
                <w:sz w:val="16"/>
                <w:szCs w:val="16"/>
                <w:lang w:val="es-CL" w:eastAsia="es-CL"/>
              </w:rPr>
              <w:t>156,0</w:t>
            </w:r>
          </w:p>
        </w:tc>
      </w:tr>
    </w:tbl>
    <w:p w:rsidR="007853F0" w:rsidRPr="009B7C69" w:rsidRDefault="007853F0" w:rsidP="00B51B51">
      <w:pPr>
        <w:widowControl w:val="0"/>
      </w:pPr>
      <w:bookmarkStart w:id="407" w:name="_Toc338410213"/>
      <w:r w:rsidRPr="009B7C69">
        <w:lastRenderedPageBreak/>
        <w:t xml:space="preserve">Según el Mapa Energético de Chile elaborado por </w:t>
      </w:r>
      <w:smartTag w:uri="urn:schemas-microsoft-com:office:smarttags" w:element="PersonName">
        <w:smartTagPr>
          <w:attr w:name="ProductID" w:val="la Sofofa"/>
        </w:smartTagPr>
        <w:r w:rsidRPr="009B7C69">
          <w:t>la SOFOFA</w:t>
        </w:r>
      </w:smartTag>
      <w:r w:rsidRPr="009B7C69">
        <w:t xml:space="preserve"> (2010), en la región de O’Higgins existen 3 nuevas centrales hidroeléctricas “por ejecutar”: San Andrés y El Paso en la parte alta de la cuenca del Tinguiririca y Nido de Águila en la cuenca del río Cachapoal. Las principales características de estas centrales se muestran en </w:t>
      </w:r>
      <w:smartTag w:uri="urn:schemas-microsoft-com:office:smarttags" w:element="PersonName">
        <w:smartTagPr>
          <w:attr w:name="ProductID" w:val="la ￼￼￼￼￼￼￼￼￼￼￼￼￼￼￼￼￼￼￼￼￼￼￼￼￼￼￼￼￼￼￼￼￼￼￼￼￼￼￼￼￼Tabla"/>
        </w:smartTagPr>
        <w:r w:rsidRPr="009B7C69">
          <w:t xml:space="preserve">la </w:t>
        </w:r>
        <w:r w:rsidRPr="009B7C69">
          <w:fldChar w:fldCharType="begin"/>
        </w:r>
        <w:r w:rsidRPr="009B7C69">
          <w:instrText xml:space="preserve"> REF _Ref337819745 \h </w:instrText>
        </w:r>
        <w:r w:rsidRPr="009B7C69">
          <w:instrText xml:space="preserve"> \* MERGEFORMAT </w:instrText>
        </w:r>
        <w:r w:rsidRPr="009B7C69">
          <w:fldChar w:fldCharType="separate"/>
        </w:r>
        <w:r w:rsidR="00264070" w:rsidRPr="009B7C69">
          <w:t>Tabla</w:t>
        </w:r>
      </w:smartTag>
      <w:r w:rsidR="00264070" w:rsidRPr="009B7C69">
        <w:t xml:space="preserve"> </w:t>
      </w:r>
      <w:r w:rsidR="00264070">
        <w:rPr>
          <w:noProof/>
        </w:rPr>
        <w:t>5.111</w:t>
      </w:r>
      <w:r w:rsidRPr="009B7C69">
        <w:fldChar w:fldCharType="end"/>
      </w:r>
      <w:r w:rsidRPr="009B7C69">
        <w:t>.</w:t>
      </w:r>
    </w:p>
    <w:p w:rsidR="007853F0" w:rsidRPr="009B7C69" w:rsidRDefault="007853F0" w:rsidP="00B51B51">
      <w:pPr>
        <w:widowControl w:val="0"/>
      </w:pPr>
    </w:p>
    <w:p w:rsidR="007853F0" w:rsidRPr="009B7C69" w:rsidRDefault="007853F0" w:rsidP="00B51B51">
      <w:pPr>
        <w:pStyle w:val="Epgrafe"/>
        <w:widowControl w:val="0"/>
      </w:pPr>
      <w:bookmarkStart w:id="408" w:name="_Ref337819745"/>
      <w:r w:rsidRPr="009B7C69">
        <w:t xml:space="preserve">Tabla </w:t>
      </w:r>
      <w:r w:rsidR="007F3102">
        <w:fldChar w:fldCharType="begin"/>
      </w:r>
      <w:r w:rsidR="007F3102">
        <w:instrText xml:space="preserve"> STYLEREF 1 \s </w:instrText>
      </w:r>
      <w:r w:rsidR="007F3102">
        <w:fldChar w:fldCharType="separate"/>
      </w:r>
      <w:r w:rsidR="00264070">
        <w:rPr>
          <w:noProof/>
        </w:rPr>
        <w:t>5</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111</w:t>
      </w:r>
      <w:r w:rsidR="007F3102">
        <w:fldChar w:fldCharType="end"/>
      </w:r>
      <w:bookmarkEnd w:id="408"/>
      <w:r w:rsidRPr="009B7C69">
        <w:t xml:space="preserve"> Características Centrales Hidroeléctricas por Ejecutar</w:t>
      </w:r>
    </w:p>
    <w:tbl>
      <w:tblPr>
        <w:tblW w:w="7808" w:type="dxa"/>
        <w:jc w:val="center"/>
        <w:tblInd w:w="49" w:type="dxa"/>
        <w:tblCellMar>
          <w:left w:w="70" w:type="dxa"/>
          <w:right w:w="70" w:type="dxa"/>
        </w:tblCellMar>
        <w:tblLook w:val="04A0" w:firstRow="1" w:lastRow="0" w:firstColumn="1" w:lastColumn="0" w:noHBand="0" w:noVBand="1"/>
      </w:tblPr>
      <w:tblGrid>
        <w:gridCol w:w="1480"/>
        <w:gridCol w:w="1928"/>
        <w:gridCol w:w="1040"/>
        <w:gridCol w:w="1120"/>
        <w:gridCol w:w="1120"/>
        <w:gridCol w:w="1120"/>
      </w:tblGrid>
      <w:tr w:rsidR="007853F0" w:rsidRPr="009B7C69">
        <w:trPr>
          <w:trHeight w:val="255"/>
          <w:jc w:val="center"/>
        </w:trPr>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Nombre Central</w:t>
            </w:r>
          </w:p>
        </w:tc>
        <w:tc>
          <w:tcPr>
            <w:tcW w:w="19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Propietario</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 xml:space="preserve">Tipo </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Gasto Central [m³/s]</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Altura Caída [m]</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853F0" w:rsidRPr="009B7C69" w:rsidRDefault="007853F0" w:rsidP="00B51B51">
            <w:pPr>
              <w:widowControl w:val="0"/>
              <w:jc w:val="center"/>
              <w:rPr>
                <w:rFonts w:cs="Arial"/>
                <w:b/>
                <w:bCs/>
                <w:sz w:val="16"/>
                <w:szCs w:val="20"/>
                <w:lang w:val="es-CL" w:eastAsia="es-CL"/>
              </w:rPr>
            </w:pPr>
            <w:r w:rsidRPr="009B7C69">
              <w:rPr>
                <w:rFonts w:cs="Arial"/>
                <w:b/>
                <w:bCs/>
                <w:sz w:val="16"/>
                <w:szCs w:val="20"/>
                <w:lang w:val="es-CL" w:eastAsia="es-CL"/>
              </w:rPr>
              <w:t>Potencia Instalada [MW]</w:t>
            </w:r>
          </w:p>
        </w:tc>
      </w:tr>
      <w:tr w:rsidR="007853F0" w:rsidRPr="009B7C69">
        <w:trPr>
          <w:trHeight w:val="255"/>
          <w:jc w:val="center"/>
        </w:trPr>
        <w:tc>
          <w:tcPr>
            <w:tcW w:w="148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928"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04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r>
      <w:tr w:rsidR="007853F0" w:rsidRPr="009B7C69">
        <w:trPr>
          <w:trHeight w:val="255"/>
          <w:jc w:val="center"/>
        </w:trPr>
        <w:tc>
          <w:tcPr>
            <w:tcW w:w="148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928"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04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7853F0" w:rsidRPr="009B7C69" w:rsidRDefault="007853F0" w:rsidP="00B51B51">
            <w:pPr>
              <w:widowControl w:val="0"/>
              <w:jc w:val="left"/>
              <w:rPr>
                <w:rFonts w:cs="Arial"/>
                <w:b/>
                <w:bCs/>
                <w:sz w:val="16"/>
                <w:szCs w:val="20"/>
                <w:lang w:val="es-CL" w:eastAsia="es-CL"/>
              </w:rPr>
            </w:pPr>
          </w:p>
        </w:tc>
      </w:tr>
      <w:tr w:rsidR="007853F0" w:rsidRPr="009B7C69">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Nido de Aguila</w:t>
            </w:r>
          </w:p>
        </w:tc>
        <w:tc>
          <w:tcPr>
            <w:tcW w:w="1928"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n-US" w:eastAsia="es-CL"/>
              </w:rPr>
            </w:pPr>
            <w:r w:rsidRPr="009B7C69">
              <w:rPr>
                <w:rFonts w:cs="Arial"/>
                <w:color w:val="000000"/>
                <w:sz w:val="16"/>
                <w:szCs w:val="20"/>
                <w:lang w:val="en-US" w:eastAsia="es-CL"/>
              </w:rPr>
              <w:t>Pacific Hydro Chile 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46</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447</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155</w:t>
            </w:r>
          </w:p>
        </w:tc>
      </w:tr>
      <w:tr w:rsidR="007853F0" w:rsidRPr="009B7C69">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San Andrés</w:t>
            </w:r>
          </w:p>
        </w:tc>
        <w:tc>
          <w:tcPr>
            <w:tcW w:w="1928"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Hydro Chile 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6</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s/i</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23,5</w:t>
            </w:r>
          </w:p>
        </w:tc>
      </w:tr>
      <w:tr w:rsidR="007853F0" w:rsidRPr="00CC30A7">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El Paso</w:t>
            </w:r>
          </w:p>
        </w:tc>
        <w:tc>
          <w:tcPr>
            <w:tcW w:w="1928"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Hydro Chile S.A</w:t>
            </w:r>
          </w:p>
        </w:tc>
        <w:tc>
          <w:tcPr>
            <w:tcW w:w="104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Pasada</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8</w:t>
            </w:r>
          </w:p>
        </w:tc>
        <w:tc>
          <w:tcPr>
            <w:tcW w:w="1120" w:type="dxa"/>
            <w:tcBorders>
              <w:top w:val="nil"/>
              <w:left w:val="nil"/>
              <w:bottom w:val="single" w:sz="4" w:space="0" w:color="auto"/>
              <w:right w:val="single" w:sz="4" w:space="0" w:color="auto"/>
            </w:tcBorders>
            <w:shd w:val="clear" w:color="auto" w:fill="auto"/>
            <w:noWrap/>
            <w:vAlign w:val="bottom"/>
          </w:tcPr>
          <w:p w:rsidR="007853F0" w:rsidRPr="009B7C69"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s/i</w:t>
            </w:r>
          </w:p>
        </w:tc>
        <w:tc>
          <w:tcPr>
            <w:tcW w:w="1120" w:type="dxa"/>
            <w:tcBorders>
              <w:top w:val="nil"/>
              <w:left w:val="nil"/>
              <w:bottom w:val="single" w:sz="4" w:space="0" w:color="auto"/>
              <w:right w:val="single" w:sz="4" w:space="0" w:color="auto"/>
            </w:tcBorders>
            <w:shd w:val="clear" w:color="auto" w:fill="auto"/>
            <w:noWrap/>
            <w:vAlign w:val="bottom"/>
          </w:tcPr>
          <w:p w:rsidR="007853F0" w:rsidRPr="00CC30A7" w:rsidRDefault="007853F0" w:rsidP="00B51B51">
            <w:pPr>
              <w:widowControl w:val="0"/>
              <w:jc w:val="center"/>
              <w:rPr>
                <w:rFonts w:cs="Arial"/>
                <w:color w:val="000000"/>
                <w:sz w:val="16"/>
                <w:szCs w:val="20"/>
                <w:lang w:val="es-CL" w:eastAsia="es-CL"/>
              </w:rPr>
            </w:pPr>
            <w:r w:rsidRPr="009B7C69">
              <w:rPr>
                <w:rFonts w:cs="Arial"/>
                <w:color w:val="000000"/>
                <w:sz w:val="16"/>
                <w:szCs w:val="20"/>
                <w:lang w:val="es-CL" w:eastAsia="es-CL"/>
              </w:rPr>
              <w:t>33</w:t>
            </w:r>
          </w:p>
        </w:tc>
      </w:tr>
    </w:tbl>
    <w:p w:rsidR="007853F0" w:rsidRPr="007853F0" w:rsidRDefault="007853F0" w:rsidP="00B51B51">
      <w:pPr>
        <w:widowControl w:val="0"/>
      </w:pPr>
    </w:p>
    <w:p w:rsidR="00A87F61" w:rsidRPr="00101DD0" w:rsidRDefault="00A87F61" w:rsidP="00A87F61">
      <w:pPr>
        <w:rPr>
          <w:rFonts w:cs="Arial"/>
          <w:lang w:val="es-CL"/>
        </w:rPr>
      </w:pPr>
      <w:r>
        <w:rPr>
          <w:rFonts w:cs="Arial"/>
          <w:lang w:val="es-CL"/>
        </w:rPr>
        <w:t>Finalmente a modo de resumen se entrega en el  Plano 7 una síntesis de las demandas de agua a nivel de subcuencas.</w:t>
      </w:r>
    </w:p>
    <w:p w:rsidR="00C45E03" w:rsidRDefault="007853F0" w:rsidP="00B51B51">
      <w:pPr>
        <w:pStyle w:val="Ttulo1"/>
        <w:keepNext w:val="0"/>
        <w:widowControl w:val="0"/>
      </w:pPr>
      <w:r w:rsidRPr="007853F0">
        <w:br w:type="page"/>
      </w:r>
      <w:bookmarkStart w:id="409" w:name="_Toc344391842"/>
      <w:r w:rsidR="00C45E03">
        <w:lastRenderedPageBreak/>
        <w:t>BALANCE OFERTA DEMANDA</w:t>
      </w:r>
      <w:bookmarkEnd w:id="409"/>
    </w:p>
    <w:p w:rsidR="00C45E03" w:rsidRDefault="00C45E03" w:rsidP="00C45E03"/>
    <w:p w:rsidR="00AA1617" w:rsidRPr="003F1576" w:rsidRDefault="00AA1617" w:rsidP="00AA1617">
      <w:pPr>
        <w:pStyle w:val="msonospacing0"/>
        <w:jc w:val="both"/>
        <w:rPr>
          <w:lang w:val="es-CL"/>
        </w:rPr>
      </w:pPr>
      <w:r>
        <w:rPr>
          <w:lang w:val="es-CL"/>
        </w:rPr>
        <w:t>Teniendo como base los resultados obtenidos de la caracterización hidrológica e hidrogeológica y de demandas, se realizó para cada una de las subcuencas en estudio una estimación de su balance hídrico, conducente finalmente a la determinación de la magnitud del déficit o superávit del recurso hídrico en la actualidad y en su proyección futura.</w:t>
      </w:r>
    </w:p>
    <w:p w:rsidR="00C45E03" w:rsidRPr="00AA1617" w:rsidRDefault="00C45E03" w:rsidP="00F361AD">
      <w:pPr>
        <w:rPr>
          <w:lang w:val="es-CL"/>
        </w:rPr>
      </w:pPr>
    </w:p>
    <w:p w:rsidR="00C45E03" w:rsidRDefault="00276A04" w:rsidP="00F361AD">
      <w:pPr>
        <w:pStyle w:val="Ttulo2"/>
      </w:pPr>
      <w:bookmarkStart w:id="410" w:name="_Toc344391843"/>
      <w:r>
        <w:t>Metodología</w:t>
      </w:r>
      <w:bookmarkEnd w:id="410"/>
    </w:p>
    <w:p w:rsidR="00F361AD" w:rsidRPr="00F361AD" w:rsidRDefault="00F361AD" w:rsidP="00F361AD"/>
    <w:p w:rsidR="00C45E03" w:rsidRDefault="00C45E03" w:rsidP="00F361AD">
      <w:pPr>
        <w:pStyle w:val="Ttulo3"/>
      </w:pPr>
      <w:bookmarkStart w:id="411" w:name="_Toc341802530"/>
      <w:bookmarkStart w:id="412" w:name="_Toc344391844"/>
      <w:r>
        <w:t>Descripción del Modelo Conceptual</w:t>
      </w:r>
      <w:bookmarkEnd w:id="411"/>
      <w:bookmarkEnd w:id="412"/>
    </w:p>
    <w:p w:rsidR="00F361AD" w:rsidRPr="00F361AD" w:rsidRDefault="00F361AD" w:rsidP="00F361AD"/>
    <w:p w:rsidR="00AA1617" w:rsidRDefault="00AA1617" w:rsidP="00AA1617">
      <w:pPr>
        <w:pStyle w:val="msonospacing0"/>
        <w:jc w:val="both"/>
        <w:rPr>
          <w:lang w:val="es-CL"/>
        </w:rPr>
      </w:pPr>
      <w:r>
        <w:rPr>
          <w:lang w:val="es-CL"/>
        </w:rPr>
        <w:t xml:space="preserve">La metodología adoptada contempla la estimación del balance hídrico a una escala anual y mensual para cada una de las subcuencas en estudio, considerándose también un escenario promedio para las distintas variables que intervienen en su cálculo, así como también un escenario asociado a la probabilidad de excedencia de un 85%. </w:t>
      </w:r>
    </w:p>
    <w:p w:rsidR="00AA1617" w:rsidRDefault="00AA1617" w:rsidP="00AA1617">
      <w:pPr>
        <w:pStyle w:val="msonospacing0"/>
        <w:jc w:val="both"/>
        <w:rPr>
          <w:lang w:val="es-CL"/>
        </w:rPr>
      </w:pPr>
    </w:p>
    <w:p w:rsidR="00AA1617" w:rsidRDefault="00AA1617" w:rsidP="00AA1617">
      <w:pPr>
        <w:pStyle w:val="msonospacing0"/>
        <w:jc w:val="both"/>
        <w:rPr>
          <w:lang w:val="es-CL"/>
        </w:rPr>
      </w:pPr>
      <w:r>
        <w:rPr>
          <w:lang w:val="es-CL"/>
        </w:rPr>
        <w:t xml:space="preserve">El modelo conceptual de éste consiste en un balance hídrico a nivel superficial, cuyo cierre viene dado por la interacción entre la superficie y el subsuelo (en caso existir éste). </w:t>
      </w:r>
    </w:p>
    <w:p w:rsidR="00AA1617" w:rsidRDefault="00AA1617" w:rsidP="00AA1617">
      <w:pPr>
        <w:pStyle w:val="msonospacing0"/>
        <w:jc w:val="both"/>
        <w:rPr>
          <w:lang w:val="es-CL"/>
        </w:rPr>
      </w:pPr>
    </w:p>
    <w:p w:rsidR="00C45E03" w:rsidRDefault="00C45E03" w:rsidP="00F361AD">
      <w:pPr>
        <w:rPr>
          <w:lang w:val="es-CL"/>
        </w:rPr>
      </w:pPr>
      <w:r>
        <w:rPr>
          <w:lang w:val="es-CL"/>
        </w:rPr>
        <w:t xml:space="preserve"> </w:t>
      </w:r>
      <w:r w:rsidR="00AA1617">
        <w:rPr>
          <w:lang w:val="es-CL"/>
        </w:rPr>
        <w:t xml:space="preserve">El modelo conceptual adoptado para el balance se muestra en </w:t>
      </w:r>
      <w:smartTag w:uri="urn:schemas-microsoft-com:office:smarttags" w:element="PersonName">
        <w:smartTagPr>
          <w:attr w:name="ProductID" w:val="la ￼￼￼￼￼￼￼￼￼￼￼￼￼￼￼￼￼￼￼￼￼￼￼￼￼Figura"/>
        </w:smartTagPr>
        <w:r w:rsidR="00AA1617">
          <w:rPr>
            <w:lang w:val="es-CL"/>
          </w:rPr>
          <w:t>la</w:t>
        </w:r>
        <w:r>
          <w:rPr>
            <w:lang w:val="es-CL"/>
          </w:rPr>
          <w:t xml:space="preserve"> </w:t>
        </w:r>
        <w:r>
          <w:rPr>
            <w:lang w:val="es-CL"/>
          </w:rPr>
          <w:fldChar w:fldCharType="begin"/>
        </w:r>
        <w:r>
          <w:rPr>
            <w:lang w:val="es-CL"/>
          </w:rPr>
          <w:instrText xml:space="preserve"> REF _Ref341696074 \h </w:instrText>
        </w:r>
        <w:r>
          <w:rPr>
            <w:lang w:val="es-CL"/>
          </w:rPr>
        </w:r>
        <w:r>
          <w:rPr>
            <w:lang w:val="es-CL"/>
          </w:rPr>
          <w:fldChar w:fldCharType="separate"/>
        </w:r>
        <w:r w:rsidR="00264070">
          <w:t>Figura</w:t>
        </w:r>
      </w:smartTag>
      <w:r w:rsidR="00264070">
        <w:t xml:space="preserve"> </w:t>
      </w:r>
      <w:r w:rsidR="00264070">
        <w:rPr>
          <w:noProof/>
        </w:rPr>
        <w:t>6</w:t>
      </w:r>
      <w:r w:rsidR="00264070">
        <w:t>.</w:t>
      </w:r>
      <w:r w:rsidR="00264070">
        <w:rPr>
          <w:noProof/>
        </w:rPr>
        <w:t>1</w:t>
      </w:r>
      <w:r>
        <w:rPr>
          <w:lang w:val="es-CL"/>
        </w:rPr>
        <w:fldChar w:fldCharType="end"/>
      </w:r>
      <w:r w:rsidR="00AA1617">
        <w:rPr>
          <w:lang w:val="es-CL"/>
        </w:rPr>
        <w:t xml:space="preserve"> con indicación de cada una de las variables que intervienen en éste.</w:t>
      </w:r>
    </w:p>
    <w:p w:rsidR="00C45E03" w:rsidRDefault="00C45E03" w:rsidP="00C45E03">
      <w:pPr>
        <w:pStyle w:val="msonospacing0"/>
        <w:jc w:val="both"/>
        <w:rPr>
          <w:lang w:val="es-CL"/>
        </w:rPr>
      </w:pPr>
    </w:p>
    <w:p w:rsidR="00C45E03" w:rsidRDefault="00C45E03" w:rsidP="00C45E03">
      <w:pPr>
        <w:pStyle w:val="Epgrafe"/>
        <w:keepNext/>
      </w:pPr>
      <w:bookmarkStart w:id="413" w:name="_Ref341696059"/>
      <w:bookmarkStart w:id="414" w:name="_Ref341696074"/>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w:t>
      </w:r>
      <w:r w:rsidR="00951FEC">
        <w:fldChar w:fldCharType="end"/>
      </w:r>
      <w:bookmarkEnd w:id="414"/>
      <w:r>
        <w:t xml:space="preserve"> Esquema del Balance Hídrico</w:t>
      </w:r>
      <w:bookmarkEnd w:id="413"/>
    </w:p>
    <w:p w:rsidR="00C45E03" w:rsidRDefault="00254CE2" w:rsidP="00F361AD">
      <w:pPr>
        <w:pStyle w:val="msonospacing0"/>
        <w:jc w:val="center"/>
        <w:rPr>
          <w:lang w:val="es-CL"/>
        </w:rPr>
      </w:pPr>
      <w:r>
        <w:rPr>
          <w:noProof/>
          <w:lang w:val="es-CL" w:eastAsia="es-CL"/>
        </w:rPr>
        <w:drawing>
          <wp:inline distT="0" distB="0" distL="0" distR="0">
            <wp:extent cx="4168140" cy="2275205"/>
            <wp:effectExtent l="0" t="0" r="381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68140" cy="2275205"/>
                    </a:xfrm>
                    <a:prstGeom prst="rect">
                      <a:avLst/>
                    </a:prstGeom>
                    <a:noFill/>
                    <a:ln>
                      <a:noFill/>
                    </a:ln>
                  </pic:spPr>
                </pic:pic>
              </a:graphicData>
            </a:graphic>
          </wp:inline>
        </w:drawing>
      </w:r>
    </w:p>
    <w:p w:rsidR="00C45E03" w:rsidRPr="005E7311" w:rsidRDefault="00C45E03" w:rsidP="00C45E03">
      <w:pPr>
        <w:pStyle w:val="Sinespaciado"/>
        <w:jc w:val="both"/>
        <w:rPr>
          <w:sz w:val="22"/>
          <w:szCs w:val="22"/>
        </w:rPr>
      </w:pPr>
      <w:r w:rsidRPr="005E7311">
        <w:rPr>
          <w:sz w:val="22"/>
          <w:szCs w:val="22"/>
        </w:rPr>
        <w:t>Donde</w:t>
      </w:r>
    </w:p>
    <w:p w:rsidR="00C45E03" w:rsidRPr="005E7311" w:rsidRDefault="00C45E03" w:rsidP="00C45E03">
      <w:pPr>
        <w:pStyle w:val="Sinespaciado"/>
        <w:jc w:val="both"/>
        <w:rPr>
          <w:sz w:val="22"/>
          <w:szCs w:val="22"/>
        </w:rPr>
      </w:pPr>
    </w:p>
    <w:p w:rsidR="00A477FC" w:rsidRPr="005E7311" w:rsidRDefault="00254CE2" w:rsidP="00A477FC">
      <w:pPr>
        <w:pStyle w:val="Sinespaciado"/>
        <w:jc w:val="both"/>
        <w:rPr>
          <w:rFonts w:eastAsia="Times New Roman"/>
          <w:sz w:val="22"/>
          <w:szCs w:val="22"/>
        </w:rPr>
      </w:pPr>
      <m:oMath>
        <m:r>
          <w:rPr>
            <w:rFonts w:ascii="Cambria Math" w:hAnsi="Cambria Math"/>
          </w:rPr>
          <m:t>Pp·A</m:t>
        </m:r>
      </m:oMath>
      <w:r w:rsidR="00A477FC" w:rsidRPr="005E7311">
        <w:rPr>
          <w:rFonts w:eastAsia="Times New Roman"/>
          <w:sz w:val="22"/>
          <w:szCs w:val="22"/>
        </w:rPr>
        <w:t xml:space="preserve"> : Volumen de agua aportado por la precipitación</w:t>
      </w:r>
    </w:p>
    <w:p w:rsidR="00A477FC" w:rsidRPr="005E7311" w:rsidRDefault="00254CE2" w:rsidP="00A477FC">
      <w:pPr>
        <w:pStyle w:val="Sinespaciado"/>
        <w:jc w:val="both"/>
        <w:rPr>
          <w:rFonts w:eastAsia="Times New Roman"/>
          <w:sz w:val="22"/>
          <w:szCs w:val="22"/>
        </w:rPr>
      </w:pPr>
      <m:oMath>
        <m:r>
          <w:rPr>
            <w:rFonts w:ascii="Cambria Math" w:hAnsi="Cambria Math"/>
          </w:rPr>
          <m:t>D</m:t>
        </m:r>
      </m:oMath>
      <w:r w:rsidR="00A477FC" w:rsidRPr="005E7311">
        <w:rPr>
          <w:rFonts w:eastAsia="Times New Roman"/>
          <w:sz w:val="22"/>
          <w:szCs w:val="22"/>
        </w:rPr>
        <w:t xml:space="preserve"> : Demandas totales de la cuenca</w:t>
      </w:r>
    </w:p>
    <w:p w:rsidR="00A477FC" w:rsidRPr="00142DA0" w:rsidRDefault="00254CE2" w:rsidP="00A477FC">
      <w:pPr>
        <w:pStyle w:val="Sinespaciado"/>
        <w:jc w:val="both"/>
        <w:rPr>
          <w:rFonts w:eastAsia="Times New Roman"/>
          <w:sz w:val="22"/>
          <w:szCs w:val="22"/>
        </w:rPr>
      </w:pPr>
      <m:oMath>
        <m:r>
          <w:rPr>
            <w:rFonts w:ascii="Cambria Math" w:hAnsi="Cambria Math"/>
          </w:rPr>
          <m:t>E·</m:t>
        </m:r>
        <m:sSub>
          <m:sSubPr>
            <m:ctrlPr>
              <w:rPr>
                <w:rFonts w:ascii="Cambria Math" w:hAnsi="Cambria Math" w:cs="Times New Roman"/>
                <w:i/>
                <w:szCs w:val="22"/>
                <w:lang w:val="es-CL"/>
              </w:rPr>
            </m:ctrlPr>
          </m:sSubPr>
          <m:e>
            <m:r>
              <w:rPr>
                <w:rFonts w:ascii="Cambria Math" w:hAnsi="Cambria Math"/>
              </w:rPr>
              <m:t>A</m:t>
            </m:r>
          </m:e>
          <m:sub>
            <m:r>
              <w:rPr>
                <w:rFonts w:ascii="Cambria Math" w:hAnsi="Cambria Math"/>
              </w:rPr>
              <m:t>NR</m:t>
            </m:r>
          </m:sub>
        </m:sSub>
      </m:oMath>
      <w:r w:rsidR="00A477FC" w:rsidRPr="00142DA0">
        <w:rPr>
          <w:rFonts w:eastAsia="Times New Roman"/>
          <w:sz w:val="22"/>
          <w:szCs w:val="22"/>
        </w:rPr>
        <w:t>: Volumen de agua evapotranspirado en la zona de no riego</w:t>
      </w:r>
    </w:p>
    <w:p w:rsidR="00A477FC" w:rsidRPr="005E7311" w:rsidRDefault="00254CE2" w:rsidP="00A477FC">
      <w:pPr>
        <w:pStyle w:val="Sinespaciado"/>
        <w:jc w:val="both"/>
        <w:rPr>
          <w:rFonts w:eastAsia="Times New Roman"/>
          <w:sz w:val="22"/>
          <w:szCs w:val="22"/>
        </w:rPr>
      </w:pPr>
      <m:oMath>
        <m:sSub>
          <m:sSubPr>
            <m:ctrlPr>
              <w:rPr>
                <w:rFonts w:ascii="Cambria Math" w:hAnsi="Cambria Math"/>
                <w:i/>
              </w:rPr>
            </m:ctrlPr>
          </m:sSubPr>
          <m:e>
            <m:r>
              <w:rPr>
                <w:rFonts w:ascii="Cambria Math" w:hAnsi="Cambria Math"/>
              </w:rPr>
              <m:t>V</m:t>
            </m:r>
          </m:e>
          <m:sub>
            <m:r>
              <w:rPr>
                <w:rFonts w:ascii="Cambria Math" w:hAnsi="Cambria Math"/>
              </w:rPr>
              <m:t>ent</m:t>
            </m:r>
          </m:sub>
        </m:sSub>
      </m:oMath>
      <w:r w:rsidR="00A477FC" w:rsidRPr="005E7311">
        <w:rPr>
          <w:rFonts w:eastAsia="Times New Roman"/>
          <w:sz w:val="22"/>
          <w:szCs w:val="22"/>
        </w:rPr>
        <w:t xml:space="preserve"> : Volumen de agua superficial excedente de la subcuenca aguas arriba</w:t>
      </w:r>
    </w:p>
    <w:p w:rsidR="00A477FC" w:rsidRPr="005E7311" w:rsidRDefault="00254CE2" w:rsidP="00A477FC">
      <w:pPr>
        <w:pStyle w:val="Sinespaciado"/>
        <w:jc w:val="both"/>
        <w:rPr>
          <w:rFonts w:eastAsia="Times New Roman"/>
          <w:sz w:val="22"/>
          <w:szCs w:val="22"/>
        </w:rPr>
      </w:pPr>
      <m:oMath>
        <m:sSub>
          <m:sSubPr>
            <m:ctrlPr>
              <w:rPr>
                <w:rFonts w:ascii="Cambria Math" w:hAnsi="Cambria Math"/>
                <w:i/>
              </w:rPr>
            </m:ctrlPr>
          </m:sSubPr>
          <m:e>
            <m:r>
              <w:rPr>
                <w:rFonts w:ascii="Cambria Math" w:hAnsi="Cambria Math"/>
              </w:rPr>
              <m:t>V</m:t>
            </m:r>
          </m:e>
          <m:sub>
            <m:r>
              <w:rPr>
                <w:rFonts w:ascii="Cambria Math" w:hAnsi="Cambria Math"/>
              </w:rPr>
              <m:t>sal</m:t>
            </m:r>
          </m:sub>
        </m:sSub>
      </m:oMath>
      <w:r w:rsidR="00A477FC" w:rsidRPr="005E7311">
        <w:rPr>
          <w:rFonts w:eastAsia="Times New Roman"/>
          <w:sz w:val="22"/>
          <w:szCs w:val="22"/>
        </w:rPr>
        <w:t xml:space="preserve"> : Volumen de agua superficial que sale de la cuenca</w:t>
      </w:r>
    </w:p>
    <w:p w:rsidR="00A477FC" w:rsidRPr="003A7CAA" w:rsidRDefault="00254CE2" w:rsidP="00A477FC">
      <m:oMath>
        <m:r>
          <w:rPr>
            <w:rFonts w:ascii="Cambria Math" w:hAnsi="Cambria Math"/>
          </w:rPr>
          <m:t>Δ</m:t>
        </m:r>
      </m:oMath>
      <w:r w:rsidR="00A477FC">
        <w:rPr>
          <w:szCs w:val="22"/>
        </w:rPr>
        <w:t>: Resultado del Balance. Considera los procesos de infiltración y afloramiento, el bombeo y la incertidumbre de las variables del balance.</w:t>
      </w:r>
    </w:p>
    <w:p w:rsidR="00C45E03" w:rsidRDefault="00C45E03" w:rsidP="00F361AD"/>
    <w:p w:rsidR="00AA1617" w:rsidRDefault="00AA1617" w:rsidP="00AA1617">
      <w:pPr>
        <w:pStyle w:val="Sinespaciado"/>
        <w:jc w:val="both"/>
        <w:rPr>
          <w:sz w:val="22"/>
          <w:szCs w:val="22"/>
        </w:rPr>
      </w:pPr>
      <w:r>
        <w:rPr>
          <w:sz w:val="22"/>
          <w:szCs w:val="22"/>
        </w:rPr>
        <w:lastRenderedPageBreak/>
        <w:t xml:space="preserve">De acuerdo a lo indicado en </w:t>
      </w:r>
      <w:smartTag w:uri="urn:schemas-microsoft-com:office:smarttags" w:element="PersonName">
        <w:smartTagPr>
          <w:attr w:name="ProductID" w:val="la ￼￼￼￼￼￼￼￼￼￼￼￼￼￼￼￼￼￼￼￼￼￼￼￼￼Figura"/>
        </w:smartTagPr>
        <w:r>
          <w:rPr>
            <w:sz w:val="22"/>
            <w:szCs w:val="22"/>
          </w:rPr>
          <w:t>la Figura</w:t>
        </w:r>
      </w:smartTag>
      <w:r>
        <w:rPr>
          <w:sz w:val="22"/>
          <w:szCs w:val="22"/>
        </w:rPr>
        <w:t xml:space="preserve"> anterior, l</w:t>
      </w:r>
      <w:r w:rsidRPr="005E7311">
        <w:rPr>
          <w:sz w:val="22"/>
          <w:szCs w:val="22"/>
        </w:rPr>
        <w:t xml:space="preserve">os flujos entrantes a la capa superficial corresponden a la precipitación media a nivel de </w:t>
      </w:r>
      <w:r>
        <w:rPr>
          <w:sz w:val="22"/>
          <w:szCs w:val="22"/>
        </w:rPr>
        <w:t xml:space="preserve">cada </w:t>
      </w:r>
      <w:r w:rsidRPr="005E7311">
        <w:rPr>
          <w:sz w:val="22"/>
          <w:szCs w:val="22"/>
        </w:rPr>
        <w:t xml:space="preserve">subcuenca y el aporte de caudal superficial proveniente de la subcuenca </w:t>
      </w:r>
      <w:r>
        <w:rPr>
          <w:sz w:val="22"/>
          <w:szCs w:val="22"/>
        </w:rPr>
        <w:t xml:space="preserve">que se ubica inmediatamente </w:t>
      </w:r>
      <w:r w:rsidRPr="005E7311">
        <w:rPr>
          <w:sz w:val="22"/>
          <w:szCs w:val="22"/>
        </w:rPr>
        <w:t xml:space="preserve">aguas arriba. </w:t>
      </w:r>
    </w:p>
    <w:p w:rsidR="00AA1617" w:rsidRDefault="00AA1617" w:rsidP="00AA1617">
      <w:pPr>
        <w:pStyle w:val="Sinespaciado"/>
        <w:jc w:val="both"/>
        <w:rPr>
          <w:sz w:val="22"/>
          <w:szCs w:val="22"/>
        </w:rPr>
      </w:pPr>
    </w:p>
    <w:p w:rsidR="00AA1617" w:rsidRDefault="00AA1617" w:rsidP="00AA1617">
      <w:pPr>
        <w:pStyle w:val="Sinespaciado"/>
        <w:jc w:val="both"/>
        <w:rPr>
          <w:sz w:val="22"/>
          <w:szCs w:val="22"/>
        </w:rPr>
      </w:pPr>
      <w:r>
        <w:rPr>
          <w:sz w:val="22"/>
          <w:szCs w:val="22"/>
        </w:rPr>
        <w:t>Por su parte, l</w:t>
      </w:r>
      <w:r w:rsidRPr="005E7311">
        <w:rPr>
          <w:sz w:val="22"/>
          <w:szCs w:val="22"/>
        </w:rPr>
        <w:t xml:space="preserve">as salidas corresponden a la evapotranspiración asociada al área de no riego, las demandas estimadas (situación actual y futura) y el caudal superficial que sale de la </w:t>
      </w:r>
      <w:r>
        <w:rPr>
          <w:sz w:val="22"/>
          <w:szCs w:val="22"/>
        </w:rPr>
        <w:t>sub</w:t>
      </w:r>
      <w:r w:rsidRPr="005E7311">
        <w:rPr>
          <w:sz w:val="22"/>
          <w:szCs w:val="22"/>
        </w:rPr>
        <w:t xml:space="preserve">cuenca. </w:t>
      </w:r>
    </w:p>
    <w:p w:rsidR="00AA1617" w:rsidRDefault="00AA1617" w:rsidP="00AA1617">
      <w:pPr>
        <w:pStyle w:val="Sinespaciado"/>
        <w:jc w:val="both"/>
        <w:rPr>
          <w:sz w:val="22"/>
          <w:szCs w:val="22"/>
        </w:rPr>
      </w:pPr>
    </w:p>
    <w:p w:rsidR="00AA1617" w:rsidRPr="00E023D4" w:rsidRDefault="00AA1617" w:rsidP="00AA1617">
      <w:pPr>
        <w:pStyle w:val="Sinespaciado"/>
        <w:jc w:val="both"/>
        <w:rPr>
          <w:sz w:val="22"/>
          <w:szCs w:val="22"/>
        </w:rPr>
      </w:pPr>
      <w:r>
        <w:rPr>
          <w:sz w:val="22"/>
          <w:szCs w:val="22"/>
        </w:rPr>
        <w:t xml:space="preserve">El cierre del balance viene dado por el valor </w:t>
      </w:r>
      <w:r w:rsidRPr="00E023D4">
        <w:rPr>
          <w:i/>
          <w:sz w:val="22"/>
          <w:szCs w:val="22"/>
        </w:rPr>
        <w:t>Δ</w:t>
      </w:r>
      <w:r>
        <w:rPr>
          <w:sz w:val="22"/>
          <w:szCs w:val="22"/>
        </w:rPr>
        <w:t>, el cual adopta un valor positivo cuando para satisfacer el balance superficial se debe extraer agua del volumen de control, o bien negativo si para satisfacer el balance superficial se debe ingresar agua al volumen de control.</w:t>
      </w:r>
    </w:p>
    <w:p w:rsidR="00A477FC" w:rsidRPr="00A3241A" w:rsidRDefault="00A477FC" w:rsidP="00A477FC">
      <w:pPr>
        <w:pStyle w:val="Sinespaciado"/>
        <w:jc w:val="both"/>
        <w:rPr>
          <w:sz w:val="22"/>
          <w:szCs w:val="22"/>
        </w:rPr>
      </w:pPr>
    </w:p>
    <w:p w:rsidR="00A477FC" w:rsidRDefault="00A477FC" w:rsidP="00A477FC">
      <w:pPr>
        <w:pStyle w:val="Sinespaciado"/>
        <w:jc w:val="both"/>
        <w:rPr>
          <w:rFonts w:eastAsia="Times New Roman"/>
          <w:sz w:val="22"/>
          <w:szCs w:val="22"/>
        </w:rPr>
      </w:pPr>
      <w:r>
        <w:rPr>
          <w:rFonts w:eastAsia="Times New Roman"/>
          <w:sz w:val="22"/>
          <w:szCs w:val="22"/>
        </w:rPr>
        <w:t>De acuerdo al esquema propuesto, según la ecuación de continuidad se tiene que:</w:t>
      </w:r>
    </w:p>
    <w:p w:rsidR="00A477FC" w:rsidRDefault="00A477FC" w:rsidP="00A477FC">
      <w:pPr>
        <w:pStyle w:val="Sinespaciado"/>
        <w:jc w:val="both"/>
        <w:rPr>
          <w:rFonts w:eastAsia="Times New Roman"/>
          <w:sz w:val="22"/>
          <w:szCs w:val="22"/>
        </w:rPr>
      </w:pPr>
    </w:p>
    <w:p w:rsidR="00A477FC" w:rsidRPr="00254CE2" w:rsidRDefault="00254CE2" w:rsidP="00A477FC">
      <w:pPr>
        <w:pStyle w:val="Sinespaciado"/>
        <w:jc w:val="center"/>
      </w:pPr>
      <m:oMathPara>
        <m:oMath>
          <m:f>
            <m:fPr>
              <m:ctrlPr>
                <w:rPr>
                  <w:rFonts w:ascii="Cambria Math" w:hAnsi="Cambria Math" w:cs="Times New Roman"/>
                  <w:i/>
                  <w:szCs w:val="22"/>
                  <w:lang w:val="es-CL"/>
                </w:rPr>
              </m:ctrlPr>
            </m:fPr>
            <m:num>
              <m:r>
                <w:rPr>
                  <w:rFonts w:ascii="Cambria Math" w:hAnsi="Cambria Math"/>
                </w:rPr>
                <m:t>∆S</m:t>
              </m:r>
            </m:num>
            <m:den>
              <m:r>
                <w:rPr>
                  <w:rFonts w:ascii="Cambria Math" w:hAnsi="Cambria Math"/>
                </w:rPr>
                <m:t>∆t</m:t>
              </m:r>
            </m:den>
          </m:f>
          <m:r>
            <w:rPr>
              <w:rFonts w:ascii="Cambria Math" w:hAnsi="Cambria Math"/>
            </w:rPr>
            <m:t>=I-O</m:t>
          </m:r>
        </m:oMath>
      </m:oMathPara>
    </w:p>
    <w:p w:rsidR="00A477FC" w:rsidRDefault="00A477FC" w:rsidP="00A477FC">
      <w:r>
        <w:t>Donde:</w:t>
      </w:r>
    </w:p>
    <w:p w:rsidR="00A477FC" w:rsidRDefault="00A477FC" w:rsidP="00A477FC">
      <w:pPr>
        <w:pStyle w:val="Sinespaciado"/>
        <w:jc w:val="both"/>
        <w:rPr>
          <w:rFonts w:eastAsia="Times New Roman" w:cs="Times New Roman"/>
          <w:sz w:val="22"/>
          <w:szCs w:val="20"/>
          <w:lang w:eastAsia="es-ES"/>
        </w:rPr>
      </w:pPr>
      <w:r w:rsidRPr="009D4506">
        <w:rPr>
          <w:rFonts w:eastAsia="Times New Roman"/>
          <w:i/>
          <w:sz w:val="22"/>
          <w:szCs w:val="20"/>
          <w:lang w:eastAsia="es-ES"/>
        </w:rPr>
        <w:t>Δ</w:t>
      </w:r>
      <w:r w:rsidRPr="009D4506">
        <w:rPr>
          <w:rFonts w:eastAsia="Times New Roman" w:cs="Times New Roman"/>
          <w:i/>
          <w:sz w:val="22"/>
          <w:szCs w:val="20"/>
          <w:lang w:eastAsia="es-ES"/>
        </w:rPr>
        <w:t>S/</w:t>
      </w:r>
      <w:r w:rsidRPr="009D4506">
        <w:rPr>
          <w:rFonts w:eastAsia="Times New Roman"/>
          <w:i/>
          <w:sz w:val="22"/>
          <w:szCs w:val="20"/>
          <w:lang w:eastAsia="es-ES"/>
        </w:rPr>
        <w:t>Δ</w:t>
      </w:r>
      <w:r w:rsidRPr="009D4506">
        <w:rPr>
          <w:rFonts w:eastAsia="Times New Roman" w:cs="Times New Roman"/>
          <w:i/>
          <w:sz w:val="22"/>
          <w:szCs w:val="20"/>
          <w:lang w:eastAsia="es-ES"/>
        </w:rPr>
        <w:t>t</w:t>
      </w:r>
      <w:r>
        <w:rPr>
          <w:rFonts w:eastAsia="Times New Roman" w:cs="Times New Roman"/>
          <w:i/>
          <w:sz w:val="22"/>
          <w:szCs w:val="20"/>
          <w:lang w:eastAsia="es-ES"/>
        </w:rPr>
        <w:t xml:space="preserve"> : </w:t>
      </w:r>
      <w:r>
        <w:rPr>
          <w:rFonts w:eastAsia="Times New Roman" w:cs="Times New Roman"/>
          <w:sz w:val="22"/>
          <w:szCs w:val="20"/>
          <w:lang w:eastAsia="es-ES"/>
        </w:rPr>
        <w:t>variación del almacenamiento en el tiempo</w:t>
      </w:r>
    </w:p>
    <w:p w:rsidR="00A477FC" w:rsidRDefault="00A477FC" w:rsidP="00A477FC">
      <w:pPr>
        <w:pStyle w:val="Sinespaciado"/>
        <w:jc w:val="both"/>
        <w:rPr>
          <w:rFonts w:eastAsia="Times New Roman" w:cs="Times New Roman"/>
          <w:sz w:val="22"/>
          <w:szCs w:val="20"/>
          <w:lang w:eastAsia="es-ES"/>
        </w:rPr>
      </w:pPr>
      <w:r w:rsidRPr="009D4506">
        <w:rPr>
          <w:rFonts w:eastAsia="Times New Roman" w:cs="Times New Roman"/>
          <w:i/>
          <w:sz w:val="22"/>
          <w:szCs w:val="20"/>
          <w:lang w:eastAsia="es-ES"/>
        </w:rPr>
        <w:t>I</w:t>
      </w:r>
      <w:r>
        <w:rPr>
          <w:rFonts w:eastAsia="Times New Roman" w:cs="Times New Roman"/>
          <w:sz w:val="22"/>
          <w:szCs w:val="20"/>
          <w:lang w:eastAsia="es-ES"/>
        </w:rPr>
        <w:t>: entradas al sistema</w:t>
      </w:r>
    </w:p>
    <w:p w:rsidR="00A477FC" w:rsidRPr="009D4506" w:rsidRDefault="00A477FC" w:rsidP="00A477FC">
      <w:pPr>
        <w:pStyle w:val="Sinespaciado"/>
        <w:jc w:val="both"/>
        <w:rPr>
          <w:rFonts w:eastAsia="Times New Roman" w:cs="Times New Roman"/>
          <w:sz w:val="22"/>
          <w:szCs w:val="20"/>
          <w:lang w:eastAsia="es-ES"/>
        </w:rPr>
      </w:pPr>
      <w:r>
        <w:rPr>
          <w:rFonts w:eastAsia="Times New Roman" w:cs="Times New Roman"/>
          <w:i/>
          <w:sz w:val="22"/>
          <w:szCs w:val="20"/>
          <w:lang w:eastAsia="es-ES"/>
        </w:rPr>
        <w:t>O</w:t>
      </w:r>
      <w:r>
        <w:rPr>
          <w:rFonts w:eastAsia="Times New Roman" w:cs="Times New Roman"/>
          <w:sz w:val="22"/>
          <w:szCs w:val="20"/>
          <w:lang w:eastAsia="es-ES"/>
        </w:rPr>
        <w:t xml:space="preserve">: salidas del sistema </w:t>
      </w:r>
    </w:p>
    <w:p w:rsidR="00A477FC" w:rsidRDefault="00A477FC" w:rsidP="00A477FC">
      <w:pPr>
        <w:pStyle w:val="Sinespaciado"/>
        <w:jc w:val="both"/>
        <w:rPr>
          <w:rFonts w:eastAsia="Times New Roman" w:cs="Times New Roman"/>
          <w:sz w:val="22"/>
          <w:szCs w:val="20"/>
          <w:lang w:eastAsia="es-ES"/>
        </w:rPr>
      </w:pPr>
    </w:p>
    <w:p w:rsidR="00AA1617" w:rsidRDefault="00AA1617" w:rsidP="00AA1617">
      <w:pPr>
        <w:pStyle w:val="Sinespaciado"/>
        <w:jc w:val="both"/>
        <w:rPr>
          <w:rFonts w:eastAsia="Times New Roman"/>
          <w:sz w:val="22"/>
          <w:szCs w:val="22"/>
        </w:rPr>
      </w:pPr>
      <w:r>
        <w:rPr>
          <w:rFonts w:eastAsia="Times New Roman"/>
          <w:sz w:val="22"/>
          <w:szCs w:val="22"/>
        </w:rPr>
        <w:t>Considerando períodos prolongados de tiempo y al no existir obras de regulación multianual, el término de almacenamiento pasa a ser despreciable, de manera que la ecuación que resuelve el balance hídrico superficial es la siguiente:</w:t>
      </w:r>
    </w:p>
    <w:p w:rsidR="00A477FC" w:rsidRPr="00AA1617" w:rsidRDefault="00A477FC" w:rsidP="00A477FC">
      <w:pPr>
        <w:pStyle w:val="NormalSangra"/>
        <w:ind w:firstLine="0"/>
        <w:rPr>
          <w:lang w:val="es-ES"/>
        </w:rPr>
      </w:pPr>
    </w:p>
    <w:p w:rsidR="00A477FC" w:rsidRPr="00254CE2" w:rsidRDefault="00254CE2" w:rsidP="00A477FC">
      <w:pPr>
        <w:pStyle w:val="NormalSangra"/>
        <w:ind w:firstLine="0"/>
        <w:jc w:val="center"/>
      </w:pPr>
      <m:oMathPara>
        <m:oMath>
          <m:r>
            <w:rPr>
              <w:rFonts w:ascii="Cambria Math" w:hAnsi="Cambria Math"/>
            </w:rPr>
            <m:t>Pp·A+</m:t>
          </m:r>
          <m:sSub>
            <m:sSubPr>
              <m:ctrlPr>
                <w:rPr>
                  <w:rFonts w:ascii="Cambria Math" w:hAnsi="Cambria Math"/>
                  <w:i/>
                </w:rPr>
              </m:ctrlPr>
            </m:sSubPr>
            <m:e>
              <m:r>
                <w:rPr>
                  <w:rFonts w:ascii="Cambria Math" w:hAnsi="Cambria Math"/>
                </w:rPr>
                <m:t>V</m:t>
              </m:r>
            </m:e>
            <m:sub>
              <m:r>
                <w:rPr>
                  <w:rFonts w:ascii="Cambria Math" w:hAnsi="Cambria Math"/>
                </w:rPr>
                <m:t>ent</m:t>
              </m:r>
            </m:sub>
          </m:sSub>
          <m:r>
            <w:rPr>
              <w:rFonts w:ascii="Cambria Math" w:hAnsi="Cambria Math"/>
            </w:rPr>
            <m:t>= E·</m:t>
          </m:r>
          <m:sSub>
            <m:sSubPr>
              <m:ctrlPr>
                <w:rPr>
                  <w:rFonts w:ascii="Cambria Math" w:eastAsia="Calibri" w:hAnsi="Cambria Math"/>
                  <w:i/>
                  <w:szCs w:val="22"/>
                  <w:lang w:eastAsia="en-US"/>
                </w:rPr>
              </m:ctrlPr>
            </m:sSubPr>
            <m:e>
              <m:r>
                <w:rPr>
                  <w:rFonts w:ascii="Cambria Math" w:hAnsi="Cambria Math"/>
                </w:rPr>
                <m:t>A</m:t>
              </m:r>
            </m:e>
            <m:sub>
              <m:r>
                <w:rPr>
                  <w:rFonts w:ascii="Cambria Math" w:hAnsi="Cambria Math"/>
                </w:rPr>
                <m:t>NR</m:t>
              </m:r>
            </m:sub>
          </m:sSub>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sal</m:t>
              </m:r>
            </m:sub>
          </m:sSub>
          <m:r>
            <w:rPr>
              <w:rFonts w:ascii="Cambria Math" w:hAnsi="Cambria Math"/>
            </w:rPr>
            <m:t>+ Δ</m:t>
          </m:r>
        </m:oMath>
      </m:oMathPara>
    </w:p>
    <w:p w:rsidR="00A477FC" w:rsidRDefault="00A477FC" w:rsidP="00A477FC">
      <w:pPr>
        <w:pStyle w:val="NormalSangra"/>
        <w:ind w:firstLine="0"/>
        <w:jc w:val="center"/>
      </w:pPr>
    </w:p>
    <w:p w:rsidR="00A477FC" w:rsidRPr="00B23D52" w:rsidRDefault="00A477FC" w:rsidP="00A477FC">
      <w:pPr>
        <w:pStyle w:val="NormalSangra"/>
        <w:ind w:firstLine="0"/>
        <w:jc w:val="left"/>
        <w:rPr>
          <w:sz w:val="22"/>
          <w:szCs w:val="22"/>
        </w:rPr>
      </w:pPr>
      <w:r w:rsidRPr="00B23D52">
        <w:rPr>
          <w:sz w:val="22"/>
          <w:szCs w:val="22"/>
        </w:rPr>
        <w:t>Despejando el término</w:t>
      </w:r>
      <w:r>
        <w:rPr>
          <w:sz w:val="22"/>
          <w:szCs w:val="22"/>
        </w:rPr>
        <w:t xml:space="preserve"> </w:t>
      </w:r>
      <w:r w:rsidRPr="00593327">
        <w:rPr>
          <w:rFonts w:cs="Arial"/>
          <w:i/>
          <w:sz w:val="22"/>
          <w:szCs w:val="22"/>
        </w:rPr>
        <w:t>Δ</w:t>
      </w:r>
      <w:r>
        <w:rPr>
          <w:sz w:val="22"/>
          <w:szCs w:val="22"/>
        </w:rPr>
        <w:t>:</w:t>
      </w:r>
      <m:oMath>
        <m:r>
          <w:rPr>
            <w:rFonts w:ascii="Cambria Math" w:hAnsi="Cambria Math"/>
          </w:rPr>
          <m:t>R</m:t>
        </m:r>
      </m:oMath>
    </w:p>
    <w:p w:rsidR="00A477FC" w:rsidRDefault="00A477FC" w:rsidP="00A477FC">
      <w:pPr>
        <w:pStyle w:val="NormalSangra"/>
        <w:ind w:firstLine="0"/>
        <w:jc w:val="center"/>
      </w:pPr>
    </w:p>
    <w:p w:rsidR="00A477FC" w:rsidRPr="00254CE2" w:rsidRDefault="00254CE2" w:rsidP="00A477FC">
      <w:pPr>
        <w:pStyle w:val="NormalSangra"/>
        <w:ind w:firstLine="0"/>
        <w:jc w:val="center"/>
      </w:pPr>
      <m:oMathPara>
        <m:oMath>
          <m:r>
            <w:rPr>
              <w:rFonts w:ascii="Cambria Math" w:hAnsi="Cambria Math"/>
            </w:rPr>
            <m:t>Δ=Pp·A+</m:t>
          </m:r>
          <m:sSub>
            <m:sSubPr>
              <m:ctrlPr>
                <w:rPr>
                  <w:rFonts w:ascii="Cambria Math" w:hAnsi="Cambria Math"/>
                  <w:i/>
                </w:rPr>
              </m:ctrlPr>
            </m:sSubPr>
            <m:e>
              <m:r>
                <w:rPr>
                  <w:rFonts w:ascii="Cambria Math" w:hAnsi="Cambria Math"/>
                </w:rPr>
                <m:t>V</m:t>
              </m:r>
            </m:e>
            <m:sub>
              <m:r>
                <w:rPr>
                  <w:rFonts w:ascii="Cambria Math" w:hAnsi="Cambria Math"/>
                </w:rPr>
                <m:t>ent</m:t>
              </m:r>
            </m:sub>
          </m:sSub>
          <m:r>
            <w:rPr>
              <w:rFonts w:ascii="Cambria Math" w:hAnsi="Cambria Math"/>
            </w:rPr>
            <m:t>-E·</m:t>
          </m:r>
          <m:sSub>
            <m:sSubPr>
              <m:ctrlPr>
                <w:rPr>
                  <w:rFonts w:ascii="Cambria Math" w:eastAsia="Calibri" w:hAnsi="Cambria Math"/>
                  <w:i/>
                  <w:szCs w:val="22"/>
                  <w:lang w:eastAsia="en-US"/>
                </w:rPr>
              </m:ctrlPr>
            </m:sSubPr>
            <m:e>
              <m:r>
                <w:rPr>
                  <w:rFonts w:ascii="Cambria Math" w:hAnsi="Cambria Math"/>
                </w:rPr>
                <m:t>A</m:t>
              </m:r>
            </m:e>
            <m:sub>
              <m:r>
                <w:rPr>
                  <w:rFonts w:ascii="Cambria Math" w:hAnsi="Cambria Math"/>
                </w:rPr>
                <m:t>NR</m:t>
              </m:r>
            </m:sub>
          </m:sSub>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sal</m:t>
              </m:r>
            </m:sub>
          </m:sSub>
        </m:oMath>
      </m:oMathPara>
    </w:p>
    <w:p w:rsidR="00A477FC" w:rsidRPr="005E7311" w:rsidRDefault="00A477FC" w:rsidP="00A477FC">
      <w:pPr>
        <w:pStyle w:val="NormalSangra"/>
        <w:ind w:firstLine="0"/>
        <w:rPr>
          <w:lang w:val="es-ES_tradnl"/>
        </w:rPr>
      </w:pPr>
    </w:p>
    <w:p w:rsidR="00AA1617" w:rsidRPr="00B23D52" w:rsidRDefault="00AA1617" w:rsidP="00AA1617">
      <w:pPr>
        <w:pStyle w:val="NormalSangra"/>
        <w:ind w:firstLine="0"/>
        <w:rPr>
          <w:sz w:val="22"/>
          <w:szCs w:val="22"/>
          <w:lang w:val="es-ES_tradnl"/>
        </w:rPr>
      </w:pPr>
      <w:r>
        <w:rPr>
          <w:sz w:val="22"/>
          <w:szCs w:val="22"/>
          <w:lang w:val="es-ES_tradnl"/>
        </w:rPr>
        <w:t>Dado que l</w:t>
      </w:r>
      <w:r w:rsidRPr="00B23D52">
        <w:rPr>
          <w:sz w:val="22"/>
          <w:szCs w:val="22"/>
        </w:rPr>
        <w:t>os términos de la derecha</w:t>
      </w:r>
      <w:r>
        <w:rPr>
          <w:sz w:val="22"/>
          <w:szCs w:val="22"/>
        </w:rPr>
        <w:t xml:space="preserve"> de la ecuación anterior</w:t>
      </w:r>
      <w:r w:rsidRPr="00B23D52">
        <w:rPr>
          <w:sz w:val="22"/>
          <w:szCs w:val="22"/>
        </w:rPr>
        <w:t xml:space="preserve"> ya fueron estimados</w:t>
      </w:r>
      <w:r>
        <w:rPr>
          <w:sz w:val="22"/>
          <w:szCs w:val="22"/>
        </w:rPr>
        <w:t xml:space="preserve"> en el presente estudio es </w:t>
      </w:r>
      <w:r w:rsidRPr="00B23D52">
        <w:rPr>
          <w:sz w:val="22"/>
          <w:szCs w:val="22"/>
        </w:rPr>
        <w:t xml:space="preserve">posible </w:t>
      </w:r>
      <w:r>
        <w:rPr>
          <w:sz w:val="22"/>
          <w:szCs w:val="22"/>
        </w:rPr>
        <w:t>determinar</w:t>
      </w:r>
      <w:r w:rsidRPr="00B23D52">
        <w:rPr>
          <w:sz w:val="22"/>
          <w:szCs w:val="22"/>
        </w:rPr>
        <w:t xml:space="preserve"> el valor de </w:t>
      </w:r>
      <w:r w:rsidRPr="00593327">
        <w:rPr>
          <w:rFonts w:cs="Arial"/>
          <w:i/>
          <w:sz w:val="22"/>
          <w:szCs w:val="22"/>
        </w:rPr>
        <w:t>Δ</w:t>
      </w:r>
      <w:r w:rsidRPr="00B23D52">
        <w:rPr>
          <w:i/>
          <w:sz w:val="22"/>
          <w:szCs w:val="22"/>
        </w:rPr>
        <w:t>.</w:t>
      </w:r>
    </w:p>
    <w:p w:rsidR="00C45E03" w:rsidRPr="00442D88" w:rsidRDefault="00C45E03" w:rsidP="00A477FC">
      <w:pPr>
        <w:pStyle w:val="Sinespaciado"/>
        <w:jc w:val="both"/>
        <w:rPr>
          <w:lang w:val="es-ES_tradnl"/>
        </w:rPr>
      </w:pPr>
    </w:p>
    <w:p w:rsidR="00C45E03" w:rsidRDefault="00C45E03" w:rsidP="00F361AD">
      <w:pPr>
        <w:pStyle w:val="Ttulo3"/>
      </w:pPr>
      <w:bookmarkStart w:id="415" w:name="_Toc341802531"/>
      <w:bookmarkStart w:id="416" w:name="_Toc344391845"/>
      <w:r>
        <w:t>Consideraciones Hidrológicas</w:t>
      </w:r>
      <w:bookmarkEnd w:id="415"/>
      <w:bookmarkEnd w:id="416"/>
    </w:p>
    <w:p w:rsidR="00F361AD" w:rsidRPr="00F361AD" w:rsidRDefault="00F361AD" w:rsidP="00F361AD"/>
    <w:p w:rsidR="00F361AD" w:rsidRDefault="00C45E03" w:rsidP="00F361AD">
      <w:pPr>
        <w:pStyle w:val="Sinespaciado"/>
        <w:jc w:val="both"/>
        <w:rPr>
          <w:sz w:val="22"/>
          <w:szCs w:val="22"/>
        </w:rPr>
      </w:pPr>
      <w:r w:rsidRPr="007456B0">
        <w:rPr>
          <w:sz w:val="22"/>
          <w:szCs w:val="22"/>
        </w:rPr>
        <w:t>La precipitac</w:t>
      </w:r>
      <w:r w:rsidR="00F361AD">
        <w:rPr>
          <w:sz w:val="22"/>
          <w:szCs w:val="22"/>
        </w:rPr>
        <w:t>ión media se obtuvo a partir del plano de isoyetas medias anuales para las cuencas en estudio.</w:t>
      </w:r>
    </w:p>
    <w:p w:rsidR="00C45E03" w:rsidRDefault="00C45E03" w:rsidP="00C45E03">
      <w:pPr>
        <w:pStyle w:val="Sinespaciado"/>
        <w:jc w:val="both"/>
        <w:rPr>
          <w:sz w:val="22"/>
          <w:szCs w:val="22"/>
        </w:rPr>
      </w:pPr>
    </w:p>
    <w:p w:rsidR="00C45E03" w:rsidRPr="007456B0" w:rsidRDefault="00C45E03" w:rsidP="00C45E03">
      <w:pPr>
        <w:pStyle w:val="Sinespaciado"/>
        <w:jc w:val="both"/>
        <w:rPr>
          <w:sz w:val="22"/>
          <w:szCs w:val="22"/>
        </w:rPr>
      </w:pPr>
      <w:r>
        <w:rPr>
          <w:sz w:val="22"/>
          <w:szCs w:val="22"/>
        </w:rPr>
        <w:t>Los caudales</w:t>
      </w:r>
      <w:r w:rsidRPr="007456B0">
        <w:rPr>
          <w:sz w:val="22"/>
          <w:szCs w:val="22"/>
        </w:rPr>
        <w:t xml:space="preserve"> de </w:t>
      </w:r>
      <w:r>
        <w:rPr>
          <w:sz w:val="22"/>
          <w:szCs w:val="22"/>
        </w:rPr>
        <w:t xml:space="preserve">entrada y salida </w:t>
      </w:r>
      <w:r w:rsidRPr="007456B0">
        <w:rPr>
          <w:sz w:val="22"/>
          <w:szCs w:val="22"/>
        </w:rPr>
        <w:t>de cada subcuenca fuero</w:t>
      </w:r>
      <w:r>
        <w:rPr>
          <w:sz w:val="22"/>
          <w:szCs w:val="22"/>
        </w:rPr>
        <w:t xml:space="preserve">n estimados utilizando transposiciones de caudal por unidad de área y precipitación, utilizando el registro fluviométrico con que dispone </w:t>
      </w:r>
      <w:smartTag w:uri="urn:schemas-microsoft-com:office:smarttags" w:element="PersonName">
        <w:smartTagPr>
          <w:attr w:name="ProductID" w:val="la DGA. En"/>
        </w:smartTagPr>
        <w:r>
          <w:rPr>
            <w:sz w:val="22"/>
            <w:szCs w:val="22"/>
          </w:rPr>
          <w:t>la DGA</w:t>
        </w:r>
        <w:r w:rsidRPr="007456B0">
          <w:rPr>
            <w:sz w:val="22"/>
            <w:szCs w:val="22"/>
          </w:rPr>
          <w:t>. En</w:t>
        </w:r>
      </w:smartTag>
      <w:r w:rsidRPr="007456B0">
        <w:rPr>
          <w:sz w:val="22"/>
          <w:szCs w:val="22"/>
        </w:rPr>
        <w:t xml:space="preserve"> casos en que las subcuencas se encuentran en serie, tal y como ocurre en la</w:t>
      </w:r>
      <w:r>
        <w:rPr>
          <w:sz w:val="22"/>
          <w:szCs w:val="22"/>
        </w:rPr>
        <w:t xml:space="preserve"> cuenca del río Rapel</w:t>
      </w:r>
      <w:r w:rsidRPr="007456B0">
        <w:rPr>
          <w:sz w:val="22"/>
          <w:szCs w:val="22"/>
        </w:rPr>
        <w:t xml:space="preserve">, el caudal de salida de una subcuenca corresponde al caudal de entrada de la siguiente. </w:t>
      </w:r>
    </w:p>
    <w:p w:rsidR="00C45E03" w:rsidRPr="007456B0" w:rsidRDefault="00C45E03" w:rsidP="00C45E03">
      <w:pPr>
        <w:pStyle w:val="Sinespaciado"/>
        <w:jc w:val="both"/>
        <w:rPr>
          <w:sz w:val="22"/>
          <w:szCs w:val="22"/>
        </w:rPr>
      </w:pPr>
    </w:p>
    <w:p w:rsidR="00C45E03" w:rsidRPr="007456B0" w:rsidRDefault="00C45E03" w:rsidP="00C45E03">
      <w:pPr>
        <w:pStyle w:val="Sinespaciado"/>
        <w:jc w:val="both"/>
        <w:rPr>
          <w:sz w:val="22"/>
          <w:szCs w:val="22"/>
        </w:rPr>
      </w:pPr>
      <w:r w:rsidRPr="007456B0">
        <w:rPr>
          <w:sz w:val="22"/>
          <w:szCs w:val="22"/>
        </w:rPr>
        <w:t xml:space="preserve">El cálculo de la evapotranspiración se realizó mediante la fórmula de Turc, </w:t>
      </w:r>
      <w:r w:rsidR="00F361AD">
        <w:rPr>
          <w:sz w:val="22"/>
          <w:szCs w:val="22"/>
        </w:rPr>
        <w:t>cuya expresión es la siguiente:</w:t>
      </w:r>
    </w:p>
    <w:p w:rsidR="00C45E03" w:rsidRPr="00254CE2" w:rsidRDefault="00254CE2" w:rsidP="00C45E03">
      <w:pPr>
        <w:pStyle w:val="Sinespaciado"/>
        <w:jc w:val="center"/>
        <w:rPr>
          <w:rFonts w:eastAsia="Times New Roman"/>
          <w:sz w:val="22"/>
          <w:szCs w:val="22"/>
        </w:rPr>
      </w:pPr>
      <m:oMathPara>
        <m:oMath>
          <m:r>
            <w:rPr>
              <w:rFonts w:ascii="Cambria Math" w:hAnsi="Cambria Math"/>
            </w:rPr>
            <w:lastRenderedPageBreak/>
            <m:t xml:space="preserve">E= </m:t>
          </m:r>
          <m:f>
            <m:fPr>
              <m:ctrlPr>
                <w:rPr>
                  <w:rFonts w:ascii="Cambria Math" w:hAnsi="Cambria Math"/>
                  <w:i/>
                </w:rPr>
              </m:ctrlPr>
            </m:fPr>
            <m:num>
              <m:r>
                <w:rPr>
                  <w:rFonts w:ascii="Cambria Math" w:hAnsi="Cambria Math"/>
                </w:rPr>
                <m:t>P</m:t>
              </m:r>
            </m:num>
            <m:den>
              <m:rad>
                <m:radPr>
                  <m:degHide m:val="1"/>
                  <m:ctrlPr>
                    <w:rPr>
                      <w:rFonts w:ascii="Cambria Math" w:hAnsi="Cambria Math"/>
                      <w:i/>
                    </w:rPr>
                  </m:ctrlPr>
                </m:radPr>
                <m:deg/>
                <m:e>
                  <m:r>
                    <w:rPr>
                      <w:rFonts w:ascii="Cambria Math" w:hAnsi="Cambria Math"/>
                    </w:rPr>
                    <m:t>0.9+</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L</m:t>
                          </m:r>
                        </m:den>
                      </m:f>
                      <m:r>
                        <w:rPr>
                          <w:rFonts w:ascii="Cambria Math" w:hAnsi="Cambria Math"/>
                        </w:rPr>
                        <m:t>)</m:t>
                      </m:r>
                    </m:e>
                    <m:sup>
                      <m:r>
                        <w:rPr>
                          <w:rFonts w:ascii="Cambria Math" w:hAnsi="Cambria Math"/>
                        </w:rPr>
                        <m:t>2</m:t>
                      </m:r>
                    </m:sup>
                  </m:sSup>
                </m:e>
              </m:rad>
            </m:den>
          </m:f>
          <m:r>
            <w:rPr>
              <w:rFonts w:ascii="Cambria Math" w:eastAsia="Times New Roman" w:hAnsi="Cambria Math"/>
            </w:rPr>
            <m:t xml:space="preserve"> [mm]</m:t>
          </m:r>
        </m:oMath>
      </m:oMathPara>
    </w:p>
    <w:p w:rsidR="00C45E03" w:rsidRPr="007456B0" w:rsidRDefault="00C45E03" w:rsidP="00C45E03">
      <w:pPr>
        <w:pStyle w:val="Sinespaciado"/>
        <w:jc w:val="both"/>
        <w:rPr>
          <w:rFonts w:eastAsia="Times New Roman"/>
          <w:sz w:val="22"/>
          <w:szCs w:val="22"/>
        </w:rPr>
      </w:pPr>
    </w:p>
    <w:p w:rsidR="00C45E03" w:rsidRPr="00254CE2" w:rsidRDefault="00254CE2" w:rsidP="00C45E03">
      <w:pPr>
        <w:pStyle w:val="Sinespaciado"/>
        <w:jc w:val="center"/>
        <w:rPr>
          <w:sz w:val="22"/>
          <w:szCs w:val="22"/>
        </w:rPr>
      </w:pPr>
      <m:oMathPara>
        <m:oMath>
          <m:r>
            <w:rPr>
              <w:rFonts w:ascii="Cambria Math" w:hAnsi="Cambria Math"/>
            </w:rPr>
            <m:t>L=300+25·T+0.05</m:t>
          </m:r>
          <m:sSup>
            <m:sSupPr>
              <m:ctrlPr>
                <w:rPr>
                  <w:rFonts w:ascii="Cambria Math" w:hAnsi="Cambria Math"/>
                  <w:i/>
                </w:rPr>
              </m:ctrlPr>
            </m:sSupPr>
            <m:e>
              <m:r>
                <w:rPr>
                  <w:rFonts w:ascii="Cambria Math" w:hAnsi="Cambria Math"/>
                </w:rPr>
                <m:t>T</m:t>
              </m:r>
            </m:e>
            <m:sup>
              <m:r>
                <w:rPr>
                  <w:rFonts w:ascii="Cambria Math" w:hAnsi="Cambria Math"/>
                </w:rPr>
                <m:t>3</m:t>
              </m:r>
            </m:sup>
          </m:sSup>
        </m:oMath>
      </m:oMathPara>
    </w:p>
    <w:p w:rsidR="00A477FC" w:rsidRPr="007456B0" w:rsidRDefault="00A477FC" w:rsidP="00C45E03">
      <w:pPr>
        <w:pStyle w:val="Sinespaciado"/>
        <w:jc w:val="both"/>
        <w:rPr>
          <w:sz w:val="22"/>
          <w:szCs w:val="22"/>
        </w:rPr>
      </w:pPr>
    </w:p>
    <w:p w:rsidR="00C45E03" w:rsidRPr="007456B0" w:rsidRDefault="00C45E03" w:rsidP="00C45E03">
      <w:pPr>
        <w:pStyle w:val="Sinespaciado"/>
        <w:jc w:val="both"/>
        <w:rPr>
          <w:sz w:val="22"/>
          <w:szCs w:val="22"/>
        </w:rPr>
      </w:pPr>
      <w:r w:rsidRPr="007456B0">
        <w:rPr>
          <w:sz w:val="22"/>
          <w:szCs w:val="22"/>
        </w:rPr>
        <w:t>Donde:</w:t>
      </w:r>
    </w:p>
    <w:p w:rsidR="00AA1617" w:rsidRPr="004B579F" w:rsidRDefault="00254CE2" w:rsidP="00AA1617">
      <w:pPr>
        <w:pStyle w:val="Sinespaciado"/>
        <w:jc w:val="both"/>
        <w:rPr>
          <w:rFonts w:eastAsia="Times New Roman"/>
          <w:sz w:val="20"/>
          <w:szCs w:val="20"/>
        </w:rPr>
      </w:pPr>
      <m:oMath>
        <m:r>
          <w:rPr>
            <w:rFonts w:ascii="Cambria Math" w:hAnsi="Cambria Math"/>
          </w:rPr>
          <m:t>E</m:t>
        </m:r>
      </m:oMath>
      <w:r w:rsidR="00AA1617" w:rsidRPr="004B579F">
        <w:rPr>
          <w:rFonts w:eastAsia="Times New Roman"/>
          <w:sz w:val="20"/>
          <w:szCs w:val="20"/>
        </w:rPr>
        <w:t xml:space="preserve"> : Evapotranspiración media de la cuenca</w:t>
      </w:r>
    </w:p>
    <w:p w:rsidR="00AA1617" w:rsidRPr="004B579F" w:rsidRDefault="00254CE2" w:rsidP="00AA1617">
      <w:pPr>
        <w:pStyle w:val="Sinespaciado"/>
        <w:jc w:val="both"/>
        <w:rPr>
          <w:rFonts w:eastAsia="Times New Roman"/>
          <w:sz w:val="20"/>
          <w:szCs w:val="20"/>
        </w:rPr>
      </w:pPr>
      <m:oMath>
        <m:r>
          <w:rPr>
            <w:rFonts w:ascii="Cambria Math" w:hAnsi="Cambria Math"/>
          </w:rPr>
          <m:t>P</m:t>
        </m:r>
      </m:oMath>
      <w:r w:rsidR="00AA1617" w:rsidRPr="004B579F">
        <w:rPr>
          <w:rFonts w:eastAsia="Times New Roman"/>
          <w:sz w:val="20"/>
          <w:szCs w:val="20"/>
        </w:rPr>
        <w:t xml:space="preserve"> : Precipitación media anual de la cuenca</w:t>
      </w:r>
    </w:p>
    <w:p w:rsidR="00AA1617" w:rsidRPr="004B579F" w:rsidRDefault="00254CE2" w:rsidP="00AA1617">
      <w:pPr>
        <w:pStyle w:val="Sinespaciado"/>
        <w:jc w:val="both"/>
        <w:rPr>
          <w:rFonts w:eastAsia="Times New Roman"/>
          <w:sz w:val="20"/>
          <w:szCs w:val="20"/>
        </w:rPr>
      </w:pPr>
      <m:oMath>
        <m:r>
          <w:rPr>
            <w:rFonts w:ascii="Cambria Math" w:hAnsi="Cambria Math"/>
          </w:rPr>
          <m:t>L</m:t>
        </m:r>
      </m:oMath>
      <w:r w:rsidR="00AA1617" w:rsidRPr="004B579F">
        <w:rPr>
          <w:rFonts w:eastAsia="Times New Roman"/>
          <w:sz w:val="20"/>
          <w:szCs w:val="20"/>
        </w:rPr>
        <w:t xml:space="preserve"> : Polinomio que depende de la temperatura media anual de la cuenca</w:t>
      </w:r>
    </w:p>
    <w:p w:rsidR="00AA1617" w:rsidRPr="004B579F" w:rsidRDefault="00254CE2" w:rsidP="00AA1617">
      <w:pPr>
        <w:pStyle w:val="Sinespaciado"/>
        <w:jc w:val="both"/>
        <w:rPr>
          <w:rFonts w:eastAsia="Times New Roman"/>
          <w:sz w:val="20"/>
          <w:szCs w:val="20"/>
        </w:rPr>
      </w:pPr>
      <m:oMath>
        <m:r>
          <w:rPr>
            <w:rFonts w:ascii="Cambria Math" w:hAnsi="Cambria Math"/>
          </w:rPr>
          <m:t>T</m:t>
        </m:r>
      </m:oMath>
      <w:r w:rsidR="00AA1617" w:rsidRPr="004B579F">
        <w:rPr>
          <w:rFonts w:eastAsia="Times New Roman"/>
          <w:sz w:val="20"/>
          <w:szCs w:val="20"/>
        </w:rPr>
        <w:t>: Temperatura media anual de la cuenca [°C]</w:t>
      </w:r>
    </w:p>
    <w:p w:rsidR="00A477FC" w:rsidRPr="007456B0" w:rsidRDefault="00A477FC" w:rsidP="00C45E03">
      <w:pPr>
        <w:pStyle w:val="Sinespaciado"/>
        <w:jc w:val="both"/>
        <w:rPr>
          <w:rFonts w:eastAsia="Times New Roman"/>
          <w:sz w:val="22"/>
          <w:szCs w:val="22"/>
        </w:rPr>
      </w:pPr>
    </w:p>
    <w:p w:rsidR="00C45E03" w:rsidRPr="007456B0" w:rsidRDefault="00C45E03" w:rsidP="00C45E03">
      <w:pPr>
        <w:pStyle w:val="Sinespaciado"/>
        <w:jc w:val="both"/>
        <w:rPr>
          <w:sz w:val="22"/>
          <w:szCs w:val="22"/>
        </w:rPr>
      </w:pPr>
      <w:r w:rsidRPr="007456B0">
        <w:rPr>
          <w:sz w:val="22"/>
          <w:szCs w:val="22"/>
        </w:rPr>
        <w:t>La temperatura media anual de cada subcuenca se obtuv</w:t>
      </w:r>
      <w:r>
        <w:rPr>
          <w:sz w:val="22"/>
          <w:szCs w:val="22"/>
        </w:rPr>
        <w:t xml:space="preserve">o del Balance Hídrico de Chile. </w:t>
      </w:r>
      <w:r w:rsidRPr="007456B0">
        <w:rPr>
          <w:sz w:val="22"/>
          <w:szCs w:val="22"/>
        </w:rPr>
        <w:t xml:space="preserve">La evapotranspiración se aplicó excluyendo el área de riego, donde las demandas evapotranspirativas fueron consideradas en el término de la demanda. </w:t>
      </w:r>
    </w:p>
    <w:p w:rsidR="00C45E03" w:rsidRPr="007456B0" w:rsidRDefault="00C45E03" w:rsidP="00C45E03">
      <w:pPr>
        <w:pStyle w:val="Sinespaciado"/>
        <w:jc w:val="both"/>
        <w:rPr>
          <w:sz w:val="22"/>
          <w:szCs w:val="22"/>
        </w:rPr>
      </w:pPr>
    </w:p>
    <w:p w:rsidR="00A477FC" w:rsidRDefault="00A477FC" w:rsidP="00A477FC">
      <w:pPr>
        <w:pStyle w:val="Sinespaciado"/>
        <w:jc w:val="both"/>
        <w:rPr>
          <w:sz w:val="22"/>
          <w:szCs w:val="22"/>
        </w:rPr>
      </w:pPr>
      <w:r>
        <w:rPr>
          <w:sz w:val="22"/>
          <w:szCs w:val="22"/>
        </w:rPr>
        <w:t xml:space="preserve">El valor de </w:t>
      </w:r>
      <w:r w:rsidRPr="00593327">
        <w:rPr>
          <w:i/>
          <w:sz w:val="22"/>
          <w:szCs w:val="22"/>
        </w:rPr>
        <w:t>Δ</w:t>
      </w:r>
      <w:r w:rsidRPr="007456B0">
        <w:rPr>
          <w:sz w:val="22"/>
          <w:szCs w:val="22"/>
        </w:rPr>
        <w:t xml:space="preserve"> se obtiene año a año mediante la aplicación del balance antes descrito.</w:t>
      </w:r>
      <w:r>
        <w:rPr>
          <w:sz w:val="22"/>
          <w:szCs w:val="22"/>
        </w:rPr>
        <w:t xml:space="preserve"> Para la probabilidad de excedencia del 85%, se utilizaron las precipitaciones y los caudales anuales asociados a esta probabilidad. Como ya se mencionó, el término </w:t>
      </w:r>
      <w:r w:rsidRPr="00593327">
        <w:rPr>
          <w:i/>
          <w:sz w:val="22"/>
          <w:szCs w:val="22"/>
        </w:rPr>
        <w:t>Δ</w:t>
      </w:r>
      <w:r w:rsidRPr="007456B0">
        <w:rPr>
          <w:sz w:val="22"/>
          <w:szCs w:val="22"/>
        </w:rPr>
        <w:t xml:space="preserve"> toma un valor posi</w:t>
      </w:r>
      <w:r>
        <w:rPr>
          <w:sz w:val="22"/>
          <w:szCs w:val="22"/>
        </w:rPr>
        <w:t>tivo si se requiere una salida de agua del sistema (volumen de control) para satisfacer el balance hídrico superficial y un valor negativo si se requiere un ingreso de agua al sistema para satisfacer este balance.</w:t>
      </w:r>
    </w:p>
    <w:p w:rsidR="00C45E03" w:rsidRDefault="00C45E03" w:rsidP="00C45E03">
      <w:pPr>
        <w:pStyle w:val="Sinespaciado"/>
        <w:jc w:val="both"/>
        <w:rPr>
          <w:sz w:val="22"/>
          <w:szCs w:val="22"/>
        </w:rPr>
      </w:pPr>
    </w:p>
    <w:p w:rsidR="00A477FC" w:rsidRPr="00151F77" w:rsidRDefault="00A477FC" w:rsidP="00A477FC">
      <w:pPr>
        <w:pStyle w:val="Sinespaciado"/>
        <w:jc w:val="both"/>
        <w:rPr>
          <w:sz w:val="22"/>
          <w:szCs w:val="22"/>
        </w:rPr>
      </w:pPr>
      <w:r w:rsidRPr="007456B0">
        <w:rPr>
          <w:sz w:val="22"/>
          <w:szCs w:val="22"/>
        </w:rPr>
        <w:t>En</w:t>
      </w:r>
      <w:r>
        <w:rPr>
          <w:sz w:val="22"/>
          <w:szCs w:val="22"/>
        </w:rPr>
        <w:t xml:space="preserve"> el caso particular de las cuencas costeras,</w:t>
      </w:r>
      <w:r w:rsidRPr="007456B0">
        <w:rPr>
          <w:sz w:val="22"/>
          <w:szCs w:val="22"/>
        </w:rPr>
        <w:t xml:space="preserve"> el balance fue realizado con los resultados obtenidos de la aplicación del modelo pluvial MPL. </w:t>
      </w:r>
      <w:r>
        <w:rPr>
          <w:sz w:val="22"/>
          <w:szCs w:val="22"/>
        </w:rPr>
        <w:t xml:space="preserve">Debido </w:t>
      </w:r>
      <w:r w:rsidRPr="007456B0">
        <w:rPr>
          <w:sz w:val="22"/>
          <w:szCs w:val="22"/>
        </w:rPr>
        <w:t>a que la cuenca de calibración se encuentra en régimen natural, los caudales obtenidos de la aplicación del modelo corresponden a la oferta de recurso hídrico.</w:t>
      </w:r>
      <w:r>
        <w:rPr>
          <w:sz w:val="22"/>
          <w:szCs w:val="22"/>
        </w:rPr>
        <w:t xml:space="preserve"> El caudal de salida corresponde entonces a la diferencia entre el caudal ofertado y la demanda estimada, siendo mayor a cero en casos en que la oferta alcanza a satisfacer la demanda y menor a cero en caso contrario.</w:t>
      </w:r>
      <w:r w:rsidRPr="007456B0">
        <w:rPr>
          <w:sz w:val="22"/>
          <w:szCs w:val="22"/>
        </w:rPr>
        <w:t xml:space="preserve"> </w:t>
      </w:r>
      <w:r>
        <w:rPr>
          <w:sz w:val="22"/>
          <w:szCs w:val="22"/>
        </w:rPr>
        <w:t xml:space="preserve">No se considera en estas cuencas un término </w:t>
      </w:r>
      <w:r w:rsidRPr="00151F77">
        <w:rPr>
          <w:i/>
          <w:sz w:val="22"/>
          <w:szCs w:val="22"/>
        </w:rPr>
        <w:t>Δ</w:t>
      </w:r>
      <w:r>
        <w:rPr>
          <w:i/>
          <w:sz w:val="22"/>
          <w:szCs w:val="22"/>
        </w:rPr>
        <w:t>.</w:t>
      </w:r>
    </w:p>
    <w:p w:rsidR="00C45E03" w:rsidRDefault="00C45E03" w:rsidP="00C45E03">
      <w:pPr>
        <w:pStyle w:val="Sinespaciado"/>
        <w:jc w:val="both"/>
        <w:rPr>
          <w:sz w:val="22"/>
          <w:szCs w:val="22"/>
        </w:rPr>
      </w:pPr>
    </w:p>
    <w:p w:rsidR="00C45E03" w:rsidRDefault="00C45E03" w:rsidP="00C45E03">
      <w:pPr>
        <w:pStyle w:val="Sinespaciado"/>
        <w:jc w:val="both"/>
        <w:rPr>
          <w:sz w:val="22"/>
          <w:szCs w:val="22"/>
        </w:rPr>
      </w:pPr>
      <w:r>
        <w:rPr>
          <w:sz w:val="22"/>
          <w:szCs w:val="22"/>
        </w:rPr>
        <w:t>Como antecedente se</w:t>
      </w:r>
      <w:r w:rsidR="00B969EB">
        <w:rPr>
          <w:sz w:val="22"/>
          <w:szCs w:val="22"/>
        </w:rPr>
        <w:t xml:space="preserve"> menciona</w:t>
      </w:r>
      <w:r>
        <w:rPr>
          <w:sz w:val="22"/>
          <w:szCs w:val="22"/>
        </w:rPr>
        <w:t xml:space="preserve"> el Balance Hídrico de Chile (DGA, 1987), en el cual se trabajó principalmente en las cuencas altas de la región. </w:t>
      </w:r>
      <w:smartTag w:uri="urn:schemas-microsoft-com:office:smarttags" w:element="PersonName">
        <w:smartTagPr>
          <w:attr w:name="ProductID" w:val="la ￼￼￼￼￼￼￼￼￼￼￼￼￼￼￼￼￼￼￼￼￼￼￼￼￼￼￼￼￼￼￼￼￼￼￼￼￼￼￼￼￼Tabla"/>
        </w:smartTagPr>
        <w:r w:rsidRPr="004C0C10">
          <w:rPr>
            <w:sz w:val="22"/>
            <w:szCs w:val="22"/>
          </w:rPr>
          <w:t xml:space="preserve">La </w:t>
        </w:r>
        <w:r w:rsidRPr="004C0C10">
          <w:rPr>
            <w:sz w:val="22"/>
            <w:szCs w:val="22"/>
          </w:rPr>
          <w:fldChar w:fldCharType="begin"/>
        </w:r>
        <w:r w:rsidRPr="004C0C10">
          <w:rPr>
            <w:sz w:val="22"/>
            <w:szCs w:val="22"/>
          </w:rPr>
          <w:instrText xml:space="preserve"> REF _Ref341866665 \h </w:instrText>
        </w:r>
        <w:r w:rsidRPr="004C0C10">
          <w:rPr>
            <w:sz w:val="22"/>
            <w:szCs w:val="22"/>
          </w:rPr>
        </w:r>
        <w:r>
          <w:rPr>
            <w:sz w:val="22"/>
            <w:szCs w:val="22"/>
          </w:rPr>
          <w:instrText xml:space="preserve"> \* MERGEFORMAT </w:instrText>
        </w:r>
        <w:r w:rsidRPr="004C0C10">
          <w:rPr>
            <w:sz w:val="22"/>
            <w:szCs w:val="22"/>
          </w:rPr>
          <w:fldChar w:fldCharType="separate"/>
        </w:r>
        <w:r w:rsidR="00264070" w:rsidRPr="00264070">
          <w:rPr>
            <w:sz w:val="22"/>
            <w:szCs w:val="22"/>
          </w:rPr>
          <w:t>Tabla</w:t>
        </w:r>
      </w:smartTag>
      <w:r w:rsidR="00264070" w:rsidRPr="00264070">
        <w:rPr>
          <w:sz w:val="22"/>
          <w:szCs w:val="22"/>
        </w:rPr>
        <w:t xml:space="preserve"> </w:t>
      </w:r>
      <w:r w:rsidR="00264070" w:rsidRPr="00264070">
        <w:rPr>
          <w:noProof/>
          <w:sz w:val="22"/>
          <w:szCs w:val="22"/>
        </w:rPr>
        <w:t>6.1</w:t>
      </w:r>
      <w:r w:rsidRPr="004C0C10">
        <w:rPr>
          <w:sz w:val="22"/>
          <w:szCs w:val="22"/>
        </w:rPr>
        <w:fldChar w:fldCharType="end"/>
      </w:r>
      <w:r>
        <w:rPr>
          <w:sz w:val="22"/>
          <w:szCs w:val="22"/>
        </w:rPr>
        <w:t xml:space="preserve"> muestra alguno de los balances realizados y la discrepancia Δ obtenida.</w:t>
      </w:r>
    </w:p>
    <w:p w:rsidR="00C45E03" w:rsidRDefault="00C45E03" w:rsidP="00C45E03">
      <w:pPr>
        <w:pStyle w:val="Sinespaciado"/>
        <w:jc w:val="both"/>
        <w:rPr>
          <w:sz w:val="22"/>
          <w:szCs w:val="22"/>
        </w:rPr>
      </w:pPr>
    </w:p>
    <w:p w:rsidR="00C45E03" w:rsidRDefault="00C45E03" w:rsidP="00C45E03">
      <w:pPr>
        <w:pStyle w:val="Epgrafe"/>
        <w:keepNext/>
      </w:pPr>
      <w:bookmarkStart w:id="417" w:name="_Ref341866665"/>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bookmarkEnd w:id="417"/>
      <w:r>
        <w:t xml:space="preserve"> Balance Hídrico en Cuencas de </w:t>
      </w:r>
      <w:smartTag w:uri="urn:schemas-microsoft-com:office:smarttags" w:element="PersonName">
        <w:smartTagPr>
          <w:attr w:name="ProductID" w:val="la Región"/>
        </w:smartTagPr>
        <w:r>
          <w:t>la Región</w:t>
        </w:r>
      </w:smartTag>
      <w:r>
        <w:t xml:space="preserve"> (DGA, 1987)</w:t>
      </w:r>
    </w:p>
    <w:tbl>
      <w:tblPr>
        <w:tblW w:w="8820" w:type="dxa"/>
        <w:jc w:val="center"/>
        <w:tblInd w:w="55" w:type="dxa"/>
        <w:tblCellMar>
          <w:left w:w="70" w:type="dxa"/>
          <w:right w:w="70" w:type="dxa"/>
        </w:tblCellMar>
        <w:tblLook w:val="04A0" w:firstRow="1" w:lastRow="0" w:firstColumn="1" w:lastColumn="0" w:noHBand="0" w:noVBand="1"/>
      </w:tblPr>
      <w:tblGrid>
        <w:gridCol w:w="3220"/>
        <w:gridCol w:w="661"/>
        <w:gridCol w:w="739"/>
        <w:gridCol w:w="661"/>
        <w:gridCol w:w="739"/>
        <w:gridCol w:w="661"/>
        <w:gridCol w:w="739"/>
        <w:gridCol w:w="661"/>
        <w:gridCol w:w="739"/>
      </w:tblGrid>
      <w:tr w:rsidR="00EE6CBA" w:rsidRPr="00EE6CBA">
        <w:trPr>
          <w:trHeight w:val="255"/>
          <w:jc w:val="center"/>
        </w:trPr>
        <w:tc>
          <w:tcPr>
            <w:tcW w:w="32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Cuenca</w:t>
            </w:r>
          </w:p>
        </w:tc>
        <w:tc>
          <w:tcPr>
            <w:tcW w:w="1400" w:type="dxa"/>
            <w:gridSpan w:val="2"/>
            <w:tcBorders>
              <w:top w:val="single" w:sz="4" w:space="0" w:color="auto"/>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P</w:t>
            </w:r>
          </w:p>
        </w:tc>
        <w:tc>
          <w:tcPr>
            <w:tcW w:w="1400" w:type="dxa"/>
            <w:gridSpan w:val="2"/>
            <w:tcBorders>
              <w:top w:val="single" w:sz="4" w:space="0" w:color="auto"/>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Q</w:t>
            </w:r>
          </w:p>
        </w:tc>
        <w:tc>
          <w:tcPr>
            <w:tcW w:w="1400" w:type="dxa"/>
            <w:gridSpan w:val="2"/>
            <w:tcBorders>
              <w:top w:val="single" w:sz="4" w:space="0" w:color="auto"/>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ET</w:t>
            </w:r>
          </w:p>
        </w:tc>
        <w:tc>
          <w:tcPr>
            <w:tcW w:w="1400" w:type="dxa"/>
            <w:gridSpan w:val="2"/>
            <w:tcBorders>
              <w:top w:val="single" w:sz="4" w:space="0" w:color="auto"/>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Δ</w:t>
            </w:r>
          </w:p>
        </w:tc>
      </w:tr>
      <w:tr w:rsidR="00EE6CBA" w:rsidRPr="00EE6CBA">
        <w:trPr>
          <w:trHeight w:val="255"/>
          <w:jc w:val="center"/>
        </w:trPr>
        <w:tc>
          <w:tcPr>
            <w:tcW w:w="3220" w:type="dxa"/>
            <w:vMerge/>
            <w:tcBorders>
              <w:top w:val="single" w:sz="4" w:space="0" w:color="auto"/>
              <w:left w:val="single" w:sz="4" w:space="0" w:color="auto"/>
              <w:bottom w:val="single" w:sz="4" w:space="0" w:color="auto"/>
              <w:right w:val="single" w:sz="4" w:space="0" w:color="auto"/>
            </w:tcBorders>
            <w:vAlign w:val="center"/>
          </w:tcPr>
          <w:p w:rsidR="00EE6CBA" w:rsidRPr="00EE6CBA" w:rsidRDefault="00EE6CBA" w:rsidP="00EE6CBA">
            <w:pPr>
              <w:jc w:val="left"/>
              <w:rPr>
                <w:rFonts w:cs="Arial"/>
                <w:color w:val="000000"/>
                <w:sz w:val="20"/>
                <w:szCs w:val="20"/>
                <w:lang w:val="es-CL" w:eastAsia="es-CL"/>
              </w:rPr>
            </w:pPr>
          </w:p>
        </w:tc>
        <w:tc>
          <w:tcPr>
            <w:tcW w:w="661"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[mm]</w:t>
            </w:r>
          </w:p>
        </w:tc>
        <w:tc>
          <w:tcPr>
            <w:tcW w:w="739"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w:t>
            </w:r>
            <w:r w:rsidRPr="00EE6CBA">
              <w:rPr>
                <w:rFonts w:ascii="Calibri" w:hAnsi="Calibri" w:cs="Arial"/>
                <w:color w:val="000000"/>
                <w:sz w:val="20"/>
                <w:szCs w:val="20"/>
                <w:lang w:val="es-CL" w:eastAsia="es-CL"/>
              </w:rPr>
              <w:t>³</w:t>
            </w:r>
            <w:r w:rsidRPr="00EE6CBA">
              <w:rPr>
                <w:rFonts w:cs="Arial"/>
                <w:color w:val="000000"/>
                <w:sz w:val="20"/>
                <w:szCs w:val="20"/>
                <w:lang w:val="es-CL" w:eastAsia="es-CL"/>
              </w:rPr>
              <w:t>/s]</w:t>
            </w:r>
          </w:p>
        </w:tc>
        <w:tc>
          <w:tcPr>
            <w:tcW w:w="661"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[mm]</w:t>
            </w:r>
          </w:p>
        </w:tc>
        <w:tc>
          <w:tcPr>
            <w:tcW w:w="739"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w:t>
            </w:r>
            <w:r w:rsidRPr="00EE6CBA">
              <w:rPr>
                <w:rFonts w:ascii="Calibri" w:hAnsi="Calibri" w:cs="Arial"/>
                <w:color w:val="000000"/>
                <w:sz w:val="20"/>
                <w:szCs w:val="20"/>
                <w:lang w:val="es-CL" w:eastAsia="es-CL"/>
              </w:rPr>
              <w:t>³</w:t>
            </w:r>
            <w:r w:rsidRPr="00EE6CBA">
              <w:rPr>
                <w:rFonts w:cs="Arial"/>
                <w:color w:val="000000"/>
                <w:sz w:val="20"/>
                <w:szCs w:val="20"/>
                <w:lang w:val="es-CL" w:eastAsia="es-CL"/>
              </w:rPr>
              <w:t>/s]</w:t>
            </w:r>
          </w:p>
        </w:tc>
        <w:tc>
          <w:tcPr>
            <w:tcW w:w="661"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[mm]</w:t>
            </w:r>
          </w:p>
        </w:tc>
        <w:tc>
          <w:tcPr>
            <w:tcW w:w="739"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w:t>
            </w:r>
            <w:r w:rsidRPr="00EE6CBA">
              <w:rPr>
                <w:rFonts w:ascii="Calibri" w:hAnsi="Calibri" w:cs="Arial"/>
                <w:color w:val="000000"/>
                <w:sz w:val="20"/>
                <w:szCs w:val="20"/>
                <w:lang w:val="es-CL" w:eastAsia="es-CL"/>
              </w:rPr>
              <w:t>³</w:t>
            </w:r>
            <w:r w:rsidRPr="00EE6CBA">
              <w:rPr>
                <w:rFonts w:cs="Arial"/>
                <w:color w:val="000000"/>
                <w:sz w:val="20"/>
                <w:szCs w:val="20"/>
                <w:lang w:val="es-CL" w:eastAsia="es-CL"/>
              </w:rPr>
              <w:t>/s]</w:t>
            </w:r>
          </w:p>
        </w:tc>
        <w:tc>
          <w:tcPr>
            <w:tcW w:w="661"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[mm]</w:t>
            </w:r>
          </w:p>
        </w:tc>
        <w:tc>
          <w:tcPr>
            <w:tcW w:w="739" w:type="dxa"/>
            <w:tcBorders>
              <w:top w:val="nil"/>
              <w:left w:val="nil"/>
              <w:bottom w:val="single" w:sz="4" w:space="0" w:color="auto"/>
              <w:right w:val="single" w:sz="4" w:space="0" w:color="auto"/>
            </w:tcBorders>
            <w:shd w:val="clear" w:color="auto" w:fill="auto"/>
            <w:noWrap/>
            <w:vAlign w:val="center"/>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[m</w:t>
            </w:r>
            <w:r w:rsidRPr="00EE6CBA">
              <w:rPr>
                <w:rFonts w:ascii="Calibri" w:hAnsi="Calibri" w:cs="Arial"/>
                <w:color w:val="000000"/>
                <w:sz w:val="20"/>
                <w:szCs w:val="20"/>
                <w:lang w:val="es-CL" w:eastAsia="es-CL"/>
              </w:rPr>
              <w:t>³</w:t>
            </w:r>
            <w:r w:rsidRPr="00EE6CBA">
              <w:rPr>
                <w:rFonts w:cs="Arial"/>
                <w:color w:val="000000"/>
                <w:sz w:val="20"/>
                <w:szCs w:val="20"/>
                <w:lang w:val="es-CL" w:eastAsia="es-CL"/>
              </w:rPr>
              <w:t>/s]</w:t>
            </w:r>
          </w:p>
        </w:tc>
      </w:tr>
      <w:tr w:rsidR="00EE6CBA" w:rsidRPr="00EE6CBA">
        <w:trPr>
          <w:trHeight w:val="255"/>
          <w:jc w:val="center"/>
        </w:trPr>
        <w:tc>
          <w:tcPr>
            <w:tcW w:w="3220" w:type="dxa"/>
            <w:tcBorders>
              <w:top w:val="nil"/>
              <w:left w:val="single" w:sz="4" w:space="0" w:color="auto"/>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Estero Alhué en Quilamuta</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560</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14</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136</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3,4</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450</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11,2</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-24</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-0,6</w:t>
            </w:r>
          </w:p>
        </w:tc>
      </w:tr>
      <w:tr w:rsidR="00EE6CBA" w:rsidRPr="00EE6CBA">
        <w:trPr>
          <w:trHeight w:val="255"/>
          <w:jc w:val="center"/>
        </w:trPr>
        <w:tc>
          <w:tcPr>
            <w:tcW w:w="3220" w:type="dxa"/>
            <w:tcBorders>
              <w:top w:val="nil"/>
              <w:left w:val="single" w:sz="4" w:space="0" w:color="auto"/>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Río Claro en Hacienda Las Nieves</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1395</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12,2</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823</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7,2</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559</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4,89</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13</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0,11</w:t>
            </w:r>
          </w:p>
        </w:tc>
      </w:tr>
      <w:tr w:rsidR="00EE6CBA" w:rsidRPr="00EE6CBA">
        <w:trPr>
          <w:trHeight w:val="255"/>
          <w:jc w:val="center"/>
        </w:trPr>
        <w:tc>
          <w:tcPr>
            <w:tcW w:w="3220" w:type="dxa"/>
            <w:tcBorders>
              <w:top w:val="nil"/>
              <w:left w:val="single" w:sz="4" w:space="0" w:color="auto"/>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Río Claro en el Valle</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1626</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24,5</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1026</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15,5</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590</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8,91</w:t>
            </w:r>
          </w:p>
        </w:tc>
        <w:tc>
          <w:tcPr>
            <w:tcW w:w="661"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10</w:t>
            </w:r>
          </w:p>
        </w:tc>
        <w:tc>
          <w:tcPr>
            <w:tcW w:w="739" w:type="dxa"/>
            <w:tcBorders>
              <w:top w:val="nil"/>
              <w:left w:val="nil"/>
              <w:bottom w:val="single" w:sz="4" w:space="0" w:color="auto"/>
              <w:right w:val="single" w:sz="4" w:space="0" w:color="auto"/>
            </w:tcBorders>
            <w:shd w:val="clear" w:color="auto" w:fill="auto"/>
            <w:noWrap/>
            <w:vAlign w:val="bottom"/>
          </w:tcPr>
          <w:p w:rsidR="00EE6CBA" w:rsidRPr="00EE6CBA" w:rsidRDefault="00EE6CBA" w:rsidP="00EE6CBA">
            <w:pPr>
              <w:jc w:val="center"/>
              <w:rPr>
                <w:rFonts w:cs="Arial"/>
                <w:color w:val="000000"/>
                <w:sz w:val="20"/>
                <w:szCs w:val="20"/>
                <w:lang w:val="es-CL" w:eastAsia="es-CL"/>
              </w:rPr>
            </w:pPr>
            <w:r w:rsidRPr="00EE6CBA">
              <w:rPr>
                <w:rFonts w:cs="Arial"/>
                <w:color w:val="000000"/>
                <w:sz w:val="20"/>
                <w:szCs w:val="20"/>
                <w:lang w:val="es-CL" w:eastAsia="es-CL"/>
              </w:rPr>
              <w:t>0,09</w:t>
            </w:r>
          </w:p>
        </w:tc>
      </w:tr>
    </w:tbl>
    <w:p w:rsidR="00C45E03" w:rsidRDefault="00C45E03" w:rsidP="00C45E03">
      <w:pPr>
        <w:pStyle w:val="Sinespaciado"/>
        <w:jc w:val="both"/>
        <w:rPr>
          <w:sz w:val="22"/>
          <w:szCs w:val="22"/>
        </w:rPr>
      </w:pPr>
    </w:p>
    <w:p w:rsidR="00C45E03" w:rsidRDefault="00C45E03" w:rsidP="00C45E03">
      <w:pPr>
        <w:pStyle w:val="Sinespaciado"/>
        <w:jc w:val="both"/>
        <w:rPr>
          <w:sz w:val="22"/>
          <w:szCs w:val="22"/>
        </w:rPr>
      </w:pPr>
      <w:r>
        <w:rPr>
          <w:sz w:val="22"/>
          <w:szCs w:val="22"/>
        </w:rPr>
        <w:t>De la tabla anterior</w:t>
      </w:r>
      <w:r w:rsidR="00B25E63">
        <w:rPr>
          <w:sz w:val="22"/>
          <w:szCs w:val="22"/>
        </w:rPr>
        <w:t xml:space="preserve">, tanto </w:t>
      </w:r>
      <w:r w:rsidR="00B969EB">
        <w:rPr>
          <w:sz w:val="22"/>
          <w:szCs w:val="22"/>
        </w:rPr>
        <w:t xml:space="preserve">Río </w:t>
      </w:r>
      <w:r w:rsidR="00B25E63">
        <w:rPr>
          <w:sz w:val="22"/>
          <w:szCs w:val="22"/>
        </w:rPr>
        <w:t xml:space="preserve">Claro en Hacienda Las Nieves como </w:t>
      </w:r>
      <w:r w:rsidR="00B969EB">
        <w:rPr>
          <w:sz w:val="22"/>
          <w:szCs w:val="22"/>
        </w:rPr>
        <w:t xml:space="preserve">Río </w:t>
      </w:r>
      <w:r w:rsidR="00B25E63">
        <w:rPr>
          <w:sz w:val="22"/>
          <w:szCs w:val="22"/>
        </w:rPr>
        <w:t>Claro en el Valle</w:t>
      </w:r>
      <w:r>
        <w:rPr>
          <w:sz w:val="22"/>
          <w:szCs w:val="22"/>
        </w:rPr>
        <w:t xml:space="preserve"> </w:t>
      </w:r>
      <w:r w:rsidR="00B25E63">
        <w:rPr>
          <w:sz w:val="22"/>
          <w:szCs w:val="22"/>
        </w:rPr>
        <w:t>corresponden a cuencas sin acuífero en donde</w:t>
      </w:r>
      <w:r>
        <w:rPr>
          <w:sz w:val="22"/>
          <w:szCs w:val="22"/>
        </w:rPr>
        <w:t xml:space="preserve"> </w:t>
      </w:r>
      <w:r w:rsidR="00B969EB">
        <w:rPr>
          <w:sz w:val="22"/>
          <w:szCs w:val="22"/>
        </w:rPr>
        <w:t>no se produce el cierre del balance</w:t>
      </w:r>
      <w:r>
        <w:rPr>
          <w:sz w:val="22"/>
          <w:szCs w:val="22"/>
        </w:rPr>
        <w:t xml:space="preserve">, </w:t>
      </w:r>
      <w:r w:rsidR="00B969EB">
        <w:rPr>
          <w:sz w:val="22"/>
          <w:szCs w:val="22"/>
        </w:rPr>
        <w:t xml:space="preserve">asociado a la </w:t>
      </w:r>
      <w:r>
        <w:rPr>
          <w:sz w:val="22"/>
          <w:szCs w:val="22"/>
        </w:rPr>
        <w:t xml:space="preserve">incertidumbre propia de la estimación de la precipitación y evapotranspiración, </w:t>
      </w:r>
      <w:r w:rsidR="005C61A4">
        <w:rPr>
          <w:sz w:val="22"/>
          <w:szCs w:val="22"/>
        </w:rPr>
        <w:t>así</w:t>
      </w:r>
      <w:r>
        <w:rPr>
          <w:sz w:val="22"/>
          <w:szCs w:val="22"/>
        </w:rPr>
        <w:t xml:space="preserve"> como también del registro de caudales.</w:t>
      </w:r>
      <w:r w:rsidR="00B25E63">
        <w:rPr>
          <w:sz w:val="22"/>
          <w:szCs w:val="22"/>
        </w:rPr>
        <w:t xml:space="preserve"> Por lo anterior, es de esperar que valores </w:t>
      </w:r>
      <w:r w:rsidR="00B969EB">
        <w:rPr>
          <w:sz w:val="22"/>
          <w:szCs w:val="22"/>
        </w:rPr>
        <w:t xml:space="preserve">bajos del término de discrepancia correspondan a la incertidumbre propia de cada una de las variables consideradas, lo que se vuelve más complejo a la hora de considerar cuencas con alto grado </w:t>
      </w:r>
      <w:r w:rsidR="00B969EB">
        <w:rPr>
          <w:sz w:val="22"/>
          <w:szCs w:val="22"/>
        </w:rPr>
        <w:lastRenderedPageBreak/>
        <w:t>de demandas.</w:t>
      </w:r>
      <w:r w:rsidR="00B25E63">
        <w:rPr>
          <w:sz w:val="22"/>
          <w:szCs w:val="22"/>
        </w:rPr>
        <w:t>En el caso de la cuenca de Alhué en Quilamuta, en donde se encuentra el acuífero d</w:t>
      </w:r>
      <w:r w:rsidR="005C61A4">
        <w:rPr>
          <w:sz w:val="22"/>
          <w:szCs w:val="22"/>
        </w:rPr>
        <w:t>e Alhué, el balance es negativo. Más aún, no se señala la consideración de las demandas de riego existentes en la zona.</w:t>
      </w:r>
    </w:p>
    <w:p w:rsidR="00C45E03" w:rsidRDefault="00C45E03" w:rsidP="00B969EB">
      <w:pPr>
        <w:rPr>
          <w:lang w:val="es-ES_tradnl"/>
        </w:rPr>
      </w:pPr>
    </w:p>
    <w:p w:rsidR="00EE6CBA" w:rsidRPr="007456B0" w:rsidRDefault="00EE6CBA" w:rsidP="00B969EB">
      <w:pPr>
        <w:rPr>
          <w:lang w:val="es-ES_tradnl"/>
        </w:rPr>
      </w:pPr>
    </w:p>
    <w:p w:rsidR="00C45E03" w:rsidRPr="00F10F46" w:rsidRDefault="00C45E03" w:rsidP="003A149F">
      <w:pPr>
        <w:pStyle w:val="Ttulo3"/>
      </w:pPr>
      <w:bookmarkStart w:id="418" w:name="_Toc341802532"/>
      <w:bookmarkStart w:id="419" w:name="_Toc344391846"/>
      <w:r w:rsidRPr="00F10F46">
        <w:t>Consideraciones Hidrogeológicas</w:t>
      </w:r>
      <w:bookmarkEnd w:id="418"/>
      <w:bookmarkEnd w:id="419"/>
    </w:p>
    <w:p w:rsidR="003A149F" w:rsidRPr="003A149F" w:rsidRDefault="003A149F" w:rsidP="003A149F">
      <w:pPr>
        <w:rPr>
          <w:szCs w:val="22"/>
        </w:rPr>
      </w:pPr>
    </w:p>
    <w:p w:rsidR="003A149F" w:rsidRPr="003A149F" w:rsidRDefault="00B969EB" w:rsidP="003A149F">
      <w:pPr>
        <w:rPr>
          <w:rFonts w:cs="Arial"/>
          <w:szCs w:val="22"/>
          <w:lang w:val="es-CL"/>
        </w:rPr>
      </w:pPr>
      <w:r>
        <w:rPr>
          <w:rFonts w:cs="Arial"/>
          <w:szCs w:val="22"/>
          <w:lang w:val="es-CL"/>
        </w:rPr>
        <w:t xml:space="preserve">Con el objetivo de </w:t>
      </w:r>
      <w:r w:rsidR="003A149F" w:rsidRPr="003A149F">
        <w:rPr>
          <w:rFonts w:cs="Arial"/>
          <w:szCs w:val="22"/>
          <w:lang w:val="es-CL"/>
        </w:rPr>
        <w:t>evaluar caudales de agua subterránea asociados a volúmenes de almacenamiento de los acuíferos, se ha procedido con la metodología que se presenta a continuación.</w:t>
      </w:r>
    </w:p>
    <w:p w:rsidR="003A149F" w:rsidRPr="00F56AEE" w:rsidRDefault="003A149F" w:rsidP="00F56AEE">
      <w:pPr>
        <w:pStyle w:val="Ttulo4Ttulo4"/>
        <w:keepNext w:val="0"/>
        <w:widowControl w:val="0"/>
      </w:pPr>
      <w:bookmarkStart w:id="420" w:name="_Toc344391847"/>
      <w:r w:rsidRPr="00F56AEE">
        <w:t>Volúmenes de Acuíferos</w:t>
      </w:r>
      <w:bookmarkEnd w:id="420"/>
    </w:p>
    <w:p w:rsidR="003A149F" w:rsidRDefault="003A149F" w:rsidP="003A149F">
      <w:pPr>
        <w:rPr>
          <w:lang w:val="es-ES_tradnl"/>
        </w:rPr>
      </w:pPr>
    </w:p>
    <w:p w:rsidR="003A149F" w:rsidRPr="003A149F" w:rsidRDefault="003A149F" w:rsidP="003A149F">
      <w:pPr>
        <w:rPr>
          <w:rFonts w:cs="Arial"/>
          <w:szCs w:val="22"/>
          <w:lang w:val="es-CL"/>
        </w:rPr>
      </w:pPr>
      <w:r w:rsidRPr="003A149F">
        <w:rPr>
          <w:rFonts w:cs="Arial"/>
          <w:szCs w:val="22"/>
          <w:lang w:val="es-CL"/>
        </w:rPr>
        <w:t xml:space="preserve">Para evaluar en forma simplificada los volúmenes del relleno de cada uno de los acuíferos que se analizan en </w:t>
      </w:r>
      <w:smartTag w:uri="urn:schemas-microsoft-com:office:smarttags" w:element="PersonName">
        <w:smartTagPr>
          <w:attr w:name="ProductID" w:val="la VI Región"/>
        </w:smartTagPr>
        <w:r w:rsidRPr="003A149F">
          <w:rPr>
            <w:rFonts w:cs="Arial"/>
            <w:szCs w:val="22"/>
            <w:lang w:val="es-CL"/>
          </w:rPr>
          <w:t>la VI Región</w:t>
        </w:r>
      </w:smartTag>
      <w:r w:rsidRPr="003A149F">
        <w:rPr>
          <w:rFonts w:cs="Arial"/>
          <w:szCs w:val="22"/>
          <w:lang w:val="es-CL"/>
        </w:rPr>
        <w:t>, se procedió a trabajar con modelos hidrogeológicos desarrollados con el software Visual Modflow, en aquellos acuíferos asociados a las cuencas del Cachapoal y Tinguiririca. Los modelos usados fueron parte de los siguientes estudios:</w:t>
      </w:r>
    </w:p>
    <w:p w:rsidR="003A149F" w:rsidRPr="003A149F" w:rsidRDefault="003A149F" w:rsidP="003A149F">
      <w:pPr>
        <w:rPr>
          <w:rFonts w:cs="Arial"/>
          <w:szCs w:val="22"/>
          <w:lang w:val="es-CL"/>
        </w:rPr>
      </w:pPr>
    </w:p>
    <w:p w:rsidR="003A149F" w:rsidRDefault="003A149F" w:rsidP="00145762">
      <w:pPr>
        <w:pStyle w:val="ListParagraph"/>
        <w:numPr>
          <w:ilvl w:val="0"/>
          <w:numId w:val="23"/>
        </w:numPr>
        <w:spacing w:after="0"/>
        <w:jc w:val="both"/>
        <w:rPr>
          <w:rFonts w:ascii="Arial" w:hAnsi="Arial" w:cs="Arial"/>
        </w:rPr>
      </w:pPr>
      <w:r w:rsidRPr="003A149F">
        <w:rPr>
          <w:rFonts w:ascii="Arial" w:hAnsi="Arial" w:cs="Arial"/>
        </w:rPr>
        <w:t xml:space="preserve">Evaluación de los Recursos Hídricos Subterráneos de </w:t>
      </w:r>
      <w:smartTag w:uri="urn:schemas-microsoft-com:office:smarttags" w:element="PersonName">
        <w:smartTagPr>
          <w:attr w:name="ProductID" w:val="la VI Región"/>
        </w:smartTagPr>
        <w:r w:rsidRPr="003A149F">
          <w:rPr>
            <w:rFonts w:ascii="Arial" w:hAnsi="Arial" w:cs="Arial"/>
          </w:rPr>
          <w:t>la VI Región</w:t>
        </w:r>
      </w:smartTag>
      <w:r w:rsidRPr="003A149F">
        <w:rPr>
          <w:rFonts w:ascii="Arial" w:hAnsi="Arial" w:cs="Arial"/>
        </w:rPr>
        <w:t>, Modelación Hidrogeológica de los Valles de Alhué, Cachapoal y Tinguiririca”, Dictuc, DGA 2005.</w:t>
      </w:r>
    </w:p>
    <w:p w:rsidR="003A149F" w:rsidRDefault="003A149F" w:rsidP="003A149F">
      <w:pPr>
        <w:pStyle w:val="ListParagraph"/>
        <w:spacing w:after="0"/>
        <w:ind w:left="360"/>
        <w:jc w:val="both"/>
        <w:rPr>
          <w:rFonts w:ascii="Arial" w:hAnsi="Arial" w:cs="Arial"/>
        </w:rPr>
      </w:pPr>
    </w:p>
    <w:p w:rsidR="003A149F" w:rsidRPr="00276A04" w:rsidRDefault="005279AC" w:rsidP="00145762">
      <w:pPr>
        <w:pStyle w:val="ListParagraph"/>
        <w:numPr>
          <w:ilvl w:val="0"/>
          <w:numId w:val="24"/>
        </w:numPr>
        <w:tabs>
          <w:tab w:val="clear" w:pos="720"/>
        </w:tabs>
        <w:spacing w:after="0"/>
        <w:ind w:hanging="720"/>
        <w:jc w:val="both"/>
        <w:rPr>
          <w:rFonts w:ascii="Arial" w:hAnsi="Arial" w:cs="Arial"/>
          <w:b/>
        </w:rPr>
      </w:pPr>
      <w:r w:rsidRPr="00276A04">
        <w:rPr>
          <w:rFonts w:ascii="Arial" w:hAnsi="Arial" w:cs="Arial"/>
          <w:b/>
        </w:rPr>
        <w:t>Procedimiento utilizado en el cálculo del Volumen Real</w:t>
      </w:r>
    </w:p>
    <w:p w:rsidR="005279AC" w:rsidRDefault="005279AC" w:rsidP="005279AC">
      <w:pPr>
        <w:pStyle w:val="ListParagraph"/>
        <w:spacing w:after="0"/>
        <w:ind w:left="0"/>
        <w:jc w:val="both"/>
        <w:rPr>
          <w:rFonts w:ascii="Arial" w:hAnsi="Arial" w:cs="Arial"/>
        </w:rPr>
      </w:pPr>
    </w:p>
    <w:p w:rsidR="005279AC" w:rsidRPr="005279AC" w:rsidRDefault="005279AC" w:rsidP="005279AC">
      <w:pPr>
        <w:rPr>
          <w:rFonts w:cs="Arial"/>
          <w:szCs w:val="22"/>
          <w:lang w:val="es-CL"/>
        </w:rPr>
      </w:pPr>
      <w:r w:rsidRPr="005279AC">
        <w:rPr>
          <w:rFonts w:cs="Arial"/>
          <w:szCs w:val="22"/>
          <w:lang w:val="es-CL"/>
        </w:rPr>
        <w:t xml:space="preserve">El modelo Visual Modflow entrega la información base para obtener el Volumen “real” del acuífero. Como ejemplo se presenta en </w:t>
      </w:r>
      <w:smartTag w:uri="urn:schemas-microsoft-com:office:smarttags" w:element="PersonName">
        <w:smartTagPr>
          <w:attr w:name="ProductID" w:val="la ￼￼￼￼￼￼￼￼￼￼￼￼￼￼￼￼￼￼￼￼￼￼￼￼￼Figura"/>
        </w:smartTagPr>
        <w:r w:rsidRPr="005279AC">
          <w:rPr>
            <w:rFonts w:cs="Arial"/>
            <w:szCs w:val="22"/>
            <w:lang w:val="es-CL"/>
          </w:rPr>
          <w:t>la</w:t>
        </w:r>
        <w:r w:rsidR="00AE103B">
          <w:rPr>
            <w:rFonts w:cs="Arial"/>
            <w:szCs w:val="22"/>
            <w:lang w:val="es-CL"/>
          </w:rPr>
          <w:t xml:space="preserve"> </w:t>
        </w:r>
        <w:r w:rsidR="00AE103B">
          <w:rPr>
            <w:rFonts w:cs="Arial"/>
            <w:szCs w:val="22"/>
            <w:lang w:val="es-CL"/>
          </w:rPr>
          <w:fldChar w:fldCharType="begin"/>
        </w:r>
        <w:r w:rsidR="00AE103B">
          <w:rPr>
            <w:rFonts w:cs="Arial"/>
            <w:szCs w:val="22"/>
            <w:lang w:val="es-CL"/>
          </w:rPr>
          <w:instrText xml:space="preserve"> REF _Ref342550390 \h </w:instrText>
        </w:r>
        <w:r w:rsidR="00AE103B">
          <w:rPr>
            <w:rFonts w:cs="Arial"/>
            <w:szCs w:val="22"/>
            <w:lang w:val="es-CL"/>
          </w:rPr>
        </w:r>
        <w:r w:rsidR="00AE103B">
          <w:rPr>
            <w:rFonts w:cs="Arial"/>
            <w:szCs w:val="22"/>
            <w:lang w:val="es-CL"/>
          </w:rPr>
          <w:fldChar w:fldCharType="separate"/>
        </w:r>
        <w:r w:rsidR="00264070">
          <w:t>Figura</w:t>
        </w:r>
      </w:smartTag>
      <w:r w:rsidR="00264070">
        <w:t xml:space="preserve"> </w:t>
      </w:r>
      <w:r w:rsidR="00264070">
        <w:rPr>
          <w:noProof/>
        </w:rPr>
        <w:t>6</w:t>
      </w:r>
      <w:r w:rsidR="00264070">
        <w:t>.</w:t>
      </w:r>
      <w:r w:rsidR="00264070">
        <w:rPr>
          <w:noProof/>
        </w:rPr>
        <w:t>2</w:t>
      </w:r>
      <w:r w:rsidR="00AE103B">
        <w:rPr>
          <w:rFonts w:cs="Arial"/>
          <w:szCs w:val="22"/>
          <w:lang w:val="es-CL"/>
        </w:rPr>
        <w:fldChar w:fldCharType="end"/>
      </w:r>
      <w:r w:rsidR="00AE103B">
        <w:rPr>
          <w:rFonts w:cs="Arial"/>
          <w:szCs w:val="22"/>
          <w:lang w:val="es-CL"/>
        </w:rPr>
        <w:t xml:space="preserve"> </w:t>
      </w:r>
      <w:r w:rsidRPr="005279AC">
        <w:rPr>
          <w:rFonts w:cs="Arial"/>
          <w:szCs w:val="22"/>
          <w:lang w:val="es-CL"/>
        </w:rPr>
        <w:t>el Acuífero de Cachapoal.</w:t>
      </w:r>
    </w:p>
    <w:p w:rsidR="003A149F" w:rsidRPr="003A149F" w:rsidRDefault="003A149F" w:rsidP="003A149F">
      <w:pPr>
        <w:rPr>
          <w:lang w:val="es-ES_tradnl"/>
        </w:rPr>
      </w:pPr>
    </w:p>
    <w:p w:rsidR="005279AC" w:rsidRDefault="005279AC" w:rsidP="005279AC">
      <w:pPr>
        <w:pStyle w:val="Epgrafe"/>
        <w:keepNext/>
      </w:pPr>
      <w:bookmarkStart w:id="421" w:name="_Ref342550366"/>
      <w:bookmarkStart w:id="422" w:name="_Ref342550390"/>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w:t>
      </w:r>
      <w:r w:rsidR="00951FEC">
        <w:fldChar w:fldCharType="end"/>
      </w:r>
      <w:bookmarkEnd w:id="422"/>
      <w:r>
        <w:t xml:space="preserve"> Modelo del Acuífero del Cachapoal Visual Modflow.</w:t>
      </w:r>
      <w:bookmarkEnd w:id="421"/>
    </w:p>
    <w:p w:rsidR="00C45E03" w:rsidRPr="005279AC" w:rsidRDefault="00254CE2" w:rsidP="003155DE">
      <w:pPr>
        <w:pStyle w:val="NormalSangra"/>
        <w:keepNext/>
        <w:ind w:firstLine="0"/>
        <w:jc w:val="center"/>
      </w:pPr>
      <w:r>
        <w:rPr>
          <w:noProof/>
          <w:lang w:eastAsia="es-CL"/>
        </w:rPr>
        <w:drawing>
          <wp:inline distT="0" distB="0" distL="0" distR="0">
            <wp:extent cx="3870325" cy="3306445"/>
            <wp:effectExtent l="0" t="0" r="0" b="8255"/>
            <wp:docPr id="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3">
                      <a:extLst>
                        <a:ext uri="{28A0092B-C50C-407E-A947-70E740481C1C}">
                          <a14:useLocalDpi xmlns:a14="http://schemas.microsoft.com/office/drawing/2010/main" val="0"/>
                        </a:ext>
                      </a:extLst>
                    </a:blip>
                    <a:srcRect l="24701" t="3003" r="17284" b="9930"/>
                    <a:stretch>
                      <a:fillRect/>
                    </a:stretch>
                  </pic:blipFill>
                  <pic:spPr bwMode="auto">
                    <a:xfrm>
                      <a:off x="0" y="0"/>
                      <a:ext cx="3870325" cy="3306445"/>
                    </a:xfrm>
                    <a:prstGeom prst="rect">
                      <a:avLst/>
                    </a:prstGeom>
                    <a:noFill/>
                    <a:ln>
                      <a:noFill/>
                    </a:ln>
                  </pic:spPr>
                </pic:pic>
              </a:graphicData>
            </a:graphic>
          </wp:inline>
        </w:drawing>
      </w:r>
    </w:p>
    <w:p w:rsidR="00C45E03" w:rsidRPr="00D13978" w:rsidRDefault="00C45E03" w:rsidP="00C45E03">
      <w:pPr>
        <w:pStyle w:val="NormalSangra"/>
        <w:rPr>
          <w:lang w:val="es-ES_tradnl"/>
        </w:rPr>
      </w:pPr>
    </w:p>
    <w:p w:rsidR="005279AC" w:rsidRDefault="005279AC" w:rsidP="005279AC">
      <w:pPr>
        <w:rPr>
          <w:rFonts w:cs="Arial"/>
          <w:szCs w:val="22"/>
          <w:lang w:val="es-CL"/>
        </w:rPr>
      </w:pPr>
      <w:bookmarkStart w:id="423" w:name="_Toc341802533"/>
      <w:r w:rsidRPr="005279AC">
        <w:rPr>
          <w:rFonts w:cs="Arial"/>
          <w:szCs w:val="22"/>
          <w:lang w:val="es-CL"/>
        </w:rPr>
        <w:lastRenderedPageBreak/>
        <w:t>El modelo está compuesto por una Grilla donde cada celda representa una porción del acuífero. Por lo tanto el objetivo es obtener volumen de cada cubo que forma el acuífero, para luego</w:t>
      </w:r>
      <w:r w:rsidR="00B969EB">
        <w:rPr>
          <w:rFonts w:cs="Arial"/>
          <w:szCs w:val="22"/>
          <w:lang w:val="es-CL"/>
        </w:rPr>
        <w:t xml:space="preserve"> con</w:t>
      </w:r>
      <w:r w:rsidRPr="005279AC">
        <w:rPr>
          <w:rFonts w:cs="Arial"/>
          <w:szCs w:val="22"/>
          <w:lang w:val="es-CL"/>
        </w:rPr>
        <w:t xml:space="preserve"> la suma de estos volúmenes, obtener el volumen total “real” del acuífero (ver Figura 6.</w:t>
      </w:r>
      <w:r>
        <w:rPr>
          <w:rFonts w:cs="Arial"/>
          <w:szCs w:val="22"/>
          <w:lang w:val="es-CL"/>
        </w:rPr>
        <w:t>3</w:t>
      </w:r>
      <w:r w:rsidRPr="005279AC">
        <w:rPr>
          <w:rFonts w:cs="Arial"/>
          <w:szCs w:val="22"/>
          <w:lang w:val="es-CL"/>
        </w:rPr>
        <w:t>).</w:t>
      </w:r>
    </w:p>
    <w:p w:rsidR="005279AC" w:rsidRPr="005279AC" w:rsidRDefault="005279AC" w:rsidP="005279AC">
      <w:pPr>
        <w:rPr>
          <w:rFonts w:cs="Arial"/>
          <w:szCs w:val="22"/>
          <w:lang w:val="es-CL"/>
        </w:rPr>
      </w:pPr>
    </w:p>
    <w:p w:rsidR="005279AC" w:rsidRDefault="005279AC" w:rsidP="005279AC">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w:t>
      </w:r>
      <w:r w:rsidR="00951FEC">
        <w:fldChar w:fldCharType="end"/>
      </w:r>
      <w:r>
        <w:t xml:space="preserve"> Representación del Acuífero a través de </w:t>
      </w:r>
      <w:smartTag w:uri="urn:schemas-microsoft-com:office:smarttags" w:element="PersonName">
        <w:smartTagPr>
          <w:attr w:name="ProductID" w:val="la Grilla"/>
        </w:smartTagPr>
        <w:r>
          <w:t>la Gril</w:t>
        </w:r>
        <w:r w:rsidR="00951FEC">
          <w:t>l</w:t>
        </w:r>
        <w:r>
          <w:t>a</w:t>
        </w:r>
      </w:smartTag>
    </w:p>
    <w:p w:rsidR="005279AC" w:rsidRDefault="00254CE2" w:rsidP="00276A04">
      <w:r>
        <w:rPr>
          <w:noProof/>
          <w:lang w:val="es-CL" w:eastAsia="es-CL"/>
        </w:rPr>
        <w:drawing>
          <wp:inline distT="0" distB="0" distL="0" distR="0">
            <wp:extent cx="5709920" cy="1882140"/>
            <wp:effectExtent l="0" t="0" r="5080" b="381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09920" cy="1882140"/>
                    </a:xfrm>
                    <a:prstGeom prst="rect">
                      <a:avLst/>
                    </a:prstGeom>
                    <a:noFill/>
                    <a:ln>
                      <a:noFill/>
                    </a:ln>
                  </pic:spPr>
                </pic:pic>
              </a:graphicData>
            </a:graphic>
          </wp:inline>
        </w:drawing>
      </w:r>
    </w:p>
    <w:p w:rsidR="00276A04" w:rsidRDefault="00276A04" w:rsidP="005279AC">
      <w:pPr>
        <w:rPr>
          <w:rFonts w:cs="Arial"/>
          <w:szCs w:val="22"/>
          <w:lang w:val="es-CL"/>
        </w:rPr>
      </w:pPr>
    </w:p>
    <w:p w:rsidR="005279AC" w:rsidRDefault="005279AC" w:rsidP="005279AC">
      <w:pPr>
        <w:rPr>
          <w:rFonts w:cs="Arial"/>
          <w:szCs w:val="22"/>
          <w:lang w:val="es-CL"/>
        </w:rPr>
      </w:pPr>
      <w:r w:rsidRPr="005279AC">
        <w:rPr>
          <w:rFonts w:cs="Arial"/>
          <w:szCs w:val="22"/>
          <w:lang w:val="es-CL"/>
        </w:rPr>
        <w:t xml:space="preserve">Desde Modflow se exporta la base de datos de </w:t>
      </w:r>
      <w:smartTag w:uri="urn:schemas-microsoft-com:office:smarttags" w:element="PersonName">
        <w:smartTagPr>
          <w:attr w:name="ProductID" w:val="la Grilla"/>
        </w:smartTagPr>
        <w:r w:rsidRPr="005279AC">
          <w:rPr>
            <w:rFonts w:cs="Arial"/>
            <w:szCs w:val="22"/>
            <w:lang w:val="es-CL"/>
          </w:rPr>
          <w:t>la Grilla</w:t>
        </w:r>
      </w:smartTag>
      <w:r w:rsidRPr="005279AC">
        <w:rPr>
          <w:rFonts w:cs="Arial"/>
          <w:szCs w:val="22"/>
          <w:lang w:val="es-CL"/>
        </w:rPr>
        <w:t xml:space="preserve"> del modelo siguiendo la secuencia “File/Export/Data”. Luego, el archivo se genera con extensión *.txt. A continuación, se exportan los datos de interés, a través de “Export Data” (columnas,  valores de cota de terreno (Top) y valores de la cota de Roca (</w:t>
      </w:r>
      <w:r w:rsidR="00951FEC">
        <w:rPr>
          <w:rFonts w:cs="Arial"/>
          <w:szCs w:val="22"/>
          <w:lang w:val="es-CL"/>
        </w:rPr>
        <w:t xml:space="preserve">Bot) del acuífero (ver </w:t>
      </w:r>
      <w:r w:rsidR="00951FEC">
        <w:rPr>
          <w:rFonts w:cs="Arial"/>
          <w:szCs w:val="22"/>
          <w:lang w:val="es-CL"/>
        </w:rPr>
        <w:fldChar w:fldCharType="begin"/>
      </w:r>
      <w:r w:rsidR="00951FEC">
        <w:rPr>
          <w:rFonts w:cs="Arial"/>
          <w:szCs w:val="22"/>
          <w:lang w:val="es-CL"/>
        </w:rPr>
        <w:instrText xml:space="preserve"> REF _Ref344356387 \h </w:instrText>
      </w:r>
      <w:r w:rsidR="00951FEC">
        <w:rPr>
          <w:rFonts w:cs="Arial"/>
          <w:szCs w:val="22"/>
          <w:lang w:val="es-CL"/>
        </w:rPr>
      </w:r>
      <w:r w:rsidR="00951FEC">
        <w:rPr>
          <w:rFonts w:cs="Arial"/>
          <w:szCs w:val="22"/>
          <w:lang w:val="es-CL"/>
        </w:rPr>
        <w:fldChar w:fldCharType="separate"/>
      </w:r>
      <w:r w:rsidR="00264070">
        <w:t xml:space="preserve">Figura </w:t>
      </w:r>
      <w:r w:rsidR="00264070">
        <w:rPr>
          <w:noProof/>
        </w:rPr>
        <w:t>6</w:t>
      </w:r>
      <w:r w:rsidR="00264070">
        <w:t>.</w:t>
      </w:r>
      <w:r w:rsidR="00264070">
        <w:rPr>
          <w:noProof/>
        </w:rPr>
        <w:t>4</w:t>
      </w:r>
      <w:r w:rsidR="00951FEC">
        <w:rPr>
          <w:rFonts w:cs="Arial"/>
          <w:szCs w:val="22"/>
          <w:lang w:val="es-CL"/>
        </w:rPr>
        <w:fldChar w:fldCharType="end"/>
      </w:r>
      <w:r w:rsidRPr="005279AC">
        <w:rPr>
          <w:rFonts w:cs="Arial"/>
          <w:szCs w:val="22"/>
          <w:lang w:val="es-CL"/>
        </w:rPr>
        <w:t>).</w:t>
      </w:r>
    </w:p>
    <w:p w:rsidR="00E45C9A" w:rsidRDefault="00E45C9A" w:rsidP="00E45C9A">
      <w:pPr>
        <w:jc w:val="center"/>
      </w:pPr>
    </w:p>
    <w:p w:rsidR="00DD20B1" w:rsidRDefault="00E45C9A" w:rsidP="00E45C9A">
      <w:pPr>
        <w:pStyle w:val="Epgrafe"/>
        <w:keepNext/>
      </w:pPr>
      <w:bookmarkStart w:id="424" w:name="_Ref344356387"/>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4</w:t>
      </w:r>
      <w:r w:rsidR="00951FEC">
        <w:fldChar w:fldCharType="end"/>
      </w:r>
      <w:bookmarkEnd w:id="424"/>
      <w:r>
        <w:t xml:space="preserve"> Exportar</w:t>
      </w:r>
      <w:r w:rsidR="00DD20B1">
        <w:t xml:space="preserve"> Base de Datos de </w:t>
      </w:r>
      <w:smartTag w:uri="urn:schemas-microsoft-com:office:smarttags" w:element="PersonName">
        <w:smartTagPr>
          <w:attr w:name="ProductID" w:val="la Grilla"/>
        </w:smartTagPr>
        <w:r w:rsidR="00DD20B1">
          <w:t>la Grilla</w:t>
        </w:r>
      </w:smartTag>
      <w:r w:rsidR="00DD20B1">
        <w:t xml:space="preserve"> del Modelo Cachapoal en Visual Modflow</w:t>
      </w:r>
    </w:p>
    <w:p w:rsidR="00E45C9A" w:rsidRPr="00E45C9A" w:rsidRDefault="00254CE2" w:rsidP="00E45C9A">
      <w:pPr>
        <w:jc w:val="center"/>
      </w:pPr>
      <w:r>
        <w:rPr>
          <w:rFonts w:ascii="Verdana" w:hAnsi="Verdana"/>
          <w:noProof/>
          <w:sz w:val="24"/>
          <w:lang w:val="es-CL" w:eastAsia="es-CL"/>
        </w:rPr>
        <w:drawing>
          <wp:anchor distT="0" distB="0" distL="114300" distR="114300" simplePos="0" relativeHeight="251651584" behindDoc="0" locked="0" layoutInCell="1" allowOverlap="1">
            <wp:simplePos x="0" y="0"/>
            <wp:positionH relativeFrom="column">
              <wp:posOffset>800100</wp:posOffset>
            </wp:positionH>
            <wp:positionV relativeFrom="paragraph">
              <wp:posOffset>393700</wp:posOffset>
            </wp:positionV>
            <wp:extent cx="1904365" cy="1121410"/>
            <wp:effectExtent l="0" t="0" r="635" b="2540"/>
            <wp:wrapNone/>
            <wp:docPr id="2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5" cstate="print">
                      <a:extLst>
                        <a:ext uri="{28A0092B-C50C-407E-A947-70E740481C1C}">
                          <a14:useLocalDpi xmlns:a14="http://schemas.microsoft.com/office/drawing/2010/main" val="0"/>
                        </a:ext>
                      </a:extLst>
                    </a:blip>
                    <a:srcRect l="33096" t="21622" r="32867" b="42903"/>
                    <a:stretch>
                      <a:fillRect/>
                    </a:stretch>
                  </pic:blipFill>
                  <pic:spPr bwMode="auto">
                    <a:xfrm>
                      <a:off x="0" y="0"/>
                      <a:ext cx="1904365" cy="1121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sz w:val="24"/>
          <w:lang w:val="es-CL" w:eastAsia="es-CL"/>
        </w:rPr>
        <w:drawing>
          <wp:inline distT="0" distB="0" distL="0" distR="0">
            <wp:extent cx="3816985" cy="3083560"/>
            <wp:effectExtent l="0" t="0" r="0" b="2540"/>
            <wp:docPr id="2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06">
                      <a:extLst>
                        <a:ext uri="{28A0092B-C50C-407E-A947-70E740481C1C}">
                          <a14:useLocalDpi xmlns:a14="http://schemas.microsoft.com/office/drawing/2010/main" val="0"/>
                        </a:ext>
                      </a:extLst>
                    </a:blip>
                    <a:srcRect t="3307" r="17146" b="4123"/>
                    <a:stretch>
                      <a:fillRect/>
                    </a:stretch>
                  </pic:blipFill>
                  <pic:spPr bwMode="auto">
                    <a:xfrm>
                      <a:off x="0" y="0"/>
                      <a:ext cx="3816985" cy="3083560"/>
                    </a:xfrm>
                    <a:prstGeom prst="rect">
                      <a:avLst/>
                    </a:prstGeom>
                    <a:noFill/>
                    <a:ln>
                      <a:noFill/>
                    </a:ln>
                  </pic:spPr>
                </pic:pic>
              </a:graphicData>
            </a:graphic>
          </wp:inline>
        </w:drawing>
      </w:r>
    </w:p>
    <w:p w:rsidR="000E4DA1" w:rsidRDefault="000E4DA1" w:rsidP="00DD20B1">
      <w:pPr>
        <w:rPr>
          <w:rFonts w:cs="Arial"/>
          <w:szCs w:val="22"/>
          <w:lang w:val="es-CL"/>
        </w:rPr>
      </w:pPr>
    </w:p>
    <w:p w:rsidR="00DD20B1" w:rsidRPr="00DD20B1" w:rsidRDefault="00DD20B1" w:rsidP="00DD20B1">
      <w:pPr>
        <w:rPr>
          <w:rFonts w:cs="Arial"/>
          <w:szCs w:val="22"/>
          <w:lang w:val="es-CL"/>
        </w:rPr>
      </w:pPr>
      <w:r w:rsidRPr="00DD20B1">
        <w:rPr>
          <w:rFonts w:cs="Arial"/>
          <w:szCs w:val="22"/>
          <w:lang w:val="es-CL"/>
        </w:rPr>
        <w:t>La tabla de datos exportada como *.txt, se abre en directamente con Excell, y luego se guarda en un formato de tabla que pueda ser leído por el software ArcGis (*.dbf, *xls, *xlsx).</w:t>
      </w:r>
    </w:p>
    <w:p w:rsidR="00DD20B1" w:rsidRPr="00DD20B1" w:rsidRDefault="00DD20B1" w:rsidP="00DD20B1">
      <w:pPr>
        <w:rPr>
          <w:rFonts w:cs="Arial"/>
          <w:szCs w:val="22"/>
          <w:lang w:val="es-CL"/>
        </w:rPr>
      </w:pPr>
    </w:p>
    <w:p w:rsidR="00DD20B1" w:rsidRPr="00DD20B1" w:rsidRDefault="00DD20B1" w:rsidP="00DD20B1">
      <w:pPr>
        <w:rPr>
          <w:rFonts w:cs="Arial"/>
          <w:szCs w:val="22"/>
          <w:lang w:val="es-CL"/>
        </w:rPr>
      </w:pPr>
      <w:r w:rsidRPr="00DD20B1">
        <w:rPr>
          <w:rFonts w:cs="Arial"/>
          <w:szCs w:val="22"/>
          <w:lang w:val="es-CL"/>
        </w:rPr>
        <w:lastRenderedPageBreak/>
        <w:t>Se debe recordar que la base de datos que se exporta desde Modflow, considera los datos asociados al punto central de cada celda de la grilla que está formando el modelo (</w:t>
      </w:r>
      <w:r>
        <w:rPr>
          <w:rFonts w:cs="Arial"/>
          <w:szCs w:val="22"/>
          <w:lang w:val="es-CL"/>
        </w:rPr>
        <w:t>Figura 6.5</w:t>
      </w:r>
      <w:r w:rsidRPr="00DD20B1">
        <w:rPr>
          <w:rFonts w:cs="Arial"/>
          <w:szCs w:val="22"/>
          <w:lang w:val="es-CL"/>
        </w:rPr>
        <w:t>).</w:t>
      </w:r>
    </w:p>
    <w:p w:rsidR="005B08A8" w:rsidRDefault="005B08A8" w:rsidP="005B08A8">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5</w:t>
      </w:r>
      <w:r w:rsidR="00951FEC">
        <w:fldChar w:fldCharType="end"/>
      </w:r>
      <w:r>
        <w:t xml:space="preserve"> Ejemplo Puntos Centrales en Grilla</w:t>
      </w:r>
    </w:p>
    <w:p w:rsidR="005279AC" w:rsidRDefault="00254CE2" w:rsidP="00276A04">
      <w:pPr>
        <w:jc w:val="center"/>
      </w:pPr>
      <w:r>
        <w:rPr>
          <w:noProof/>
          <w:lang w:val="es-CL" w:eastAsia="es-CL"/>
        </w:rPr>
        <w:drawing>
          <wp:inline distT="0" distB="0" distL="0" distR="0">
            <wp:extent cx="3061970" cy="2966720"/>
            <wp:effectExtent l="0" t="0" r="5080" b="5080"/>
            <wp:docPr id="22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61970" cy="2966720"/>
                    </a:xfrm>
                    <a:prstGeom prst="rect">
                      <a:avLst/>
                    </a:prstGeom>
                    <a:noFill/>
                    <a:ln>
                      <a:noFill/>
                    </a:ln>
                  </pic:spPr>
                </pic:pic>
              </a:graphicData>
            </a:graphic>
          </wp:inline>
        </w:drawing>
      </w:r>
    </w:p>
    <w:p w:rsidR="00F10F46" w:rsidRDefault="00F10F46" w:rsidP="005B08A8">
      <w:pPr>
        <w:rPr>
          <w:rFonts w:cs="Arial"/>
          <w:szCs w:val="22"/>
          <w:lang w:val="es-CL"/>
        </w:rPr>
      </w:pPr>
    </w:p>
    <w:p w:rsidR="005B08A8" w:rsidRPr="005B08A8" w:rsidRDefault="005B08A8" w:rsidP="005B08A8">
      <w:pPr>
        <w:rPr>
          <w:rFonts w:cs="Arial"/>
          <w:szCs w:val="22"/>
          <w:lang w:val="es-CL"/>
        </w:rPr>
      </w:pPr>
      <w:r w:rsidRPr="005B08A8">
        <w:rPr>
          <w:rFonts w:cs="Arial"/>
          <w:szCs w:val="22"/>
          <w:lang w:val="es-CL"/>
        </w:rPr>
        <w:t xml:space="preserve">En </w:t>
      </w:r>
      <w:smartTag w:uri="urn:schemas-microsoft-com:office:smarttags" w:element="PersonName">
        <w:smartTagPr>
          <w:attr w:name="ProductID" w:val="la ￼￼￼￼￼￼￼￼￼￼￼￼￼￼￼￼￼￼￼￼￼￼￼￼￼Figura"/>
        </w:smartTagPr>
        <w:r w:rsidR="001E084B">
          <w:rPr>
            <w:rFonts w:cs="Arial"/>
            <w:szCs w:val="22"/>
            <w:lang w:val="es-CL"/>
          </w:rPr>
          <w:t>la Figura</w:t>
        </w:r>
      </w:smartTag>
      <w:r w:rsidRPr="005B08A8">
        <w:rPr>
          <w:rFonts w:cs="Arial"/>
          <w:szCs w:val="22"/>
          <w:lang w:val="es-CL"/>
        </w:rPr>
        <w:t xml:space="preserve"> 6.</w:t>
      </w:r>
      <w:r>
        <w:rPr>
          <w:rFonts w:cs="Arial"/>
          <w:szCs w:val="22"/>
          <w:lang w:val="es-CL"/>
        </w:rPr>
        <w:t>6</w:t>
      </w:r>
      <w:r w:rsidRPr="005B08A8">
        <w:rPr>
          <w:rFonts w:cs="Arial"/>
          <w:szCs w:val="22"/>
          <w:lang w:val="es-CL"/>
        </w:rPr>
        <w:t xml:space="preserve"> se aprecia la base de datos que queda compuesta por las coordenadas de cada uno de los puntos centrales de las celdas, el valor de cota de terreno y el valor de la cota de Roca. </w:t>
      </w:r>
    </w:p>
    <w:p w:rsidR="005B08A8" w:rsidRDefault="005B08A8" w:rsidP="005B08A8"/>
    <w:p w:rsidR="005B08A8" w:rsidRDefault="005B08A8" w:rsidP="005B08A8">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6</w:t>
      </w:r>
      <w:r w:rsidR="00951FEC">
        <w:fldChar w:fldCharType="end"/>
      </w:r>
      <w:r>
        <w:t xml:space="preserve"> Base de Datos Exportadas desde Visual Modflow</w:t>
      </w:r>
    </w:p>
    <w:p w:rsidR="005279AC" w:rsidRDefault="00254CE2" w:rsidP="00276A04">
      <w:pPr>
        <w:jc w:val="center"/>
      </w:pPr>
      <w:r>
        <w:rPr>
          <w:noProof/>
          <w:lang w:val="es-CL" w:eastAsia="es-CL"/>
        </w:rPr>
        <w:drawing>
          <wp:inline distT="0" distB="0" distL="0" distR="0">
            <wp:extent cx="2976880" cy="3041015"/>
            <wp:effectExtent l="19050" t="19050" r="13970" b="26035"/>
            <wp:docPr id="2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08">
                      <a:extLst>
                        <a:ext uri="{28A0092B-C50C-407E-A947-70E740481C1C}">
                          <a14:useLocalDpi xmlns:a14="http://schemas.microsoft.com/office/drawing/2010/main" val="0"/>
                        </a:ext>
                      </a:extLst>
                    </a:blip>
                    <a:srcRect t="24921" r="62662" b="6606"/>
                    <a:stretch>
                      <a:fillRect/>
                    </a:stretch>
                  </pic:blipFill>
                  <pic:spPr bwMode="auto">
                    <a:xfrm>
                      <a:off x="0" y="0"/>
                      <a:ext cx="2976880" cy="3041015"/>
                    </a:xfrm>
                    <a:prstGeom prst="rect">
                      <a:avLst/>
                    </a:prstGeom>
                    <a:noFill/>
                    <a:ln w="9525" cmpd="sng">
                      <a:solidFill>
                        <a:srgbClr val="4F81BD"/>
                      </a:solidFill>
                      <a:miter lim="800000"/>
                      <a:headEnd/>
                      <a:tailEnd/>
                    </a:ln>
                    <a:effectLst/>
                  </pic:spPr>
                </pic:pic>
              </a:graphicData>
            </a:graphic>
          </wp:inline>
        </w:drawing>
      </w:r>
    </w:p>
    <w:p w:rsidR="00F10F46" w:rsidRDefault="00F10F46" w:rsidP="00402BB3">
      <w:pPr>
        <w:rPr>
          <w:rFonts w:cs="Arial"/>
          <w:szCs w:val="22"/>
          <w:lang w:val="es-CL"/>
        </w:rPr>
      </w:pPr>
    </w:p>
    <w:p w:rsidR="00402BB3" w:rsidRPr="00402BB3" w:rsidRDefault="00402BB3" w:rsidP="00402BB3">
      <w:pPr>
        <w:rPr>
          <w:rFonts w:cs="Arial"/>
          <w:szCs w:val="22"/>
          <w:lang w:val="es-CL"/>
        </w:rPr>
      </w:pPr>
      <w:r w:rsidRPr="00402BB3">
        <w:rPr>
          <w:rFonts w:cs="Arial"/>
          <w:szCs w:val="22"/>
          <w:lang w:val="es-CL"/>
        </w:rPr>
        <w:lastRenderedPageBreak/>
        <w:t xml:space="preserve">Para identificar los puntos de </w:t>
      </w:r>
      <w:smartTag w:uri="urn:schemas-microsoft-com:office:smarttags" w:element="PersonName">
        <w:smartTagPr>
          <w:attr w:name="ProductID" w:val="la Grilla"/>
        </w:smartTagPr>
        <w:r w:rsidRPr="00402BB3">
          <w:rPr>
            <w:rFonts w:cs="Arial"/>
            <w:szCs w:val="22"/>
            <w:lang w:val="es-CL"/>
          </w:rPr>
          <w:t>la Grilla</w:t>
        </w:r>
      </w:smartTag>
      <w:r w:rsidRPr="00402BB3">
        <w:rPr>
          <w:rFonts w:cs="Arial"/>
          <w:szCs w:val="22"/>
          <w:lang w:val="es-CL"/>
        </w:rPr>
        <w:t xml:space="preserve"> que corresponden efectivamente al acuífero (celdas activas), la grilla total se exporta a ArcGis, y se transforma a formato shape. Por otro lado, se tiene en formato shape el límite (en planta) del acuífero. Así, se seleccionan sólo aquellos puntos de la grilla que pertenezcan al acuífero, de manera de extraer sólo la sección de interés de la base de datos.</w:t>
      </w:r>
    </w:p>
    <w:p w:rsidR="00402BB3" w:rsidRPr="00402BB3" w:rsidRDefault="00402BB3" w:rsidP="00402BB3">
      <w:pPr>
        <w:rPr>
          <w:rFonts w:cs="Arial"/>
          <w:szCs w:val="22"/>
          <w:lang w:val="es-CL"/>
        </w:rPr>
      </w:pPr>
    </w:p>
    <w:p w:rsidR="00402BB3" w:rsidRPr="00402BB3" w:rsidRDefault="00402BB3" w:rsidP="00402BB3">
      <w:pPr>
        <w:rPr>
          <w:rFonts w:cs="Arial"/>
          <w:szCs w:val="22"/>
          <w:lang w:val="es-CL"/>
        </w:rPr>
      </w:pPr>
      <w:r w:rsidRPr="00402BB3">
        <w:rPr>
          <w:rFonts w:cs="Arial"/>
          <w:szCs w:val="22"/>
          <w:lang w:val="es-CL"/>
        </w:rPr>
        <w:t xml:space="preserve">En </w:t>
      </w:r>
      <w:smartTag w:uri="urn:schemas-microsoft-com:office:smarttags" w:element="PersonName">
        <w:smartTagPr>
          <w:attr w:name="ProductID" w:val="la ￼￼￼￼￼￼￼￼￼￼￼￼￼￼￼￼￼￼￼￼￼￼￼￼￼Figura"/>
        </w:smartTagPr>
        <w:r w:rsidRPr="00402BB3">
          <w:rPr>
            <w:rFonts w:cs="Arial"/>
            <w:szCs w:val="22"/>
            <w:lang w:val="es-CL"/>
          </w:rPr>
          <w:t>la Figura</w:t>
        </w:r>
      </w:smartTag>
      <w:r w:rsidRPr="00402BB3">
        <w:rPr>
          <w:rFonts w:cs="Arial"/>
          <w:szCs w:val="22"/>
          <w:lang w:val="es-CL"/>
        </w:rPr>
        <w:t xml:space="preserve"> 6.</w:t>
      </w:r>
      <w:r>
        <w:rPr>
          <w:rFonts w:cs="Arial"/>
          <w:szCs w:val="22"/>
          <w:lang w:val="es-CL"/>
        </w:rPr>
        <w:t>7</w:t>
      </w:r>
      <w:r w:rsidRPr="00402BB3">
        <w:rPr>
          <w:rFonts w:cs="Arial"/>
          <w:szCs w:val="22"/>
          <w:lang w:val="es-CL"/>
        </w:rPr>
        <w:t xml:space="preserve"> se presenta el shape del acuífero Cachapoal, donde los diferentes colores representan los sub-acuíferos de interés; además, se presenta la grilla de puntos que se generó a través de la base  de datos exportada del modelo en Visual Modflow.</w:t>
      </w:r>
    </w:p>
    <w:p w:rsidR="00402BB3" w:rsidRDefault="00402BB3" w:rsidP="00402BB3"/>
    <w:p w:rsidR="00402BB3" w:rsidRDefault="00402BB3" w:rsidP="00402BB3">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7</w:t>
      </w:r>
      <w:r w:rsidR="00951FEC">
        <w:fldChar w:fldCharType="end"/>
      </w:r>
      <w:r>
        <w:t xml:space="preserve"> Shape Límite Acuífero y Shape de </w:t>
      </w:r>
      <w:smartTag w:uri="urn:schemas-microsoft-com:office:smarttags" w:element="PersonName">
        <w:smartTagPr>
          <w:attr w:name="ProductID" w:val="la Grilla"/>
        </w:smartTagPr>
        <w:r>
          <w:t>la Grilla</w:t>
        </w:r>
      </w:smartTag>
      <w:r>
        <w:t xml:space="preserve"> de Puntos Generadas.</w:t>
      </w:r>
    </w:p>
    <w:p w:rsidR="00402BB3" w:rsidRDefault="00254CE2" w:rsidP="00402BB3">
      <w:pPr>
        <w:jc w:val="center"/>
        <w:rPr>
          <w:noProof/>
          <w:lang w:val="es-CL" w:eastAsia="es-CL"/>
        </w:rPr>
      </w:pPr>
      <w:r>
        <w:rPr>
          <w:b/>
          <w:noProof/>
          <w:lang w:val="es-CL" w:eastAsia="es-CL"/>
        </w:rPr>
        <w:drawing>
          <wp:inline distT="0" distB="0" distL="0" distR="0">
            <wp:extent cx="3700145" cy="2934335"/>
            <wp:effectExtent l="0" t="0" r="0" b="0"/>
            <wp:docPr id="2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09">
                      <a:extLst>
                        <a:ext uri="{28A0092B-C50C-407E-A947-70E740481C1C}">
                          <a14:useLocalDpi xmlns:a14="http://schemas.microsoft.com/office/drawing/2010/main" val="0"/>
                        </a:ext>
                      </a:extLst>
                    </a:blip>
                    <a:srcRect l="14078" t="14984" r="23050" b="7370"/>
                    <a:stretch>
                      <a:fillRect/>
                    </a:stretch>
                  </pic:blipFill>
                  <pic:spPr bwMode="auto">
                    <a:xfrm>
                      <a:off x="0" y="0"/>
                      <a:ext cx="3700145" cy="2934335"/>
                    </a:xfrm>
                    <a:prstGeom prst="rect">
                      <a:avLst/>
                    </a:prstGeom>
                    <a:noFill/>
                    <a:ln>
                      <a:noFill/>
                    </a:ln>
                  </pic:spPr>
                </pic:pic>
              </a:graphicData>
            </a:graphic>
          </wp:inline>
        </w:drawing>
      </w:r>
      <w:r>
        <w:rPr>
          <w:noProof/>
          <w:lang w:val="es-CL" w:eastAsia="es-CL"/>
        </w:rPr>
        <w:drawing>
          <wp:inline distT="0" distB="0" distL="0" distR="0">
            <wp:extent cx="3700145" cy="2870835"/>
            <wp:effectExtent l="19050" t="19050" r="14605" b="24765"/>
            <wp:docPr id="22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210">
                      <a:extLst>
                        <a:ext uri="{28A0092B-C50C-407E-A947-70E740481C1C}">
                          <a14:useLocalDpi xmlns:a14="http://schemas.microsoft.com/office/drawing/2010/main" val="0"/>
                        </a:ext>
                      </a:extLst>
                    </a:blip>
                    <a:srcRect l="25304" t="20164" r="21945" b="13350"/>
                    <a:stretch>
                      <a:fillRect/>
                    </a:stretch>
                  </pic:blipFill>
                  <pic:spPr bwMode="auto">
                    <a:xfrm>
                      <a:off x="0" y="0"/>
                      <a:ext cx="3700145" cy="2870835"/>
                    </a:xfrm>
                    <a:prstGeom prst="rect">
                      <a:avLst/>
                    </a:prstGeom>
                    <a:noFill/>
                    <a:ln w="9525" cmpd="sng">
                      <a:solidFill>
                        <a:srgbClr val="4F81BD"/>
                      </a:solidFill>
                      <a:miter lim="800000"/>
                      <a:headEnd/>
                      <a:tailEnd/>
                    </a:ln>
                    <a:effectLst/>
                  </pic:spPr>
                </pic:pic>
              </a:graphicData>
            </a:graphic>
          </wp:inline>
        </w:drawing>
      </w:r>
    </w:p>
    <w:p w:rsidR="001E084B" w:rsidRDefault="001E084B" w:rsidP="00402BB3">
      <w:pPr>
        <w:jc w:val="center"/>
        <w:rPr>
          <w:noProof/>
          <w:lang w:val="es-CL" w:eastAsia="es-CL"/>
        </w:rPr>
      </w:pPr>
    </w:p>
    <w:p w:rsidR="001E084B" w:rsidRDefault="001E084B" w:rsidP="00402BB3">
      <w:pPr>
        <w:jc w:val="center"/>
        <w:rPr>
          <w:noProof/>
          <w:lang w:val="es-CL" w:eastAsia="es-CL"/>
        </w:rPr>
      </w:pPr>
    </w:p>
    <w:p w:rsidR="001E084B" w:rsidRDefault="001E084B" w:rsidP="00402BB3">
      <w:pPr>
        <w:jc w:val="center"/>
        <w:rPr>
          <w:noProof/>
          <w:lang w:val="es-CL" w:eastAsia="es-CL"/>
        </w:rPr>
      </w:pPr>
    </w:p>
    <w:p w:rsidR="00216BB1" w:rsidRDefault="00216BB1" w:rsidP="00216BB1">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8</w:t>
      </w:r>
      <w:r w:rsidR="00951FEC">
        <w:fldChar w:fldCharType="end"/>
      </w:r>
      <w:r>
        <w:t xml:space="preserve"> Se</w:t>
      </w:r>
      <w:r w:rsidR="00951FEC">
        <w:t>lección de los Puntos de un Sub</w:t>
      </w:r>
      <w:r>
        <w:t xml:space="preserve"> - Acuífero y su Base de Datos Asociada</w:t>
      </w:r>
    </w:p>
    <w:p w:rsidR="00402BB3" w:rsidRPr="00402BB3" w:rsidRDefault="00254CE2" w:rsidP="00216BB1">
      <w:pPr>
        <w:jc w:val="center"/>
      </w:pPr>
      <w:r>
        <w:rPr>
          <w:rFonts w:ascii="Verdana" w:hAnsi="Verdana"/>
          <w:noProof/>
          <w:sz w:val="24"/>
          <w:lang w:val="es-CL" w:eastAsia="es-CL"/>
        </w:rPr>
        <w:drawing>
          <wp:inline distT="0" distB="0" distL="0" distR="0">
            <wp:extent cx="3785235" cy="2785745"/>
            <wp:effectExtent l="19050" t="19050" r="24765" b="14605"/>
            <wp:docPr id="22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211">
                      <a:extLst>
                        <a:ext uri="{28A0092B-C50C-407E-A947-70E740481C1C}">
                          <a14:useLocalDpi xmlns:a14="http://schemas.microsoft.com/office/drawing/2010/main" val="0"/>
                        </a:ext>
                      </a:extLst>
                    </a:blip>
                    <a:srcRect l="36818" t="25069" r="21480" b="21249"/>
                    <a:stretch>
                      <a:fillRect/>
                    </a:stretch>
                  </pic:blipFill>
                  <pic:spPr bwMode="auto">
                    <a:xfrm>
                      <a:off x="0" y="0"/>
                      <a:ext cx="3785235" cy="2785745"/>
                    </a:xfrm>
                    <a:prstGeom prst="rect">
                      <a:avLst/>
                    </a:prstGeom>
                    <a:noFill/>
                    <a:ln w="9525" cmpd="sng">
                      <a:solidFill>
                        <a:srgbClr val="4F81BD"/>
                      </a:solidFill>
                      <a:miter lim="800000"/>
                      <a:headEnd/>
                      <a:tailEnd/>
                    </a:ln>
                    <a:effectLst/>
                  </pic:spPr>
                </pic:pic>
              </a:graphicData>
            </a:graphic>
          </wp:inline>
        </w:drawing>
      </w:r>
    </w:p>
    <w:p w:rsidR="00402BB3" w:rsidRDefault="00254CE2" w:rsidP="00216BB1">
      <w:pPr>
        <w:jc w:val="center"/>
      </w:pPr>
      <w:r>
        <w:rPr>
          <w:rFonts w:ascii="Verdana" w:hAnsi="Verdana"/>
          <w:noProof/>
          <w:sz w:val="24"/>
          <w:lang w:val="es-CL" w:eastAsia="es-CL"/>
        </w:rPr>
        <w:drawing>
          <wp:inline distT="0" distB="0" distL="0" distR="0">
            <wp:extent cx="3785235" cy="3168650"/>
            <wp:effectExtent l="19050" t="19050" r="24765" b="12700"/>
            <wp:docPr id="23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212">
                      <a:extLst>
                        <a:ext uri="{28A0092B-C50C-407E-A947-70E740481C1C}">
                          <a14:useLocalDpi xmlns:a14="http://schemas.microsoft.com/office/drawing/2010/main" val="0"/>
                        </a:ext>
                      </a:extLst>
                    </a:blip>
                    <a:srcRect t="25069" r="52867" b="6267"/>
                    <a:stretch>
                      <a:fillRect/>
                    </a:stretch>
                  </pic:blipFill>
                  <pic:spPr bwMode="auto">
                    <a:xfrm>
                      <a:off x="0" y="0"/>
                      <a:ext cx="3785235" cy="3168650"/>
                    </a:xfrm>
                    <a:prstGeom prst="rect">
                      <a:avLst/>
                    </a:prstGeom>
                    <a:noFill/>
                    <a:ln w="9525" cmpd="sng">
                      <a:solidFill>
                        <a:srgbClr val="4F81BD"/>
                      </a:solidFill>
                      <a:miter lim="800000"/>
                      <a:headEnd/>
                      <a:tailEnd/>
                    </a:ln>
                    <a:effectLst/>
                  </pic:spPr>
                </pic:pic>
              </a:graphicData>
            </a:graphic>
          </wp:inline>
        </w:drawing>
      </w:r>
    </w:p>
    <w:p w:rsidR="00323A7C" w:rsidRDefault="00323A7C" w:rsidP="000E4DA1">
      <w:pPr>
        <w:pStyle w:val="Ttulo3"/>
        <w:keepNext/>
        <w:numPr>
          <w:ilvl w:val="2"/>
          <w:numId w:val="0"/>
        </w:numPr>
        <w:tabs>
          <w:tab w:val="num" w:pos="0"/>
        </w:tabs>
        <w:spacing w:after="220"/>
      </w:pPr>
    </w:p>
    <w:p w:rsidR="00323A7C" w:rsidRPr="00323A7C" w:rsidRDefault="00323A7C" w:rsidP="00323A7C">
      <w:pPr>
        <w:rPr>
          <w:rFonts w:cs="Arial"/>
          <w:szCs w:val="22"/>
          <w:lang w:val="es-CL"/>
        </w:rPr>
      </w:pPr>
      <w:r w:rsidRPr="00323A7C">
        <w:rPr>
          <w:rFonts w:cs="Arial"/>
          <w:szCs w:val="22"/>
          <w:lang w:val="es-CL"/>
        </w:rPr>
        <w:t>Con la información de la base de datos seleccionada para el sub-acuífero s</w:t>
      </w:r>
      <w:r w:rsidR="001E084B">
        <w:rPr>
          <w:rFonts w:cs="Arial"/>
          <w:szCs w:val="22"/>
          <w:lang w:val="es-CL"/>
        </w:rPr>
        <w:t xml:space="preserve">e </w:t>
      </w:r>
      <w:r w:rsidR="00B969EB">
        <w:rPr>
          <w:rFonts w:cs="Arial"/>
          <w:szCs w:val="22"/>
          <w:lang w:val="es-CL"/>
        </w:rPr>
        <w:t>es posible</w:t>
      </w:r>
      <w:r w:rsidR="001E084B">
        <w:rPr>
          <w:rFonts w:cs="Arial"/>
          <w:szCs w:val="22"/>
          <w:lang w:val="es-CL"/>
        </w:rPr>
        <w:t xml:space="preserve"> obtener (Figura 6.9</w:t>
      </w:r>
      <w:r w:rsidRPr="00323A7C">
        <w:rPr>
          <w:rFonts w:cs="Arial"/>
          <w:szCs w:val="22"/>
          <w:lang w:val="es-CL"/>
        </w:rPr>
        <w:t>):</w:t>
      </w:r>
    </w:p>
    <w:p w:rsidR="00323A7C" w:rsidRPr="00323A7C" w:rsidRDefault="00323A7C" w:rsidP="00323A7C">
      <w:pPr>
        <w:rPr>
          <w:rFonts w:cs="Arial"/>
          <w:szCs w:val="22"/>
          <w:lang w:val="es-CL"/>
        </w:rPr>
      </w:pPr>
    </w:p>
    <w:p w:rsidR="00323A7C" w:rsidRPr="00323A7C" w:rsidRDefault="00323A7C" w:rsidP="00145762">
      <w:pPr>
        <w:pStyle w:val="ListParagraph"/>
        <w:numPr>
          <w:ilvl w:val="0"/>
          <w:numId w:val="25"/>
        </w:numPr>
        <w:spacing w:after="0"/>
        <w:jc w:val="both"/>
        <w:rPr>
          <w:rFonts w:ascii="Arial" w:hAnsi="Arial" w:cs="Arial"/>
        </w:rPr>
      </w:pPr>
      <w:r w:rsidRPr="00323A7C">
        <w:rPr>
          <w:rFonts w:ascii="Arial" w:hAnsi="Arial" w:cs="Arial"/>
        </w:rPr>
        <w:t>La profundidad del acuífero de cada celda, restando el valor de la cota de terreno y la cota de la roca. (Delta_H)</w:t>
      </w:r>
    </w:p>
    <w:p w:rsidR="00323A7C" w:rsidRPr="00323A7C" w:rsidRDefault="00323A7C" w:rsidP="00145762">
      <w:pPr>
        <w:pStyle w:val="ListParagraph"/>
        <w:numPr>
          <w:ilvl w:val="0"/>
          <w:numId w:val="25"/>
        </w:numPr>
        <w:spacing w:after="0"/>
        <w:jc w:val="both"/>
        <w:rPr>
          <w:rFonts w:ascii="Arial" w:hAnsi="Arial" w:cs="Arial"/>
        </w:rPr>
      </w:pPr>
      <w:r w:rsidRPr="00323A7C">
        <w:rPr>
          <w:rFonts w:ascii="Arial" w:hAnsi="Arial" w:cs="Arial"/>
        </w:rPr>
        <w:t>El área de la celda (ancho por largo de cada celda)</w:t>
      </w:r>
    </w:p>
    <w:p w:rsidR="00323A7C" w:rsidRPr="00323A7C" w:rsidRDefault="00323A7C" w:rsidP="00145762">
      <w:pPr>
        <w:pStyle w:val="ListParagraph"/>
        <w:numPr>
          <w:ilvl w:val="0"/>
          <w:numId w:val="25"/>
        </w:numPr>
        <w:spacing w:after="0"/>
        <w:jc w:val="both"/>
        <w:rPr>
          <w:rFonts w:ascii="Arial" w:hAnsi="Arial" w:cs="Arial"/>
        </w:rPr>
      </w:pPr>
      <w:r w:rsidRPr="00323A7C">
        <w:rPr>
          <w:rFonts w:ascii="Arial" w:hAnsi="Arial" w:cs="Arial"/>
        </w:rPr>
        <w:t>El volumen de cada celda, multiplicando la profundidad del acuífero por la superficie de cada celda. (Vol_Celda)</w:t>
      </w:r>
    </w:p>
    <w:p w:rsidR="001E084B" w:rsidRDefault="001E084B" w:rsidP="001E084B">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9</w:t>
      </w:r>
      <w:r w:rsidR="00951FEC">
        <w:fldChar w:fldCharType="end"/>
      </w:r>
      <w:r>
        <w:t xml:space="preserve"> Cálculo de Profundidad, Área y Volumen de las Celdas que Forman el Sub – Acuífero.</w:t>
      </w:r>
    </w:p>
    <w:p w:rsidR="001E084B" w:rsidRPr="001E084B" w:rsidRDefault="00254CE2" w:rsidP="001E084B">
      <w:pPr>
        <w:jc w:val="center"/>
      </w:pPr>
      <w:r>
        <w:rPr>
          <w:rFonts w:ascii="Verdana" w:hAnsi="Verdana"/>
          <w:noProof/>
          <w:sz w:val="24"/>
          <w:lang w:val="es-CL" w:eastAsia="es-CL"/>
        </w:rPr>
        <w:drawing>
          <wp:inline distT="0" distB="0" distL="0" distR="0">
            <wp:extent cx="4083050" cy="2424430"/>
            <wp:effectExtent l="19050" t="19050" r="12700" b="13970"/>
            <wp:docPr id="23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213">
                      <a:extLst>
                        <a:ext uri="{28A0092B-C50C-407E-A947-70E740481C1C}">
                          <a14:useLocalDpi xmlns:a14="http://schemas.microsoft.com/office/drawing/2010/main" val="0"/>
                        </a:ext>
                      </a:extLst>
                    </a:blip>
                    <a:srcRect t="28185" r="37013" b="17447"/>
                    <a:stretch>
                      <a:fillRect/>
                    </a:stretch>
                  </pic:blipFill>
                  <pic:spPr bwMode="auto">
                    <a:xfrm>
                      <a:off x="0" y="0"/>
                      <a:ext cx="4083050" cy="2424430"/>
                    </a:xfrm>
                    <a:prstGeom prst="rect">
                      <a:avLst/>
                    </a:prstGeom>
                    <a:noFill/>
                    <a:ln w="9525" cmpd="sng">
                      <a:solidFill>
                        <a:srgbClr val="4F81BD"/>
                      </a:solidFill>
                      <a:miter lim="800000"/>
                      <a:headEnd/>
                      <a:tailEnd/>
                    </a:ln>
                    <a:effectLst/>
                  </pic:spPr>
                </pic:pic>
              </a:graphicData>
            </a:graphic>
          </wp:inline>
        </w:drawing>
      </w:r>
    </w:p>
    <w:p w:rsidR="001E084B" w:rsidRPr="004B5E4C" w:rsidRDefault="001E084B" w:rsidP="001E084B">
      <w:pPr>
        <w:rPr>
          <w:rFonts w:ascii="Verdana" w:hAnsi="Verdana"/>
          <w:sz w:val="24"/>
          <w:lang w:val="es-CL"/>
        </w:rPr>
      </w:pPr>
    </w:p>
    <w:p w:rsidR="001E084B" w:rsidRPr="001E084B" w:rsidRDefault="001E084B" w:rsidP="001E084B">
      <w:pPr>
        <w:rPr>
          <w:rFonts w:cs="Arial"/>
          <w:szCs w:val="22"/>
          <w:lang w:val="es-CL"/>
        </w:rPr>
      </w:pPr>
      <w:r w:rsidRPr="001E084B">
        <w:rPr>
          <w:rFonts w:cs="Arial"/>
          <w:szCs w:val="22"/>
          <w:lang w:val="es-CL"/>
        </w:rPr>
        <w:t>Sumando los volúmenes parciales, se determina el volumen real de cada uno de los sub acuíferos de interés.</w:t>
      </w:r>
    </w:p>
    <w:p w:rsidR="001E084B" w:rsidRPr="001E084B" w:rsidRDefault="001E084B" w:rsidP="001E084B">
      <w:pPr>
        <w:ind w:firstLine="708"/>
        <w:rPr>
          <w:rFonts w:cs="Arial"/>
          <w:szCs w:val="22"/>
          <w:lang w:val="es-CL"/>
        </w:rPr>
      </w:pPr>
    </w:p>
    <w:p w:rsidR="001E084B" w:rsidRPr="001E084B" w:rsidRDefault="001E084B" w:rsidP="001E084B">
      <w:pPr>
        <w:rPr>
          <w:rFonts w:cs="Arial"/>
          <w:szCs w:val="22"/>
          <w:lang w:val="es-CL"/>
        </w:rPr>
      </w:pPr>
      <w:r w:rsidRPr="001E084B">
        <w:rPr>
          <w:rFonts w:cs="Arial"/>
          <w:szCs w:val="22"/>
          <w:lang w:val="es-CL"/>
        </w:rPr>
        <w:t>Una vez calculado el volumen real de cada acuífero, se procedió al cálculo de un acuífero ficticio de geometría conocida, de acuerdo con:</w:t>
      </w:r>
    </w:p>
    <w:p w:rsidR="001E084B" w:rsidRPr="001E084B" w:rsidRDefault="001E084B" w:rsidP="001E084B">
      <w:pPr>
        <w:rPr>
          <w:rFonts w:cs="Arial"/>
          <w:szCs w:val="22"/>
          <w:lang w:val="es-CL"/>
        </w:rPr>
      </w:pPr>
    </w:p>
    <w:p w:rsidR="00951FEC" w:rsidRDefault="00951FEC" w:rsidP="00145762">
      <w:pPr>
        <w:numPr>
          <w:ilvl w:val="0"/>
          <w:numId w:val="32"/>
        </w:numPr>
        <w:rPr>
          <w:lang w:val="es-CL"/>
        </w:rPr>
      </w:pPr>
      <w:r w:rsidRPr="003D69B3">
        <w:rPr>
          <w:lang w:val="es-CL"/>
        </w:rPr>
        <w:t>El área real en planta del acuífero de interés, calculado a través de la geometría usada en el modelo hidrogeológico respectivo (Visual Modflow), se transformó en una superficie equivalente a un cuadrado (lados iguales).</w:t>
      </w:r>
    </w:p>
    <w:p w:rsidR="00951FEC" w:rsidRPr="003D69B3" w:rsidRDefault="00951FEC" w:rsidP="00951FEC">
      <w:pPr>
        <w:rPr>
          <w:lang w:val="es-CL"/>
        </w:rPr>
      </w:pPr>
    </w:p>
    <w:p w:rsidR="00951FEC" w:rsidRDefault="00951FEC" w:rsidP="00145762">
      <w:pPr>
        <w:numPr>
          <w:ilvl w:val="0"/>
          <w:numId w:val="32"/>
        </w:numPr>
        <w:rPr>
          <w:lang w:val="es-CL"/>
        </w:rPr>
      </w:pPr>
      <w:r w:rsidRPr="003D69B3">
        <w:rPr>
          <w:lang w:val="es-CL"/>
        </w:rPr>
        <w:t>La geometría del acuífero se modeló con dicha base cuadrada y una sección triangular isósceles regular.</w:t>
      </w:r>
    </w:p>
    <w:p w:rsidR="00951FEC" w:rsidRPr="003D69B3" w:rsidRDefault="00951FEC" w:rsidP="00951FEC">
      <w:pPr>
        <w:rPr>
          <w:lang w:val="es-CL"/>
        </w:rPr>
      </w:pPr>
    </w:p>
    <w:p w:rsidR="00951FEC" w:rsidRPr="003D69B3" w:rsidRDefault="00951FEC" w:rsidP="00145762">
      <w:pPr>
        <w:numPr>
          <w:ilvl w:val="0"/>
          <w:numId w:val="32"/>
        </w:numPr>
        <w:rPr>
          <w:lang w:val="es-CL"/>
        </w:rPr>
      </w:pPr>
      <w:r w:rsidRPr="003D69B3">
        <w:rPr>
          <w:lang w:val="es-CL"/>
        </w:rPr>
        <w:t xml:space="preserve">El volumen de dicha figura se igualó al volumen real del acuífero, volumen calculado a partir de la geometría del modelo hidrogeológico, tal cual se explica en el informe, y se determina la profundidad de éste (se conoce la geometría real, basamento-superficie, y se calcula una geometría equivalente a una superficie cuadrada y sección triangular isósceles regular). En </w:t>
      </w:r>
      <w:smartTag w:uri="urn:schemas-microsoft-com:office:smarttags" w:element="PersonName">
        <w:smartTagPr>
          <w:attr w:name="ProductID" w:val="la ￼￼￼￼￼￼￼￼￼￼￼￼￼￼￼￼￼￼￼￼￼￼￼￼￼Figura"/>
        </w:smartTagPr>
        <w:r w:rsidRPr="003D69B3">
          <w:rPr>
            <w:lang w:val="es-CL"/>
          </w:rPr>
          <w:t xml:space="preserve">la </w:t>
        </w:r>
        <w:r>
          <w:rPr>
            <w:lang w:val="es-CL"/>
          </w:rPr>
          <w:fldChar w:fldCharType="begin"/>
        </w:r>
        <w:r>
          <w:rPr>
            <w:lang w:val="es-CL"/>
          </w:rPr>
          <w:instrText xml:space="preserve"> REF _Ref344356627 \h </w:instrText>
        </w:r>
        <w:r>
          <w:rPr>
            <w:lang w:val="es-CL"/>
          </w:rPr>
        </w:r>
        <w:r>
          <w:rPr>
            <w:lang w:val="es-CL"/>
          </w:rPr>
          <w:fldChar w:fldCharType="separate"/>
        </w:r>
        <w:r w:rsidR="00264070">
          <w:t>Figura</w:t>
        </w:r>
      </w:smartTag>
      <w:r w:rsidR="00264070">
        <w:t xml:space="preserve"> </w:t>
      </w:r>
      <w:r w:rsidR="00264070">
        <w:rPr>
          <w:noProof/>
        </w:rPr>
        <w:t>6</w:t>
      </w:r>
      <w:r w:rsidR="00264070">
        <w:t>.</w:t>
      </w:r>
      <w:r w:rsidR="00264070">
        <w:rPr>
          <w:noProof/>
        </w:rPr>
        <w:t>10</w:t>
      </w:r>
      <w:r>
        <w:rPr>
          <w:lang w:val="es-CL"/>
        </w:rPr>
        <w:fldChar w:fldCharType="end"/>
      </w:r>
      <w:r>
        <w:rPr>
          <w:lang w:val="es-CL"/>
        </w:rPr>
        <w:t xml:space="preserve"> </w:t>
      </w:r>
      <w:r w:rsidRPr="003D69B3">
        <w:rPr>
          <w:lang w:val="es-CL"/>
        </w:rPr>
        <w:t>se explica esquemáticamente el procedimiento.</w:t>
      </w:r>
    </w:p>
    <w:p w:rsidR="00951FEC" w:rsidRDefault="00951FEC" w:rsidP="00951FEC">
      <w:pPr>
        <w:rPr>
          <w:lang w:val="es-CL"/>
        </w:rPr>
      </w:pPr>
    </w:p>
    <w:p w:rsidR="00951FEC" w:rsidRPr="003D69B3" w:rsidRDefault="00951FEC" w:rsidP="00951FEC">
      <w:pPr>
        <w:rPr>
          <w:lang w:val="es-CL"/>
        </w:rPr>
      </w:pPr>
      <w:r w:rsidRPr="003D69B3">
        <w:rPr>
          <w:lang w:val="es-CL"/>
        </w:rPr>
        <w:t xml:space="preserve">Así, a través del procedimiento anterior, se obtuvo una geometría ficticia de cada acuífero, a través de la cual es factible determinar volúmenes de almacenamiento </w:t>
      </w:r>
      <w:r>
        <w:rPr>
          <w:lang w:val="es-CL"/>
        </w:rPr>
        <w:t xml:space="preserve">(llenados o vaciamientos) </w:t>
      </w:r>
      <w:r w:rsidRPr="003D69B3">
        <w:rPr>
          <w:lang w:val="es-CL"/>
        </w:rPr>
        <w:t>para distintas condiciones de variaciones del nivel de agua subterránea (con una condición de nivel estático representativo y porosidad efectiva conocida).</w:t>
      </w:r>
    </w:p>
    <w:p w:rsidR="00951FEC" w:rsidRPr="003D69B3" w:rsidRDefault="00951FEC" w:rsidP="00951FEC">
      <w:pPr>
        <w:rPr>
          <w:lang w:val="es-CL"/>
        </w:rPr>
      </w:pPr>
    </w:p>
    <w:p w:rsidR="00951FEC" w:rsidRDefault="00951FEC" w:rsidP="00951FEC">
      <w:pPr>
        <w:pStyle w:val="Epgrafe"/>
        <w:keepNext/>
      </w:pPr>
      <w:bookmarkStart w:id="425" w:name="_Ref344356627"/>
      <w:r>
        <w:lastRenderedPageBreak/>
        <w:t xml:space="preserve">Figura </w:t>
      </w:r>
      <w:r>
        <w:fldChar w:fldCharType="begin"/>
      </w:r>
      <w:r>
        <w:instrText xml:space="preserve"> STYLEREF 1 \s </w:instrText>
      </w:r>
      <w:r>
        <w:fldChar w:fldCharType="separate"/>
      </w:r>
      <w:r w:rsidR="00264070">
        <w:rPr>
          <w:noProof/>
        </w:rPr>
        <w:t>6</w:t>
      </w:r>
      <w:r>
        <w:fldChar w:fldCharType="end"/>
      </w:r>
      <w:r>
        <w:t>.</w:t>
      </w:r>
      <w:r>
        <w:fldChar w:fldCharType="begin"/>
      </w:r>
      <w:r>
        <w:instrText xml:space="preserve"> SEQ Figura \* ARABIC \s 1 </w:instrText>
      </w:r>
      <w:r>
        <w:fldChar w:fldCharType="separate"/>
      </w:r>
      <w:r w:rsidR="00264070">
        <w:rPr>
          <w:noProof/>
        </w:rPr>
        <w:t>10</w:t>
      </w:r>
      <w:r>
        <w:fldChar w:fldCharType="end"/>
      </w:r>
      <w:bookmarkEnd w:id="425"/>
      <w:r>
        <w:t xml:space="preserve"> Cálculo de </w:t>
      </w:r>
      <w:smartTag w:uri="urn:schemas-microsoft-com:office:smarttags" w:element="PersonName">
        <w:smartTagPr>
          <w:attr w:name="ProductID" w:val="la Geometría Equivalente"/>
        </w:smartTagPr>
        <w:r>
          <w:t>la Geometría Equivalente</w:t>
        </w:r>
      </w:smartTag>
    </w:p>
    <w:p w:rsidR="00951FEC" w:rsidRPr="003D69B3" w:rsidRDefault="00254CE2" w:rsidP="00951FEC">
      <w:pPr>
        <w:jc w:val="center"/>
        <w:rPr>
          <w:lang w:val="es-CL"/>
        </w:rPr>
      </w:pPr>
      <w:r>
        <w:rPr>
          <w:noProof/>
          <w:lang w:val="es-CL" w:eastAsia="es-CL"/>
        </w:rPr>
        <w:drawing>
          <wp:inline distT="0" distB="0" distL="0" distR="0">
            <wp:extent cx="5092700" cy="2881630"/>
            <wp:effectExtent l="19050" t="19050" r="12700" b="13970"/>
            <wp:docPr id="232" name="0 Imagen" descr="FIg. Equivalent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FIg. Equivalentes..3.jpg"/>
                    <pic:cNvPicPr>
                      <a:picLocks noChangeAspect="1" noChangeArrowheads="1"/>
                    </pic:cNvPicPr>
                  </pic:nvPicPr>
                  <pic:blipFill>
                    <a:blip r:embed="rId214">
                      <a:extLst>
                        <a:ext uri="{28A0092B-C50C-407E-A947-70E740481C1C}">
                          <a14:useLocalDpi xmlns:a14="http://schemas.microsoft.com/office/drawing/2010/main" val="0"/>
                        </a:ext>
                      </a:extLst>
                    </a:blip>
                    <a:srcRect t="9973" b="14803"/>
                    <a:stretch>
                      <a:fillRect/>
                    </a:stretch>
                  </pic:blipFill>
                  <pic:spPr bwMode="auto">
                    <a:xfrm>
                      <a:off x="0" y="0"/>
                      <a:ext cx="5092700" cy="2881630"/>
                    </a:xfrm>
                    <a:prstGeom prst="rect">
                      <a:avLst/>
                    </a:prstGeom>
                    <a:noFill/>
                    <a:ln w="9525" cmpd="sng">
                      <a:solidFill>
                        <a:srgbClr val="4F81BD"/>
                      </a:solidFill>
                      <a:miter lim="800000"/>
                      <a:headEnd/>
                      <a:tailEnd/>
                    </a:ln>
                    <a:effectLst/>
                  </pic:spPr>
                </pic:pic>
              </a:graphicData>
            </a:graphic>
          </wp:inline>
        </w:drawing>
      </w:r>
    </w:p>
    <w:p w:rsidR="00951FEC" w:rsidRPr="003D69B3" w:rsidRDefault="00951FEC" w:rsidP="00951FEC">
      <w:pPr>
        <w:rPr>
          <w:lang w:val="es-CL"/>
        </w:rPr>
      </w:pPr>
    </w:p>
    <w:p w:rsidR="00472B1B" w:rsidRPr="00F56AEE" w:rsidRDefault="00472B1B" w:rsidP="00F56AEE">
      <w:pPr>
        <w:pStyle w:val="Ttulo4Ttulo4"/>
        <w:keepNext w:val="0"/>
        <w:widowControl w:val="0"/>
      </w:pPr>
      <w:bookmarkStart w:id="426" w:name="_Toc344391848"/>
      <w:r w:rsidRPr="00F56AEE">
        <w:t>Cálculo de Caudales de Agua Subterránea Asociados a Volumen de Almacenamiento del Acuífero</w:t>
      </w:r>
      <w:bookmarkEnd w:id="426"/>
    </w:p>
    <w:p w:rsidR="00472B1B" w:rsidRPr="00472B1B" w:rsidRDefault="00472B1B" w:rsidP="00472B1B">
      <w:pPr>
        <w:rPr>
          <w:rFonts w:cs="Arial"/>
          <w:szCs w:val="22"/>
          <w:lang w:val="es-CL"/>
        </w:rPr>
      </w:pPr>
      <w:r w:rsidRPr="00472B1B">
        <w:rPr>
          <w:rFonts w:cs="Arial"/>
          <w:szCs w:val="22"/>
          <w:lang w:val="es-CL"/>
        </w:rPr>
        <w:t>En el cálculo de caudales de agua subterránea asociados a variaciones de niveles de agua subterránea, provenientes del volumen de almacenamiento, se necesita conocer los siguientes parámetros:</w:t>
      </w:r>
    </w:p>
    <w:p w:rsidR="00472B1B" w:rsidRPr="00472B1B" w:rsidRDefault="00472B1B" w:rsidP="00472B1B">
      <w:pPr>
        <w:rPr>
          <w:rFonts w:cs="Arial"/>
          <w:szCs w:val="22"/>
          <w:lang w:val="es-CL"/>
        </w:rPr>
      </w:pPr>
    </w:p>
    <w:p w:rsidR="00472B1B" w:rsidRPr="00472B1B" w:rsidRDefault="00472B1B" w:rsidP="00145762">
      <w:pPr>
        <w:pStyle w:val="ListParagraph"/>
        <w:numPr>
          <w:ilvl w:val="0"/>
          <w:numId w:val="26"/>
        </w:numPr>
        <w:spacing w:after="0"/>
        <w:jc w:val="both"/>
        <w:rPr>
          <w:rFonts w:ascii="Arial" w:hAnsi="Arial" w:cs="Arial"/>
        </w:rPr>
      </w:pPr>
      <w:r w:rsidRPr="00472B1B">
        <w:rPr>
          <w:rFonts w:ascii="Arial" w:hAnsi="Arial" w:cs="Arial"/>
        </w:rPr>
        <w:t>Porosidad efectiva</w:t>
      </w:r>
    </w:p>
    <w:p w:rsidR="00472B1B" w:rsidRPr="00472B1B" w:rsidRDefault="00472B1B" w:rsidP="00145762">
      <w:pPr>
        <w:pStyle w:val="ListParagraph"/>
        <w:numPr>
          <w:ilvl w:val="0"/>
          <w:numId w:val="26"/>
        </w:numPr>
        <w:spacing w:after="0"/>
        <w:jc w:val="both"/>
        <w:rPr>
          <w:rFonts w:ascii="Arial" w:hAnsi="Arial" w:cs="Arial"/>
        </w:rPr>
      </w:pPr>
      <w:r w:rsidRPr="00472B1B">
        <w:rPr>
          <w:rFonts w:ascii="Arial" w:hAnsi="Arial" w:cs="Arial"/>
        </w:rPr>
        <w:t>Nivel de Agua Subterránea Representativa</w:t>
      </w:r>
    </w:p>
    <w:p w:rsidR="00472B1B" w:rsidRPr="00472B1B" w:rsidRDefault="00472B1B" w:rsidP="00145762">
      <w:pPr>
        <w:pStyle w:val="ListParagraph"/>
        <w:numPr>
          <w:ilvl w:val="0"/>
          <w:numId w:val="26"/>
        </w:numPr>
        <w:spacing w:after="0"/>
        <w:jc w:val="both"/>
        <w:rPr>
          <w:rFonts w:ascii="Arial" w:hAnsi="Arial" w:cs="Arial"/>
        </w:rPr>
      </w:pPr>
      <w:r w:rsidRPr="00472B1B">
        <w:rPr>
          <w:rFonts w:ascii="Arial" w:hAnsi="Arial" w:cs="Arial"/>
        </w:rPr>
        <w:t>Valores de Variaciones de Nivel de Agua Subterránea</w:t>
      </w:r>
    </w:p>
    <w:p w:rsidR="00472B1B" w:rsidRDefault="00472B1B" w:rsidP="00472B1B">
      <w:pPr>
        <w:rPr>
          <w:lang w:val="es-CL"/>
        </w:rPr>
      </w:pPr>
    </w:p>
    <w:p w:rsidR="00276A04" w:rsidRDefault="00276A04" w:rsidP="00472B1B">
      <w:pPr>
        <w:rPr>
          <w:lang w:val="es-CL"/>
        </w:rPr>
      </w:pPr>
    </w:p>
    <w:p w:rsidR="00472B1B" w:rsidRPr="00472B1B" w:rsidRDefault="00472B1B" w:rsidP="00472B1B">
      <w:pPr>
        <w:pStyle w:val="ListParagraph"/>
        <w:spacing w:after="0"/>
        <w:ind w:left="0"/>
        <w:jc w:val="both"/>
        <w:rPr>
          <w:rFonts w:ascii="Arial" w:hAnsi="Arial" w:cs="Arial"/>
          <w:b/>
        </w:rPr>
      </w:pPr>
      <w:r w:rsidRPr="00472B1B">
        <w:rPr>
          <w:rFonts w:ascii="Arial" w:hAnsi="Arial" w:cs="Arial"/>
          <w:b/>
        </w:rPr>
        <w:t>- Porosidad Efectiva</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smartTag w:uri="urn:schemas-microsoft-com:office:smarttags" w:element="PersonName">
        <w:smartTagPr>
          <w:attr w:name="ProductID" w:val="La Porosidad"/>
        </w:smartTagPr>
        <w:r w:rsidRPr="00472B1B">
          <w:rPr>
            <w:rFonts w:cs="Arial"/>
            <w:szCs w:val="22"/>
            <w:lang w:val="es-CL"/>
          </w:rPr>
          <w:t>La Porosidad</w:t>
        </w:r>
      </w:smartTag>
      <w:r w:rsidRPr="00472B1B">
        <w:rPr>
          <w:rFonts w:cs="Arial"/>
          <w:szCs w:val="22"/>
          <w:lang w:val="es-CL"/>
        </w:rPr>
        <w:t xml:space="preserve"> de un medio poroso permeable, Porosidad Total, es el cuociente entre el Volumen de “huecos interconectados” y el volumen total de la muestra en análisis y se expresa en %. </w:t>
      </w:r>
      <w:smartTag w:uri="urn:schemas-microsoft-com:office:smarttags" w:element="PersonName">
        <w:smartTagPr>
          <w:attr w:name="ProductID" w:val="La Porosidad Total"/>
        </w:smartTagPr>
        <w:r w:rsidRPr="00472B1B">
          <w:rPr>
            <w:rFonts w:cs="Arial"/>
            <w:szCs w:val="22"/>
            <w:lang w:val="es-CL"/>
          </w:rPr>
          <w:t>La Porosidad Total</w:t>
        </w:r>
      </w:smartTag>
      <w:r w:rsidRPr="00472B1B">
        <w:rPr>
          <w:rFonts w:cs="Arial"/>
          <w:szCs w:val="22"/>
          <w:lang w:val="es-CL"/>
        </w:rPr>
        <w:t xml:space="preserve"> se compone de dos partes: </w:t>
      </w:r>
      <w:smartTag w:uri="urn:schemas-microsoft-com:office:smarttags" w:element="PersonName">
        <w:smartTagPr>
          <w:attr w:name="ProductID" w:val="la Porosidad Efectiva"/>
        </w:smartTagPr>
        <w:r w:rsidRPr="00472B1B">
          <w:rPr>
            <w:rFonts w:cs="Arial"/>
            <w:szCs w:val="22"/>
            <w:lang w:val="es-CL"/>
          </w:rPr>
          <w:t>la Porosidad Efectiva</w:t>
        </w:r>
      </w:smartTag>
      <w:r w:rsidRPr="00472B1B">
        <w:rPr>
          <w:rFonts w:cs="Arial"/>
          <w:szCs w:val="22"/>
          <w:lang w:val="es-CL"/>
        </w:rPr>
        <w:t xml:space="preserve"> y </w:t>
      </w:r>
      <w:smartTag w:uri="urn:schemas-microsoft-com:office:smarttags" w:element="PersonName">
        <w:smartTagPr>
          <w:attr w:name="ProductID" w:val="la Retención Específica."/>
        </w:smartTagPr>
        <w:r w:rsidRPr="00472B1B">
          <w:rPr>
            <w:rFonts w:cs="Arial"/>
            <w:szCs w:val="22"/>
            <w:lang w:val="es-CL"/>
          </w:rPr>
          <w:t>la Retención Específica.</w:t>
        </w:r>
      </w:smartTag>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 xml:space="preserve">La primera, </w:t>
      </w:r>
      <w:smartTag w:uri="urn:schemas-microsoft-com:office:smarttags" w:element="PersonName">
        <w:smartTagPr>
          <w:attr w:name="ProductID" w:val="la Porosidad Efectiva"/>
        </w:smartTagPr>
        <w:r w:rsidRPr="00472B1B">
          <w:rPr>
            <w:rFonts w:cs="Arial"/>
            <w:szCs w:val="22"/>
            <w:lang w:val="es-CL"/>
          </w:rPr>
          <w:t>la Porosidad Efectiva</w:t>
        </w:r>
      </w:smartTag>
      <w:r w:rsidRPr="00472B1B">
        <w:rPr>
          <w:rFonts w:cs="Arial"/>
          <w:szCs w:val="22"/>
          <w:lang w:val="es-CL"/>
        </w:rPr>
        <w:t xml:space="preserve">, representa el cuociente entre el agua que puede ser drenada gravitacionalmente desde una muestra totalmente saturada, y el volumen total de la muestra en análisis. </w:t>
      </w:r>
      <w:smartTag w:uri="urn:schemas-microsoft-com:office:smarttags" w:element="PersonName">
        <w:smartTagPr>
          <w:attr w:name="ProductID" w:val="La Retención Específica"/>
        </w:smartTagPr>
        <w:r w:rsidRPr="00472B1B">
          <w:rPr>
            <w:rFonts w:cs="Arial"/>
            <w:szCs w:val="22"/>
            <w:lang w:val="es-CL"/>
          </w:rPr>
          <w:t>La Retención Específica</w:t>
        </w:r>
      </w:smartTag>
      <w:r w:rsidRPr="00472B1B">
        <w:rPr>
          <w:rFonts w:cs="Arial"/>
          <w:szCs w:val="22"/>
          <w:lang w:val="es-CL"/>
        </w:rPr>
        <w:t xml:space="preserve"> representa el cuociente entre el agua que no puede ser drenada gravitacionalmente y el volumen total de la muestra. Es el agua que por fuerzas intergranulares queda adherida a las partículas por fuerzas superiores a la fuerza de gravedad.</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 xml:space="preserve">El agua obtenible en acuíferos es la que está disponible como Porosidad Efectiva, y en consecuencia es un parámetro clave en la captación de agua subterránea por estar ella controlada por la fuerza de gravedad. </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 xml:space="preserve">En términos del Coeficiente de Almacenamiento los valores habituales en acuíferos freáticos o libres varían en el rango </w:t>
      </w:r>
      <w:smartTag w:uri="urn:schemas-microsoft-com:office:smarttags" w:element="metricconverter">
        <w:smartTagPr>
          <w:attr w:name="ProductID" w:val="1 a"/>
        </w:smartTagPr>
        <w:r w:rsidRPr="00472B1B">
          <w:rPr>
            <w:rFonts w:cs="Arial"/>
            <w:szCs w:val="22"/>
            <w:lang w:val="es-CL"/>
          </w:rPr>
          <w:t>1 a</w:t>
        </w:r>
      </w:smartTag>
      <w:r w:rsidRPr="00472B1B">
        <w:rPr>
          <w:rFonts w:cs="Arial"/>
          <w:szCs w:val="22"/>
          <w:lang w:val="es-CL"/>
        </w:rPr>
        <w:t xml:space="preserve"> 30%, mientras que en el caso de acuíferos confinados, también llamados artesianos, los valores se sitúan en el rango </w:t>
      </w:r>
      <w:smartTag w:uri="urn:schemas-microsoft-com:office:smarttags" w:element="metricconverter">
        <w:smartTagPr>
          <w:attr w:name="ProductID" w:val="0,1 a"/>
        </w:smartTagPr>
        <w:r w:rsidRPr="00472B1B">
          <w:rPr>
            <w:rFonts w:cs="Arial"/>
            <w:szCs w:val="22"/>
            <w:lang w:val="es-CL"/>
          </w:rPr>
          <w:t>0,1 a</w:t>
        </w:r>
      </w:smartTag>
      <w:r w:rsidRPr="00472B1B">
        <w:rPr>
          <w:rFonts w:cs="Arial"/>
          <w:szCs w:val="22"/>
          <w:lang w:val="es-CL"/>
        </w:rPr>
        <w:t xml:space="preserve"> 0,001 % y menos.</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Por tanto se puede aprovechar más agua almacenada en acuíferos freáticos libres que en acuíferos confinados porque entregan más agua por unidad de volumen.</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En atención a que en un acuífero freático la compresibilidad es despreciable, este concepto es equivalente al de rendimiento específico, espacio poroso drenable o porosidad efectiva. Es una cantidad adimensional normalmente expresada como porcentaje y sus valores fluctúan entre menos de un 5 % en suelos arcillosos hasta más de 35 % en suelos arenosos gruesos.</w:t>
      </w:r>
    </w:p>
    <w:p w:rsidR="00472B1B" w:rsidRDefault="00472B1B" w:rsidP="00472B1B">
      <w:pPr>
        <w:rPr>
          <w:lang w:val="es-CL"/>
        </w:rPr>
      </w:pPr>
    </w:p>
    <w:p w:rsidR="00472B1B" w:rsidRDefault="00472B1B" w:rsidP="00472B1B">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11</w:t>
      </w:r>
      <w:r w:rsidR="00951FEC">
        <w:fldChar w:fldCharType="end"/>
      </w:r>
      <w:r>
        <w:t xml:space="preserve"> Factores de </w:t>
      </w:r>
      <w:smartTag w:uri="urn:schemas-microsoft-com:office:smarttags" w:element="PersonName">
        <w:smartTagPr>
          <w:attr w:name="ProductID" w:val="la Porosidad Drenable"/>
        </w:smartTagPr>
        <w:r>
          <w:t>la Porosidad Drenable</w:t>
        </w:r>
      </w:smartTag>
      <w:r>
        <w:t xml:space="preserve"> con Relación al Tipo de Suelo</w:t>
      </w:r>
    </w:p>
    <w:p w:rsidR="00472B1B" w:rsidRDefault="00254CE2" w:rsidP="00472B1B">
      <w:pPr>
        <w:jc w:val="center"/>
        <w:rPr>
          <w:rFonts w:ascii="Verdana" w:hAnsi="Verdana"/>
          <w:noProof/>
          <w:sz w:val="24"/>
          <w:lang w:val="es-CL" w:eastAsia="es-CL"/>
        </w:rPr>
      </w:pPr>
      <w:r>
        <w:rPr>
          <w:rFonts w:ascii="Verdana" w:hAnsi="Verdana"/>
          <w:noProof/>
          <w:sz w:val="24"/>
          <w:lang w:val="es-CL" w:eastAsia="es-CL"/>
        </w:rPr>
        <w:drawing>
          <wp:inline distT="0" distB="0" distL="0" distR="0">
            <wp:extent cx="3796030" cy="3072765"/>
            <wp:effectExtent l="38100" t="38100" r="33020" b="32385"/>
            <wp:docPr id="2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15" cstate="print">
                      <a:extLst>
                        <a:ext uri="{28A0092B-C50C-407E-A947-70E740481C1C}">
                          <a14:useLocalDpi xmlns:a14="http://schemas.microsoft.com/office/drawing/2010/main" val="0"/>
                        </a:ext>
                      </a:extLst>
                    </a:blip>
                    <a:srcRect l="15381" t="11555" r="15633" b="14171"/>
                    <a:stretch>
                      <a:fillRect/>
                    </a:stretch>
                  </pic:blipFill>
                  <pic:spPr bwMode="auto">
                    <a:xfrm>
                      <a:off x="0" y="0"/>
                      <a:ext cx="3796030" cy="3072765"/>
                    </a:xfrm>
                    <a:prstGeom prst="rect">
                      <a:avLst/>
                    </a:prstGeom>
                    <a:noFill/>
                    <a:ln w="28575" cmpd="sng">
                      <a:solidFill>
                        <a:srgbClr val="0000FF"/>
                      </a:solidFill>
                      <a:miter lim="800000"/>
                      <a:headEnd/>
                      <a:tailEnd/>
                    </a:ln>
                    <a:effectLst/>
                  </pic:spPr>
                </pic:pic>
              </a:graphicData>
            </a:graphic>
          </wp:inline>
        </w:drawing>
      </w:r>
    </w:p>
    <w:p w:rsidR="00472B1B" w:rsidRDefault="00472B1B" w:rsidP="00472B1B">
      <w:pPr>
        <w:jc w:val="center"/>
        <w:rPr>
          <w:rFonts w:ascii="Verdana" w:hAnsi="Verdana"/>
          <w:noProof/>
          <w:sz w:val="24"/>
          <w:lang w:val="es-CL" w:eastAsia="es-CL"/>
        </w:rPr>
      </w:pPr>
    </w:p>
    <w:p w:rsidR="00472B1B" w:rsidRDefault="00472B1B" w:rsidP="00472B1B">
      <w:pPr>
        <w:rPr>
          <w:rFonts w:cs="Arial"/>
          <w:szCs w:val="22"/>
          <w:lang w:val="es-CL"/>
        </w:rPr>
      </w:pPr>
      <w:r w:rsidRPr="00472B1B">
        <w:rPr>
          <w:rFonts w:cs="Arial"/>
          <w:szCs w:val="22"/>
          <w:lang w:val="es-CL"/>
        </w:rPr>
        <w:t>De acuerdo con lo señalado, y tomando en cuenta las características de los acuíferos que se analizan, en los análisis de los volúmenes de agua subterránea drenables se usará un valor de un 10% en la porosidad efectiva.</w:t>
      </w:r>
    </w:p>
    <w:p w:rsidR="00472B1B" w:rsidRPr="00472B1B" w:rsidRDefault="00472B1B" w:rsidP="00472B1B">
      <w:pPr>
        <w:rPr>
          <w:rFonts w:cs="Arial"/>
          <w:szCs w:val="22"/>
          <w:lang w:val="es-CL"/>
        </w:rPr>
      </w:pPr>
    </w:p>
    <w:p w:rsidR="00472B1B" w:rsidRPr="00472B1B" w:rsidRDefault="00472B1B" w:rsidP="00145762">
      <w:pPr>
        <w:pStyle w:val="ListParagraph"/>
        <w:numPr>
          <w:ilvl w:val="0"/>
          <w:numId w:val="28"/>
        </w:numPr>
        <w:spacing w:after="0"/>
        <w:jc w:val="both"/>
        <w:rPr>
          <w:rFonts w:ascii="Arial" w:hAnsi="Arial" w:cs="Arial"/>
          <w:b/>
        </w:rPr>
      </w:pPr>
      <w:r w:rsidRPr="00472B1B">
        <w:rPr>
          <w:rFonts w:ascii="Arial" w:hAnsi="Arial" w:cs="Arial"/>
          <w:b/>
        </w:rPr>
        <w:t>Nivel de Agua Subterránea Representativa</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El nivel de agua subterránea representativa de cada acuífero, nivel a partir del cual se calcularán las variaciones de volúmenes, se determinaron de los estudios revisados.</w:t>
      </w:r>
    </w:p>
    <w:p w:rsidR="00472B1B" w:rsidRPr="00472B1B" w:rsidRDefault="00472B1B" w:rsidP="00472B1B">
      <w:pPr>
        <w:rPr>
          <w:rFonts w:cs="Arial"/>
          <w:szCs w:val="22"/>
          <w:lang w:val="es-CL"/>
        </w:rPr>
      </w:pPr>
    </w:p>
    <w:p w:rsidR="00472B1B" w:rsidRPr="00472B1B" w:rsidRDefault="00472B1B" w:rsidP="00145762">
      <w:pPr>
        <w:pStyle w:val="ListParagraph"/>
        <w:numPr>
          <w:ilvl w:val="0"/>
          <w:numId w:val="28"/>
        </w:numPr>
        <w:spacing w:after="0"/>
        <w:jc w:val="both"/>
        <w:rPr>
          <w:rFonts w:ascii="Arial" w:hAnsi="Arial" w:cs="Arial"/>
          <w:b/>
        </w:rPr>
      </w:pPr>
      <w:r w:rsidRPr="00472B1B">
        <w:rPr>
          <w:rFonts w:ascii="Arial" w:hAnsi="Arial" w:cs="Arial"/>
          <w:b/>
        </w:rPr>
        <w:t>Valores de Variaciones de Nivel de Agua Subterránea</w:t>
      </w:r>
    </w:p>
    <w:p w:rsidR="00472B1B" w:rsidRPr="00472B1B" w:rsidRDefault="00472B1B" w:rsidP="00472B1B">
      <w:pPr>
        <w:rPr>
          <w:rFonts w:cs="Arial"/>
          <w:szCs w:val="22"/>
          <w:lang w:val="es-CL"/>
        </w:rPr>
      </w:pPr>
    </w:p>
    <w:p w:rsidR="00472B1B" w:rsidRPr="00472B1B" w:rsidRDefault="00472B1B" w:rsidP="00472B1B">
      <w:pPr>
        <w:rPr>
          <w:rFonts w:cs="Arial"/>
          <w:szCs w:val="22"/>
          <w:lang w:val="es-CL"/>
        </w:rPr>
      </w:pPr>
      <w:r w:rsidRPr="00472B1B">
        <w:rPr>
          <w:rFonts w:cs="Arial"/>
          <w:szCs w:val="22"/>
          <w:lang w:val="es-CL"/>
        </w:rPr>
        <w:t>Con el objetivo de analizar caudales de agua subterránea asociadas a vaciamientos y recuperaciones de volúmenes de almacenamientos, se ha efectuado el siguiente procedimiento:</w:t>
      </w:r>
    </w:p>
    <w:p w:rsidR="00472B1B" w:rsidRPr="00472B1B" w:rsidRDefault="00472B1B" w:rsidP="00472B1B">
      <w:pPr>
        <w:rPr>
          <w:rFonts w:cs="Arial"/>
          <w:szCs w:val="22"/>
          <w:lang w:val="es-CL"/>
        </w:rPr>
      </w:pPr>
    </w:p>
    <w:p w:rsidR="00472B1B" w:rsidRPr="00472B1B" w:rsidRDefault="00472B1B" w:rsidP="00145762">
      <w:pPr>
        <w:pStyle w:val="ListParagraph"/>
        <w:numPr>
          <w:ilvl w:val="0"/>
          <w:numId w:val="27"/>
        </w:numPr>
        <w:spacing w:after="0"/>
        <w:jc w:val="both"/>
        <w:rPr>
          <w:rFonts w:ascii="Arial" w:hAnsi="Arial" w:cs="Arial"/>
        </w:rPr>
      </w:pPr>
      <w:r w:rsidRPr="00472B1B">
        <w:rPr>
          <w:rFonts w:ascii="Arial" w:hAnsi="Arial" w:cs="Arial"/>
        </w:rPr>
        <w:t>Para cada uno de los acuíferos de los valles de Cachapoal y Tinguiririca, se seleccionaron limnigramas representativos de niveles de agua subterránea históricos.</w:t>
      </w:r>
    </w:p>
    <w:p w:rsidR="00472B1B" w:rsidRPr="00472B1B" w:rsidRDefault="00472B1B" w:rsidP="00145762">
      <w:pPr>
        <w:pStyle w:val="ListParagraph"/>
        <w:numPr>
          <w:ilvl w:val="0"/>
          <w:numId w:val="27"/>
        </w:numPr>
        <w:spacing w:after="0"/>
        <w:jc w:val="both"/>
        <w:rPr>
          <w:rFonts w:ascii="Arial" w:hAnsi="Arial" w:cs="Arial"/>
        </w:rPr>
      </w:pPr>
      <w:r w:rsidRPr="00472B1B">
        <w:rPr>
          <w:rFonts w:ascii="Arial" w:hAnsi="Arial" w:cs="Arial"/>
        </w:rPr>
        <w:t>En cada uno de los limnigramas, se identificaron los máximos gradientes positivos (aumento del volumen de agua subterránea) y negativos (vaciamiento del acuífero) asociados a un período de más de 1 año.</w:t>
      </w:r>
    </w:p>
    <w:p w:rsidR="00472B1B" w:rsidRPr="00472B1B" w:rsidRDefault="00472B1B" w:rsidP="00145762">
      <w:pPr>
        <w:pStyle w:val="ListParagraph"/>
        <w:numPr>
          <w:ilvl w:val="0"/>
          <w:numId w:val="27"/>
        </w:numPr>
        <w:spacing w:after="0"/>
        <w:jc w:val="both"/>
        <w:rPr>
          <w:rFonts w:ascii="Arial" w:hAnsi="Arial" w:cs="Arial"/>
        </w:rPr>
      </w:pPr>
      <w:r w:rsidRPr="00472B1B">
        <w:rPr>
          <w:rFonts w:ascii="Arial" w:hAnsi="Arial" w:cs="Arial"/>
        </w:rPr>
        <w:t>Con dicho gradiente (diferencia máxima de niveles / número de años), se determina el caudal de agua subterránea asociada, multiplicando el volumen del acuífero asociado a la variación del nivel por la porosidad efectiva (caudal medio anual); el volumen del acuífero se determina a través del modelo explicado anteriormente.</w:t>
      </w:r>
    </w:p>
    <w:p w:rsidR="00472B1B" w:rsidRPr="00472B1B" w:rsidRDefault="00472B1B" w:rsidP="00472B1B">
      <w:pPr>
        <w:rPr>
          <w:rFonts w:cs="Arial"/>
          <w:szCs w:val="22"/>
          <w:lang w:val="es-CL"/>
        </w:rPr>
      </w:pPr>
    </w:p>
    <w:p w:rsidR="00472B1B" w:rsidRDefault="00472B1B" w:rsidP="00472B1B">
      <w:pPr>
        <w:rPr>
          <w:rFonts w:cs="Arial"/>
          <w:szCs w:val="22"/>
          <w:lang w:val="es-CL"/>
        </w:rPr>
      </w:pPr>
      <w:r w:rsidRPr="00472B1B">
        <w:rPr>
          <w:rFonts w:cs="Arial"/>
          <w:szCs w:val="22"/>
          <w:lang w:val="es-CL"/>
        </w:rPr>
        <w:t>A continuación se procede al cálculo para cada uno de los acuíferos de interés.</w:t>
      </w:r>
    </w:p>
    <w:p w:rsidR="00951FEC" w:rsidRPr="00472B1B" w:rsidRDefault="00951FEC" w:rsidP="00472B1B">
      <w:pPr>
        <w:rPr>
          <w:rFonts w:cs="Arial"/>
          <w:szCs w:val="22"/>
          <w:lang w:val="es-CL"/>
        </w:rPr>
      </w:pPr>
    </w:p>
    <w:p w:rsidR="00472B1B" w:rsidRDefault="00472B1B" w:rsidP="00145762">
      <w:pPr>
        <w:pStyle w:val="ListParagraph"/>
        <w:numPr>
          <w:ilvl w:val="0"/>
          <w:numId w:val="28"/>
        </w:numPr>
        <w:spacing w:after="0"/>
        <w:jc w:val="both"/>
        <w:rPr>
          <w:rFonts w:ascii="Arial" w:hAnsi="Arial" w:cs="Arial"/>
          <w:b/>
        </w:rPr>
      </w:pPr>
      <w:r w:rsidRPr="00472B1B">
        <w:rPr>
          <w:rFonts w:ascii="Arial" w:hAnsi="Arial" w:cs="Arial"/>
          <w:b/>
        </w:rPr>
        <w:t xml:space="preserve">Cuenca del río </w:t>
      </w:r>
      <w:r w:rsidR="00951FEC">
        <w:rPr>
          <w:rFonts w:ascii="Arial" w:hAnsi="Arial" w:cs="Arial"/>
          <w:b/>
        </w:rPr>
        <w:t>Maipo</w:t>
      </w:r>
    </w:p>
    <w:p w:rsidR="00951FEC" w:rsidRDefault="00951FEC" w:rsidP="00951FEC">
      <w:pPr>
        <w:pStyle w:val="ListParagraph"/>
        <w:spacing w:after="0"/>
        <w:ind w:left="0"/>
        <w:jc w:val="both"/>
        <w:rPr>
          <w:rFonts w:ascii="Arial" w:hAnsi="Arial" w:cs="Arial"/>
          <w:b/>
        </w:rPr>
      </w:pPr>
    </w:p>
    <w:p w:rsidR="00472B1B" w:rsidRDefault="00472B1B" w:rsidP="00472B1B">
      <w:pPr>
        <w:rPr>
          <w:rFonts w:cs="Arial"/>
          <w:szCs w:val="22"/>
          <w:lang w:val="es-CL"/>
        </w:rPr>
      </w:pPr>
      <w:r w:rsidRPr="00472B1B">
        <w:rPr>
          <w:rFonts w:cs="Arial"/>
          <w:szCs w:val="22"/>
          <w:lang w:val="es-CL"/>
        </w:rPr>
        <w:t>Los limnigramas representativos de cada acuífero se muestran a continuación; en ellos, se muestra la línea de tendencia histórica y los máximos y mínimos gradientes considerados en los análisis.</w:t>
      </w:r>
    </w:p>
    <w:p w:rsidR="00472B1B" w:rsidRDefault="00472B1B" w:rsidP="00472B1B"/>
    <w:p w:rsidR="00472B1B" w:rsidRDefault="00472B1B" w:rsidP="00472B1B">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12</w:t>
      </w:r>
      <w:r w:rsidR="00951FEC">
        <w:fldChar w:fldCharType="end"/>
      </w:r>
      <w:r>
        <w:t xml:space="preserve"> Acuífero 0571 Sector Alto</w:t>
      </w:r>
    </w:p>
    <w:p w:rsidR="00472B1B" w:rsidRDefault="00254CE2" w:rsidP="00472B1B">
      <w:pPr>
        <w:jc w:val="center"/>
        <w:rPr>
          <w:rFonts w:ascii="Verdana" w:hAnsi="Verdana"/>
          <w:sz w:val="24"/>
          <w:lang w:val="es-CL"/>
        </w:rPr>
      </w:pPr>
      <w:r>
        <w:rPr>
          <w:noProof/>
          <w:lang w:val="es-CL" w:eastAsia="es-CL"/>
        </w:rPr>
        <mc:AlternateContent>
          <mc:Choice Requires="wps">
            <w:drawing>
              <wp:anchor distT="0" distB="0" distL="114300" distR="114300" simplePos="0" relativeHeight="251652608" behindDoc="0" locked="0" layoutInCell="1" allowOverlap="1">
                <wp:simplePos x="0" y="0"/>
                <wp:positionH relativeFrom="column">
                  <wp:posOffset>3543300</wp:posOffset>
                </wp:positionH>
                <wp:positionV relativeFrom="paragraph">
                  <wp:posOffset>145415</wp:posOffset>
                </wp:positionV>
                <wp:extent cx="103505" cy="492125"/>
                <wp:effectExtent l="76200" t="21590" r="20320" b="38735"/>
                <wp:wrapNone/>
                <wp:docPr id="274"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505" cy="4921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7" o:spid="_x0000_s1026" type="#_x0000_t32" style="position:absolute;margin-left:279pt;margin-top:11.45pt;width:8.15pt;height:38.75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" strokecolor="#c00000" strokeweight="2.5pt">
                <v:stroke endarrow="block"/>
              </v:shape>
            </w:pict>
          </mc:Fallback>
        </mc:AlternateContent>
      </w:r>
      <w:r>
        <w:rPr>
          <w:rFonts w:ascii="Verdana" w:hAnsi="Verdana"/>
          <w:noProof/>
          <w:sz w:val="24"/>
          <w:lang w:val="es-CL" w:eastAsia="es-CL"/>
        </w:rPr>
        <w:drawing>
          <wp:inline distT="0" distB="0" distL="0" distR="0">
            <wp:extent cx="4157345" cy="2679700"/>
            <wp:effectExtent l="0" t="0" r="0" b="6350"/>
            <wp:docPr id="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6">
                      <a:extLst>
                        <a:ext uri="{28A0092B-C50C-407E-A947-70E740481C1C}">
                          <a14:useLocalDpi xmlns:a14="http://schemas.microsoft.com/office/drawing/2010/main" val="0"/>
                        </a:ext>
                      </a:extLst>
                    </a:blip>
                    <a:srcRect l="8870" t="17688" r="22745" b="12726"/>
                    <a:stretch>
                      <a:fillRect/>
                    </a:stretch>
                  </pic:blipFill>
                  <pic:spPr bwMode="auto">
                    <a:xfrm>
                      <a:off x="0" y="0"/>
                      <a:ext cx="4157345" cy="2679700"/>
                    </a:xfrm>
                    <a:prstGeom prst="rect">
                      <a:avLst/>
                    </a:prstGeom>
                    <a:noFill/>
                    <a:ln>
                      <a:noFill/>
                    </a:ln>
                  </pic:spPr>
                </pic:pic>
              </a:graphicData>
            </a:graphic>
          </wp:inline>
        </w:drawing>
      </w:r>
    </w:p>
    <w:p w:rsidR="00472B1B" w:rsidRDefault="00472B1B" w:rsidP="00472B1B">
      <w:pPr>
        <w:rPr>
          <w:rFonts w:cs="Arial"/>
          <w:szCs w:val="22"/>
          <w:lang w:val="es-CL"/>
        </w:rPr>
      </w:pPr>
    </w:p>
    <w:p w:rsidR="00472B1B" w:rsidRDefault="00472B1B" w:rsidP="00472B1B">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13</w:t>
      </w:r>
      <w:r w:rsidR="00951FEC">
        <w:fldChar w:fldCharType="end"/>
      </w:r>
      <w:r>
        <w:t xml:space="preserve"> Limnigrama Nº 12, Fundo Santa Filomena</w:t>
      </w:r>
    </w:p>
    <w:p w:rsidR="00472B1B" w:rsidRPr="00472B1B" w:rsidRDefault="00254CE2" w:rsidP="00472B1B">
      <w:pPr>
        <w:pStyle w:val="ListParagraph"/>
        <w:spacing w:after="0"/>
        <w:ind w:left="360"/>
        <w:jc w:val="center"/>
        <w:rPr>
          <w:rFonts w:ascii="Arial" w:hAnsi="Arial" w:cs="Arial"/>
          <w:b/>
        </w:rPr>
      </w:pPr>
      <w:r>
        <w:rPr>
          <w:rFonts w:ascii="Verdana" w:hAnsi="Verdana"/>
          <w:noProof/>
          <w:sz w:val="24"/>
          <w:szCs w:val="24"/>
          <w:lang w:eastAsia="es-CL"/>
        </w:rPr>
        <w:drawing>
          <wp:inline distT="0" distB="0" distL="0" distR="0">
            <wp:extent cx="5337810" cy="2306955"/>
            <wp:effectExtent l="0" t="0" r="0" b="0"/>
            <wp:docPr id="2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37810" cy="2306955"/>
                    </a:xfrm>
                    <a:prstGeom prst="rect">
                      <a:avLst/>
                    </a:prstGeom>
                    <a:noFill/>
                    <a:ln>
                      <a:noFill/>
                    </a:ln>
                  </pic:spPr>
                </pic:pic>
              </a:graphicData>
            </a:graphic>
          </wp:inline>
        </w:drawing>
      </w:r>
    </w:p>
    <w:p w:rsidR="00F10F46" w:rsidRDefault="00F10F46" w:rsidP="00472B1B">
      <w:pPr>
        <w:rPr>
          <w:rFonts w:cs="Arial"/>
          <w:szCs w:val="22"/>
          <w:lang w:val="es-CL"/>
        </w:rPr>
      </w:pPr>
    </w:p>
    <w:p w:rsidR="00951FEC" w:rsidRDefault="00951FEC" w:rsidP="00951FEC">
      <w:pPr>
        <w:rPr>
          <w:lang w:val="es-CL"/>
        </w:rPr>
      </w:pPr>
      <w:r>
        <w:rPr>
          <w:lang w:val="es-CL"/>
        </w:rPr>
        <w:t>En el siguiente cuadro se incluye el cálculo del caudal de vaciamiento y de llenado suponiendo la máxima y mínima variación de niveles ocurrida en el período mostrado en el limnigrama anterior.</w:t>
      </w:r>
    </w:p>
    <w:p w:rsidR="00951FEC" w:rsidRDefault="00951FEC" w:rsidP="00951FEC">
      <w:pPr>
        <w:rPr>
          <w:lang w:val="es-CL"/>
        </w:rPr>
      </w:pPr>
    </w:p>
    <w:p w:rsidR="00951FEC" w:rsidRDefault="00951FEC" w:rsidP="00951FEC">
      <w:pPr>
        <w:rPr>
          <w:lang w:val="es-CL"/>
        </w:rPr>
      </w:pPr>
      <w:r>
        <w:rPr>
          <w:lang w:val="es-CL"/>
        </w:rPr>
        <w:t>A continuación se procede a explicar en detalle el cálculo que aparece en el cuadro que se incluye a continuación (para mayor entendimiento ver figura siguiente):</w:t>
      </w:r>
    </w:p>
    <w:p w:rsidR="00951FEC" w:rsidRDefault="00951FEC" w:rsidP="00951FEC">
      <w:pPr>
        <w:rPr>
          <w:lang w:val="es-CL"/>
        </w:rPr>
      </w:pPr>
    </w:p>
    <w:p w:rsidR="00951FEC" w:rsidRDefault="00951FEC" w:rsidP="00951FEC">
      <w:pPr>
        <w:pStyle w:val="Epgrafe"/>
        <w:keepNext/>
      </w:pPr>
      <w:r>
        <w:t xml:space="preserve">Figura </w:t>
      </w:r>
      <w:r>
        <w:fldChar w:fldCharType="begin"/>
      </w:r>
      <w:r>
        <w:instrText xml:space="preserve"> STYLEREF 1 \s </w:instrText>
      </w:r>
      <w:r>
        <w:fldChar w:fldCharType="separate"/>
      </w:r>
      <w:r w:rsidR="00264070">
        <w:rPr>
          <w:noProof/>
        </w:rPr>
        <w:t>6</w:t>
      </w:r>
      <w:r>
        <w:fldChar w:fldCharType="end"/>
      </w:r>
      <w:r>
        <w:t>.</w:t>
      </w:r>
      <w:r>
        <w:fldChar w:fldCharType="begin"/>
      </w:r>
      <w:r>
        <w:instrText xml:space="preserve"> SEQ Figura \* ARABIC \s 1 </w:instrText>
      </w:r>
      <w:r>
        <w:fldChar w:fldCharType="separate"/>
      </w:r>
      <w:r w:rsidR="00264070">
        <w:rPr>
          <w:noProof/>
        </w:rPr>
        <w:t>14</w:t>
      </w:r>
      <w:r>
        <w:fldChar w:fldCharType="end"/>
      </w:r>
      <w:r>
        <w:t xml:space="preserve"> Cálculo Geometría Equivalente</w:t>
      </w:r>
    </w:p>
    <w:p w:rsidR="00951FEC" w:rsidRDefault="00254CE2" w:rsidP="00307448">
      <w:pPr>
        <w:jc w:val="center"/>
        <w:rPr>
          <w:lang w:val="es-CL"/>
        </w:rPr>
      </w:pPr>
      <w:r>
        <w:rPr>
          <w:noProof/>
          <w:lang w:val="es-CL" w:eastAsia="es-CL"/>
        </w:rPr>
        <w:drawing>
          <wp:inline distT="0" distB="0" distL="0" distR="0">
            <wp:extent cx="5092700" cy="2881630"/>
            <wp:effectExtent l="19050" t="19050" r="12700" b="13970"/>
            <wp:docPr id="236" name="0 Imagen" descr="FIg. Equivalent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FIg. Equivalentes..3.jpg"/>
                    <pic:cNvPicPr>
                      <a:picLocks noChangeAspect="1" noChangeArrowheads="1"/>
                    </pic:cNvPicPr>
                  </pic:nvPicPr>
                  <pic:blipFill>
                    <a:blip r:embed="rId214">
                      <a:extLst>
                        <a:ext uri="{28A0092B-C50C-407E-A947-70E740481C1C}">
                          <a14:useLocalDpi xmlns:a14="http://schemas.microsoft.com/office/drawing/2010/main" val="0"/>
                        </a:ext>
                      </a:extLst>
                    </a:blip>
                    <a:srcRect t="9973" b="14803"/>
                    <a:stretch>
                      <a:fillRect/>
                    </a:stretch>
                  </pic:blipFill>
                  <pic:spPr bwMode="auto">
                    <a:xfrm>
                      <a:off x="0" y="0"/>
                      <a:ext cx="5092700" cy="2881630"/>
                    </a:xfrm>
                    <a:prstGeom prst="rect">
                      <a:avLst/>
                    </a:prstGeom>
                    <a:noFill/>
                    <a:ln w="9525" cmpd="sng">
                      <a:solidFill>
                        <a:srgbClr val="4F81BD"/>
                      </a:solidFill>
                      <a:miter lim="800000"/>
                      <a:headEnd/>
                      <a:tailEnd/>
                    </a:ln>
                    <a:effectLst/>
                  </pic:spPr>
                </pic:pic>
              </a:graphicData>
            </a:graphic>
          </wp:inline>
        </w:drawing>
      </w:r>
    </w:p>
    <w:p w:rsidR="00951FEC" w:rsidRDefault="00951FEC" w:rsidP="00951FEC">
      <w:pPr>
        <w:rPr>
          <w:lang w:val="es-CL"/>
        </w:rPr>
      </w:pPr>
    </w:p>
    <w:p w:rsidR="00951FEC" w:rsidRDefault="00951FEC" w:rsidP="00951FEC">
      <w:pPr>
        <w:rPr>
          <w:lang w:val="es-CL"/>
        </w:rPr>
      </w:pPr>
      <w:r>
        <w:rPr>
          <w:lang w:val="es-CL"/>
        </w:rPr>
        <w:t xml:space="preserve">Área Acuífero Nº 571 (Cachapoal Alto)= </w:t>
      </w:r>
      <w:smartTag w:uri="urn:schemas-microsoft-com:office:smarttags" w:element="metricconverter">
        <w:smartTagPr>
          <w:attr w:name="ProductID" w:val="134.820.000 m2"/>
        </w:smartTagPr>
        <w:r>
          <w:rPr>
            <w:lang w:val="es-CL"/>
          </w:rPr>
          <w:t>134.820.000 m2</w:t>
        </w:r>
      </w:smartTag>
    </w:p>
    <w:p w:rsidR="00951FEC" w:rsidRDefault="00951FEC" w:rsidP="00951FEC">
      <w:pPr>
        <w:rPr>
          <w:lang w:val="es-CL"/>
        </w:rPr>
      </w:pPr>
      <w:r>
        <w:rPr>
          <w:lang w:val="es-CL"/>
        </w:rPr>
        <w:t xml:space="preserve">Longitud Equivalente L= √134.820.000= </w:t>
      </w:r>
      <w:smartTag w:uri="urn:schemas-microsoft-com:office:smarttags" w:element="metricconverter">
        <w:smartTagPr>
          <w:attr w:name="ProductID" w:val="11.611 m"/>
        </w:smartTagPr>
        <w:r>
          <w:rPr>
            <w:lang w:val="es-CL"/>
          </w:rPr>
          <w:t>11.611 m</w:t>
        </w:r>
      </w:smartTag>
    </w:p>
    <w:p w:rsidR="00951FEC" w:rsidRDefault="00951FEC" w:rsidP="00951FEC">
      <w:pPr>
        <w:rPr>
          <w:lang w:val="es-CL"/>
        </w:rPr>
      </w:pPr>
      <w:r>
        <w:rPr>
          <w:lang w:val="es-CL"/>
        </w:rPr>
        <w:t xml:space="preserve">Volumen Real Acuífero Según Geometría Modelo Visual Modflow= </w:t>
      </w:r>
      <w:smartTag w:uri="urn:schemas-microsoft-com:office:smarttags" w:element="metricconverter">
        <w:smartTagPr>
          <w:attr w:name="ProductID" w:val="15.309.943.196 m3"/>
        </w:smartTagPr>
        <w:r>
          <w:rPr>
            <w:lang w:val="es-CL"/>
          </w:rPr>
          <w:t>15.309.943.196 m3</w:t>
        </w:r>
      </w:smartTag>
    </w:p>
    <w:p w:rsidR="00951FEC" w:rsidRDefault="00951FEC" w:rsidP="00951FEC">
      <w:pPr>
        <w:rPr>
          <w:lang w:val="es-CL"/>
        </w:rPr>
      </w:pPr>
      <w:r>
        <w:rPr>
          <w:lang w:val="es-CL"/>
        </w:rPr>
        <w:t>Profundidad</w:t>
      </w:r>
      <w:r w:rsidR="00B969EB">
        <w:rPr>
          <w:lang w:val="es-CL"/>
        </w:rPr>
        <w:t>= h2= V x 2 /</w:t>
      </w:r>
      <w:r>
        <w:rPr>
          <w:lang w:val="es-CL"/>
        </w:rPr>
        <w:t xml:space="preserve"> </w:t>
      </w:r>
      <w:r w:rsidR="00B969EB">
        <w:rPr>
          <w:lang w:val="es-CL"/>
        </w:rPr>
        <w:t>(</w:t>
      </w:r>
      <w:r>
        <w:rPr>
          <w:lang w:val="es-CL"/>
        </w:rPr>
        <w:t>L x L</w:t>
      </w:r>
      <w:r w:rsidR="00B969EB">
        <w:rPr>
          <w:lang w:val="es-CL"/>
        </w:rPr>
        <w:t>)</w:t>
      </w:r>
      <w:r>
        <w:rPr>
          <w:lang w:val="es-CL"/>
        </w:rPr>
        <w:t xml:space="preserve">= </w:t>
      </w:r>
      <w:smartTag w:uri="urn:schemas-microsoft-com:office:smarttags" w:element="metricconverter">
        <w:smartTagPr>
          <w:attr w:name="ProductID" w:val="227,12 m"/>
        </w:smartTagPr>
        <w:r>
          <w:rPr>
            <w:lang w:val="es-CL"/>
          </w:rPr>
          <w:t>227,12 m</w:t>
        </w:r>
      </w:smartTag>
    </w:p>
    <w:p w:rsidR="00951FEC" w:rsidRDefault="00951FEC" w:rsidP="00951FEC">
      <w:pPr>
        <w:rPr>
          <w:lang w:val="es-CL"/>
        </w:rPr>
      </w:pPr>
      <w:r>
        <w:rPr>
          <w:lang w:val="es-CL"/>
        </w:rPr>
        <w:t xml:space="preserve">Nivel Estático= </w:t>
      </w:r>
      <w:smartTag w:uri="urn:schemas-microsoft-com:office:smarttags" w:element="metricconverter">
        <w:smartTagPr>
          <w:attr w:name="ProductID" w:val="10 m"/>
        </w:smartTagPr>
        <w:r>
          <w:rPr>
            <w:lang w:val="es-CL"/>
          </w:rPr>
          <w:t>10 m</w:t>
        </w:r>
      </w:smartTag>
      <w:r>
        <w:rPr>
          <w:lang w:val="es-CL"/>
        </w:rPr>
        <w:t xml:space="preserve"> (representativo)</w:t>
      </w:r>
    </w:p>
    <w:p w:rsidR="00951FEC" w:rsidRDefault="00951FEC" w:rsidP="00951FEC">
      <w:pPr>
        <w:rPr>
          <w:lang w:val="es-CL"/>
        </w:rPr>
      </w:pPr>
      <w:r>
        <w:rPr>
          <w:lang w:val="es-CL"/>
        </w:rPr>
        <w:lastRenderedPageBreak/>
        <w:t xml:space="preserve">CASO MÁXIMO GRADIENTE NEGATIVO EN LIMNIGRAMA (vaciamiento del acuífero): Área de la sección transversal del acuífero equivalente al descenso de niveles desde los </w:t>
      </w:r>
      <w:smartTag w:uri="urn:schemas-microsoft-com:office:smarttags" w:element="metricconverter">
        <w:smartTagPr>
          <w:attr w:name="ProductID" w:val="10 m"/>
        </w:smartTagPr>
        <w:r>
          <w:rPr>
            <w:lang w:val="es-CL"/>
          </w:rPr>
          <w:t>10 m</w:t>
        </w:r>
      </w:smartTag>
      <w:r>
        <w:rPr>
          <w:lang w:val="es-CL"/>
        </w:rPr>
        <w:t xml:space="preserve"> hasta los </w:t>
      </w:r>
      <w:smartTag w:uri="urn:schemas-microsoft-com:office:smarttags" w:element="metricconverter">
        <w:smartTagPr>
          <w:attr w:name="ProductID" w:val="18,23 m"/>
        </w:smartTagPr>
        <w:r>
          <w:rPr>
            <w:lang w:val="es-CL"/>
          </w:rPr>
          <w:t>18,23 m</w:t>
        </w:r>
      </w:smartTag>
      <w:r>
        <w:rPr>
          <w:lang w:val="es-CL"/>
        </w:rPr>
        <w:t xml:space="preserve"> (∆ H= </w:t>
      </w:r>
      <w:smartTag w:uri="urn:schemas-microsoft-com:office:smarttags" w:element="metricconverter">
        <w:smartTagPr>
          <w:attr w:name="ProductID" w:val="-8,23 m"/>
        </w:smartTagPr>
        <w:r>
          <w:rPr>
            <w:lang w:val="es-CL"/>
          </w:rPr>
          <w:t>-8,23 m</w:t>
        </w:r>
      </w:smartTag>
      <w:r>
        <w:rPr>
          <w:lang w:val="es-CL"/>
        </w:rPr>
        <w:t xml:space="preserve">) en 1 Año= </w:t>
      </w:r>
      <w:smartTag w:uri="urn:schemas-microsoft-com:office:smarttags" w:element="metricconverter">
        <w:smartTagPr>
          <w:attr w:name="ProductID" w:val="44.803 m2"/>
        </w:smartTagPr>
        <w:r>
          <w:rPr>
            <w:lang w:val="es-CL"/>
          </w:rPr>
          <w:t>44.803 m2</w:t>
        </w:r>
      </w:smartTag>
    </w:p>
    <w:p w:rsidR="00951FEC" w:rsidRPr="00CD1304" w:rsidRDefault="00951FEC" w:rsidP="00951FEC">
      <w:pPr>
        <w:rPr>
          <w:lang w:val="es-CL"/>
        </w:rPr>
      </w:pPr>
      <w:r>
        <w:rPr>
          <w:lang w:val="es-CL"/>
        </w:rPr>
        <w:t>Caudal medio anual asociado al descenso de niveles= 1.650 l/s de vaciamiento (área transversal x L x porosidad efectiva/(86.400 x 365))</w:t>
      </w:r>
    </w:p>
    <w:p w:rsidR="00951FEC" w:rsidRDefault="00951FEC" w:rsidP="00951FEC">
      <w:pPr>
        <w:rPr>
          <w:lang w:val="es-CL"/>
        </w:rPr>
      </w:pPr>
      <w:r>
        <w:rPr>
          <w:lang w:val="es-CL"/>
        </w:rPr>
        <w:t xml:space="preserve">CASO MÁXIMO GRADIENTE POSITIVO EN LIMNIGRAMA (llenado del acuífero): Área de la sección transversal del acuífero equivalente al aumento de niveles desde los </w:t>
      </w:r>
      <w:smartTag w:uri="urn:schemas-microsoft-com:office:smarttags" w:element="metricconverter">
        <w:smartTagPr>
          <w:attr w:name="ProductID" w:val="10 m"/>
        </w:smartTagPr>
        <w:r>
          <w:rPr>
            <w:lang w:val="es-CL"/>
          </w:rPr>
          <w:t>10 m</w:t>
        </w:r>
      </w:smartTag>
      <w:r>
        <w:rPr>
          <w:lang w:val="es-CL"/>
        </w:rPr>
        <w:t xml:space="preserve"> hasta los 2,38 m (∆ H= </w:t>
      </w:r>
      <w:smartTag w:uri="urn:schemas-microsoft-com:office:smarttags" w:element="metricconverter">
        <w:smartTagPr>
          <w:attr w:name="ProductID" w:val="7,62 m"/>
        </w:smartTagPr>
        <w:r>
          <w:rPr>
            <w:lang w:val="es-CL"/>
          </w:rPr>
          <w:t>7,62 m</w:t>
        </w:r>
      </w:smartTag>
      <w:r>
        <w:rPr>
          <w:lang w:val="es-CL"/>
        </w:rPr>
        <w:t>) en 1 Año= 43.033 m2</w:t>
      </w:r>
    </w:p>
    <w:p w:rsidR="00951FEC" w:rsidRPr="00CD1304" w:rsidRDefault="00951FEC" w:rsidP="00951FEC">
      <w:pPr>
        <w:rPr>
          <w:lang w:val="es-CL"/>
        </w:rPr>
      </w:pPr>
      <w:r>
        <w:rPr>
          <w:lang w:val="es-CL"/>
        </w:rPr>
        <w:t>Caudal medio anual asociado al aumento de niveles= 1.584 l/s de llenado (área transversal x L x porosidad efectiva/(86.400 x 365))</w:t>
      </w:r>
    </w:p>
    <w:p w:rsidR="00951FEC" w:rsidRDefault="00951FEC" w:rsidP="00951FEC">
      <w:pPr>
        <w:rPr>
          <w:lang w:val="es-CL"/>
        </w:rPr>
      </w:pPr>
    </w:p>
    <w:p w:rsidR="00951FEC" w:rsidRPr="00B71F35" w:rsidRDefault="00951FEC" w:rsidP="00951FEC">
      <w:pPr>
        <w:rPr>
          <w:lang w:val="es-CL"/>
        </w:rPr>
      </w:pPr>
      <w:r w:rsidRPr="00B71F35">
        <w:rPr>
          <w:lang w:val="es-CL"/>
        </w:rPr>
        <w:t xml:space="preserve">La </w:t>
      </w:r>
      <w:r>
        <w:rPr>
          <w:lang w:val="es-CL"/>
        </w:rPr>
        <w:t>explicación anterior es válida para todos los cálculos que se incluyen en los cuadros siguientes.</w:t>
      </w:r>
    </w:p>
    <w:p w:rsidR="00951FEC" w:rsidRPr="00472B1B" w:rsidRDefault="00951FEC" w:rsidP="00472B1B">
      <w:pPr>
        <w:rPr>
          <w:rFonts w:cs="Arial"/>
          <w:szCs w:val="22"/>
          <w:lang w:val="es-CL"/>
        </w:rPr>
      </w:pPr>
    </w:p>
    <w:p w:rsidR="00472B1B" w:rsidRDefault="00472B1B" w:rsidP="00472B1B">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r>
        <w:t xml:space="preserve"> Cálculo de Caudales medios Anuales de Máximo Vaciamiento (&lt;0) y Aumento (&gt;0) Histórico del Volumen de Agua Subterránea.</w:t>
      </w:r>
    </w:p>
    <w:p w:rsidR="00472B1B" w:rsidRDefault="00254CE2" w:rsidP="00307448">
      <w:pPr>
        <w:jc w:val="center"/>
        <w:rPr>
          <w:rFonts w:cs="Arial"/>
          <w:szCs w:val="22"/>
          <w:lang w:val="es-CL"/>
        </w:rPr>
      </w:pPr>
      <w:r>
        <w:rPr>
          <w:rFonts w:cs="Arial"/>
          <w:noProof/>
          <w:szCs w:val="22"/>
          <w:lang w:val="es-CL" w:eastAsia="es-CL"/>
        </w:rPr>
        <w:drawing>
          <wp:inline distT="0" distB="0" distL="0" distR="0">
            <wp:extent cx="6230620" cy="723265"/>
            <wp:effectExtent l="0" t="0" r="0" b="635"/>
            <wp:docPr id="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230620" cy="723265"/>
                    </a:xfrm>
                    <a:prstGeom prst="rect">
                      <a:avLst/>
                    </a:prstGeom>
                    <a:noFill/>
                    <a:ln>
                      <a:noFill/>
                    </a:ln>
                  </pic:spPr>
                </pic:pic>
              </a:graphicData>
            </a:graphic>
          </wp:inline>
        </w:drawing>
      </w:r>
    </w:p>
    <w:p w:rsidR="00472B1B" w:rsidRDefault="00472B1B" w:rsidP="00307448"/>
    <w:p w:rsidR="00307448" w:rsidRPr="00307448" w:rsidRDefault="00307448" w:rsidP="00145762">
      <w:pPr>
        <w:numPr>
          <w:ilvl w:val="0"/>
          <w:numId w:val="33"/>
        </w:numPr>
        <w:rPr>
          <w:b/>
        </w:rPr>
      </w:pPr>
      <w:r w:rsidRPr="00307448">
        <w:rPr>
          <w:b/>
        </w:rPr>
        <w:t>Cuenca del Río Cachapoal</w:t>
      </w:r>
    </w:p>
    <w:p w:rsidR="00307448" w:rsidRDefault="00307448" w:rsidP="00307448"/>
    <w:p w:rsidR="00472B1B" w:rsidRDefault="00472B1B" w:rsidP="00B2003F">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15</w:t>
      </w:r>
      <w:r w:rsidR="00951FEC">
        <w:fldChar w:fldCharType="end"/>
      </w:r>
      <w:r w:rsidR="00B2003F">
        <w:t xml:space="preserve"> Acuífero </w:t>
      </w:r>
      <w:r w:rsidR="00307448">
        <w:t>0</w:t>
      </w:r>
      <w:r w:rsidR="00B2003F">
        <w:t>601 Sector Medio Bajo</w:t>
      </w:r>
    </w:p>
    <w:p w:rsidR="00472B1B" w:rsidRDefault="00254CE2" w:rsidP="00B2003F">
      <w:pPr>
        <w:jc w:val="center"/>
        <w:rPr>
          <w:rFonts w:cs="Arial"/>
          <w:szCs w:val="22"/>
          <w:lang w:val="es-CL"/>
        </w:rPr>
      </w:pPr>
      <w:r>
        <w:rPr>
          <w:rFonts w:ascii="Verdana" w:hAnsi="Verdana"/>
          <w:noProof/>
          <w:sz w:val="24"/>
          <w:lang w:val="es-CL" w:eastAsia="es-CL"/>
        </w:rPr>
        <mc:AlternateContent>
          <mc:Choice Requires="wps">
            <w:drawing>
              <wp:anchor distT="0" distB="0" distL="114300" distR="114300" simplePos="0" relativeHeight="251662848" behindDoc="0" locked="0" layoutInCell="1" allowOverlap="1">
                <wp:simplePos x="0" y="0"/>
                <wp:positionH relativeFrom="column">
                  <wp:posOffset>3200400</wp:posOffset>
                </wp:positionH>
                <wp:positionV relativeFrom="paragraph">
                  <wp:posOffset>2011045</wp:posOffset>
                </wp:positionV>
                <wp:extent cx="342900" cy="149225"/>
                <wp:effectExtent l="47625" t="20320" r="19050" b="78105"/>
                <wp:wrapNone/>
                <wp:docPr id="273"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492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 o:spid="_x0000_s1026" type="#_x0000_t32" style="position:absolute;margin-left:252pt;margin-top:158.35pt;width:27pt;height:11.75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" strokecolor="#c00000" strokeweight="2.5pt">
                <v:stroke endarrow="block"/>
              </v:shape>
            </w:pict>
          </mc:Fallback>
        </mc:AlternateContent>
      </w:r>
      <w:r>
        <w:rPr>
          <w:rFonts w:ascii="Verdana" w:hAnsi="Verdana"/>
          <w:noProof/>
          <w:sz w:val="24"/>
          <w:lang w:val="es-CL" w:eastAsia="es-CL"/>
        </w:rPr>
        <mc:AlternateContent>
          <mc:Choice Requires="wps">
            <w:drawing>
              <wp:anchor distT="0" distB="0" distL="114300" distR="114300" simplePos="0" relativeHeight="251663872" behindDoc="0" locked="0" layoutInCell="1" allowOverlap="1">
                <wp:simplePos x="0" y="0"/>
                <wp:positionH relativeFrom="column">
                  <wp:posOffset>2628900</wp:posOffset>
                </wp:positionH>
                <wp:positionV relativeFrom="paragraph">
                  <wp:posOffset>1325245</wp:posOffset>
                </wp:positionV>
                <wp:extent cx="342900" cy="149225"/>
                <wp:effectExtent l="47625" t="20320" r="19050" b="78105"/>
                <wp:wrapNone/>
                <wp:docPr id="272"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492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207pt;margin-top:104.35pt;width:27pt;height:11.7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" strokecolor="#c00000" strokeweight="2.5pt">
                <v:stroke endarrow="block"/>
              </v:shape>
            </w:pict>
          </mc:Fallback>
        </mc:AlternateContent>
      </w:r>
      <w:r>
        <w:rPr>
          <w:rFonts w:ascii="Verdana" w:hAnsi="Verdana"/>
          <w:noProof/>
          <w:sz w:val="24"/>
          <w:lang w:val="es-CL" w:eastAsia="es-CL"/>
        </w:rPr>
        <mc:AlternateContent>
          <mc:Choice Requires="wps">
            <w:drawing>
              <wp:anchor distT="0" distB="0" distL="114300" distR="114300" simplePos="0" relativeHeight="251664896" behindDoc="0" locked="0" layoutInCell="1" allowOverlap="1">
                <wp:simplePos x="0" y="0"/>
                <wp:positionH relativeFrom="column">
                  <wp:posOffset>4114800</wp:posOffset>
                </wp:positionH>
                <wp:positionV relativeFrom="paragraph">
                  <wp:posOffset>1668145</wp:posOffset>
                </wp:positionV>
                <wp:extent cx="342900" cy="149225"/>
                <wp:effectExtent l="47625" t="20320" r="19050" b="78105"/>
                <wp:wrapNone/>
                <wp:docPr id="271"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492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0" o:spid="_x0000_s1026" type="#_x0000_t32" style="position:absolute;margin-left:324pt;margin-top:131.35pt;width:27pt;height:11.7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" strokecolor="#c00000" strokeweight="2.5pt">
                <v:stroke endarrow="block"/>
              </v:shape>
            </w:pict>
          </mc:Fallback>
        </mc:AlternateContent>
      </w:r>
      <w:r>
        <w:rPr>
          <w:rFonts w:ascii="Verdana" w:hAnsi="Verdana"/>
          <w:noProof/>
          <w:sz w:val="24"/>
          <w:lang w:val="es-CL" w:eastAsia="es-CL"/>
        </w:rPr>
        <mc:AlternateContent>
          <mc:Choice Requires="wps">
            <w:drawing>
              <wp:anchor distT="0" distB="0" distL="114300" distR="114300" simplePos="0" relativeHeight="251661824" behindDoc="0" locked="0" layoutInCell="1" allowOverlap="1">
                <wp:simplePos x="0" y="0"/>
                <wp:positionH relativeFrom="column">
                  <wp:posOffset>4114800</wp:posOffset>
                </wp:positionH>
                <wp:positionV relativeFrom="paragraph">
                  <wp:posOffset>296545</wp:posOffset>
                </wp:positionV>
                <wp:extent cx="342900" cy="149225"/>
                <wp:effectExtent l="47625" t="20320" r="19050" b="78105"/>
                <wp:wrapNone/>
                <wp:docPr id="270"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492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 o:spid="_x0000_s1026" type="#_x0000_t32" style="position:absolute;margin-left:324pt;margin-top:23.35pt;width:27pt;height:11.7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" strokecolor="#c00000" strokeweight="2.5pt">
                <v:stroke endarrow="block"/>
              </v:shape>
            </w:pict>
          </mc:Fallback>
        </mc:AlternateContent>
      </w:r>
      <w:r>
        <w:rPr>
          <w:rFonts w:ascii="Verdana" w:hAnsi="Verdana"/>
          <w:noProof/>
          <w:sz w:val="24"/>
          <w:lang w:val="es-CL" w:eastAsia="es-CL"/>
        </w:rPr>
        <w:drawing>
          <wp:inline distT="0" distB="0" distL="0" distR="0">
            <wp:extent cx="4678045" cy="2785745"/>
            <wp:effectExtent l="0" t="0" r="8255" b="0"/>
            <wp:docPr id="2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19">
                      <a:extLst>
                        <a:ext uri="{28A0092B-C50C-407E-A947-70E740481C1C}">
                          <a14:useLocalDpi xmlns:a14="http://schemas.microsoft.com/office/drawing/2010/main" val="0"/>
                        </a:ext>
                      </a:extLst>
                    </a:blip>
                    <a:srcRect l="6879" t="16710" r="21323" b="13718"/>
                    <a:stretch>
                      <a:fillRect/>
                    </a:stretch>
                  </pic:blipFill>
                  <pic:spPr bwMode="auto">
                    <a:xfrm>
                      <a:off x="0" y="0"/>
                      <a:ext cx="4678045" cy="2785745"/>
                    </a:xfrm>
                    <a:prstGeom prst="rect">
                      <a:avLst/>
                    </a:prstGeom>
                    <a:noFill/>
                    <a:ln>
                      <a:noFill/>
                    </a:ln>
                  </pic:spPr>
                </pic:pic>
              </a:graphicData>
            </a:graphic>
          </wp:inline>
        </w:drawing>
      </w:r>
    </w:p>
    <w:p w:rsidR="00472B1B" w:rsidRDefault="00472B1B" w:rsidP="00472B1B">
      <w:pPr>
        <w:rPr>
          <w:rFonts w:cs="Arial"/>
          <w:szCs w:val="22"/>
          <w:lang w:val="es-CL"/>
        </w:rPr>
      </w:pPr>
    </w:p>
    <w:p w:rsidR="00307448" w:rsidRDefault="00307448" w:rsidP="00472B1B">
      <w:pPr>
        <w:rPr>
          <w:rFonts w:cs="Arial"/>
          <w:szCs w:val="22"/>
          <w:lang w:val="es-CL"/>
        </w:rPr>
      </w:pPr>
    </w:p>
    <w:p w:rsidR="00307448" w:rsidRPr="00307448" w:rsidRDefault="00307448" w:rsidP="00307448">
      <w:pPr>
        <w:rPr>
          <w:rFonts w:cs="Arial"/>
          <w:sz w:val="4"/>
          <w:szCs w:val="4"/>
          <w:lang w:val="es-CL"/>
        </w:rPr>
      </w:pPr>
      <w:r>
        <w:rPr>
          <w:rFonts w:cs="Arial"/>
          <w:szCs w:val="22"/>
          <w:lang w:val="es-CL"/>
        </w:rPr>
        <w:br w:type="page"/>
      </w:r>
    </w:p>
    <w:p w:rsidR="0069129A" w:rsidRDefault="0069129A" w:rsidP="0069129A">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16</w:t>
      </w:r>
      <w:r w:rsidR="00951FEC">
        <w:fldChar w:fldCharType="end"/>
      </w:r>
      <w:r>
        <w:t xml:space="preserve"> Limnigrama Nº 31, </w:t>
      </w:r>
      <w:r w:rsidR="00307448">
        <w:t>Álamos</w:t>
      </w:r>
      <w:r>
        <w:t xml:space="preserve"> Quemados</w:t>
      </w:r>
    </w:p>
    <w:p w:rsidR="00472B1B" w:rsidRDefault="00254CE2" w:rsidP="0069129A">
      <w:pPr>
        <w:jc w:val="center"/>
        <w:rPr>
          <w:rFonts w:cs="Arial"/>
          <w:szCs w:val="22"/>
          <w:lang w:val="es-CL"/>
        </w:rPr>
      </w:pPr>
      <w:r>
        <w:rPr>
          <w:rFonts w:ascii="Verdana" w:hAnsi="Verdana"/>
          <w:noProof/>
          <w:sz w:val="24"/>
          <w:lang w:val="es-CL" w:eastAsia="es-CL"/>
        </w:rPr>
        <w:drawing>
          <wp:inline distT="0" distB="0" distL="0" distR="0">
            <wp:extent cx="5231130" cy="3604260"/>
            <wp:effectExtent l="0" t="0" r="7620" b="0"/>
            <wp:docPr id="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31130" cy="3604260"/>
                    </a:xfrm>
                    <a:prstGeom prst="rect">
                      <a:avLst/>
                    </a:prstGeom>
                    <a:noFill/>
                    <a:ln>
                      <a:noFill/>
                    </a:ln>
                  </pic:spPr>
                </pic:pic>
              </a:graphicData>
            </a:graphic>
          </wp:inline>
        </w:drawing>
      </w:r>
    </w:p>
    <w:p w:rsidR="0069129A" w:rsidRDefault="0069129A" w:rsidP="0069129A">
      <w:pPr>
        <w:pStyle w:val="Epgrafe"/>
        <w:keepNext/>
        <w:jc w:val="both"/>
      </w:pPr>
    </w:p>
    <w:p w:rsidR="0069129A" w:rsidRDefault="0069129A" w:rsidP="0069129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r>
        <w:t xml:space="preserve"> Cálculo de Caudales Medio Anuales de Máximo Vaciamiento (&lt;0) y Aumento (&gt;0) Histórico del Volumen de Agua Subterránea</w:t>
      </w:r>
    </w:p>
    <w:p w:rsidR="0069129A" w:rsidRPr="0069129A" w:rsidRDefault="00254CE2" w:rsidP="0069129A">
      <w:pPr>
        <w:jc w:val="center"/>
        <w:rPr>
          <w:rFonts w:cs="Arial"/>
          <w:szCs w:val="22"/>
          <w:lang w:val="es-CL"/>
        </w:rPr>
      </w:pPr>
      <w:r>
        <w:rPr>
          <w:noProof/>
          <w:lang w:val="es-CL" w:eastAsia="es-CL"/>
        </w:rPr>
        <w:drawing>
          <wp:inline distT="0" distB="0" distL="0" distR="0">
            <wp:extent cx="6060440" cy="744220"/>
            <wp:effectExtent l="0" t="0" r="0" b="0"/>
            <wp:docPr id="2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060440" cy="744220"/>
                    </a:xfrm>
                    <a:prstGeom prst="rect">
                      <a:avLst/>
                    </a:prstGeom>
                    <a:noFill/>
                    <a:ln>
                      <a:noFill/>
                    </a:ln>
                  </pic:spPr>
                </pic:pic>
              </a:graphicData>
            </a:graphic>
          </wp:inline>
        </w:drawing>
      </w:r>
    </w:p>
    <w:p w:rsidR="0069129A" w:rsidRDefault="0069129A" w:rsidP="0069129A">
      <w:pPr>
        <w:rPr>
          <w:rFonts w:ascii="Verdana" w:hAnsi="Verdana"/>
          <w:b/>
          <w:sz w:val="24"/>
          <w:lang w:val="es-CL"/>
        </w:rPr>
      </w:pPr>
    </w:p>
    <w:p w:rsidR="00B969EB" w:rsidRDefault="00B969EB" w:rsidP="0069129A">
      <w:pPr>
        <w:rPr>
          <w:rFonts w:ascii="Verdana" w:hAnsi="Verdana"/>
          <w:b/>
          <w:sz w:val="24"/>
          <w:lang w:val="es-CL"/>
        </w:rPr>
      </w:pPr>
    </w:p>
    <w:p w:rsidR="0069129A" w:rsidRDefault="0069129A" w:rsidP="0069129A">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17</w:t>
      </w:r>
      <w:r w:rsidR="00951FEC">
        <w:fldChar w:fldCharType="end"/>
      </w:r>
      <w:r>
        <w:t xml:space="preserve"> Limnigrama </w:t>
      </w:r>
      <w:r w:rsidR="00016BAB">
        <w:t>Nº</w:t>
      </w:r>
      <w:r>
        <w:t xml:space="preserve"> 62, Viña Santa Lucía</w:t>
      </w:r>
    </w:p>
    <w:p w:rsidR="0069129A" w:rsidRDefault="00254CE2" w:rsidP="00276A04">
      <w:pPr>
        <w:jc w:val="center"/>
        <w:rPr>
          <w:noProof/>
          <w:lang w:val="es-CL" w:eastAsia="es-CL"/>
        </w:rPr>
      </w:pPr>
      <w:r>
        <w:rPr>
          <w:noProof/>
          <w:lang w:val="es-CL" w:eastAsia="es-CL"/>
        </w:rPr>
        <w:drawing>
          <wp:inline distT="0" distB="0" distL="0" distR="0">
            <wp:extent cx="5210175" cy="3604260"/>
            <wp:effectExtent l="0" t="0" r="9525" b="0"/>
            <wp:docPr id="2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10175" cy="3604260"/>
                    </a:xfrm>
                    <a:prstGeom prst="rect">
                      <a:avLst/>
                    </a:prstGeom>
                    <a:noFill/>
                    <a:ln>
                      <a:noFill/>
                    </a:ln>
                  </pic:spPr>
                </pic:pic>
              </a:graphicData>
            </a:graphic>
          </wp:inline>
        </w:drawing>
      </w:r>
    </w:p>
    <w:p w:rsidR="00B969EB" w:rsidRDefault="00B969EB" w:rsidP="00276A04">
      <w:pPr>
        <w:jc w:val="center"/>
        <w:rPr>
          <w:noProof/>
          <w:lang w:val="es-CL" w:eastAsia="es-CL"/>
        </w:rPr>
      </w:pPr>
    </w:p>
    <w:p w:rsidR="0069129A" w:rsidRDefault="0069129A" w:rsidP="0069129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r>
        <w:t xml:space="preserve"> Cálculo de Caudales Medio Anuales de Máximo Vaciamiento (&lt;0) y Aumento (&gt;0) Histórico del Volumen de Agua Subterránea</w:t>
      </w:r>
    </w:p>
    <w:p w:rsidR="0069129A" w:rsidRDefault="00254CE2" w:rsidP="0069129A">
      <w:pPr>
        <w:jc w:val="center"/>
        <w:rPr>
          <w:noProof/>
          <w:lang w:val="es-CL" w:eastAsia="es-CL"/>
        </w:rPr>
      </w:pPr>
      <w:r>
        <w:rPr>
          <w:noProof/>
          <w:lang w:val="es-CL" w:eastAsia="es-CL"/>
        </w:rPr>
        <w:drawing>
          <wp:inline distT="0" distB="0" distL="0" distR="0">
            <wp:extent cx="5837555" cy="744220"/>
            <wp:effectExtent l="0" t="0" r="0" b="0"/>
            <wp:docPr id="2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37555" cy="744220"/>
                    </a:xfrm>
                    <a:prstGeom prst="rect">
                      <a:avLst/>
                    </a:prstGeom>
                    <a:noFill/>
                    <a:ln>
                      <a:noFill/>
                    </a:ln>
                  </pic:spPr>
                </pic:pic>
              </a:graphicData>
            </a:graphic>
          </wp:inline>
        </w:drawing>
      </w:r>
    </w:p>
    <w:p w:rsidR="0069129A" w:rsidRDefault="0069129A" w:rsidP="0069129A">
      <w:pPr>
        <w:jc w:val="center"/>
        <w:rPr>
          <w:rFonts w:ascii="Verdana" w:hAnsi="Verdana"/>
          <w:b/>
          <w:sz w:val="24"/>
          <w:lang w:val="es-CL"/>
        </w:rPr>
      </w:pPr>
    </w:p>
    <w:p w:rsidR="00016BAB" w:rsidRDefault="00016BAB" w:rsidP="00016BAB">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18</w:t>
      </w:r>
      <w:r w:rsidR="00951FEC">
        <w:fldChar w:fldCharType="end"/>
      </w:r>
      <w:r>
        <w:t xml:space="preserve"> Limnigrama Nº 63, Pueblo Toquihua</w:t>
      </w:r>
    </w:p>
    <w:p w:rsidR="0069129A" w:rsidRDefault="00254CE2" w:rsidP="0069129A">
      <w:pPr>
        <w:jc w:val="center"/>
        <w:rPr>
          <w:rFonts w:ascii="Verdana" w:hAnsi="Verdana"/>
          <w:b/>
          <w:noProof/>
          <w:sz w:val="24"/>
          <w:lang w:val="es-CL" w:eastAsia="es-CL"/>
        </w:rPr>
      </w:pPr>
      <w:r>
        <w:rPr>
          <w:rFonts w:ascii="Verdana" w:hAnsi="Verdana"/>
          <w:b/>
          <w:noProof/>
          <w:sz w:val="24"/>
          <w:lang w:val="es-CL" w:eastAsia="es-CL"/>
        </w:rPr>
        <w:drawing>
          <wp:inline distT="0" distB="0" distL="0" distR="0">
            <wp:extent cx="5220335" cy="3604260"/>
            <wp:effectExtent l="0" t="0" r="0" b="0"/>
            <wp:docPr id="2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20335" cy="3604260"/>
                    </a:xfrm>
                    <a:prstGeom prst="rect">
                      <a:avLst/>
                    </a:prstGeom>
                    <a:noFill/>
                    <a:ln>
                      <a:noFill/>
                    </a:ln>
                  </pic:spPr>
                </pic:pic>
              </a:graphicData>
            </a:graphic>
          </wp:inline>
        </w:drawing>
      </w:r>
    </w:p>
    <w:p w:rsidR="00307448" w:rsidRDefault="00307448" w:rsidP="00307448">
      <w:pPr>
        <w:rPr>
          <w:lang w:val="es-CL"/>
        </w:rPr>
      </w:pPr>
    </w:p>
    <w:p w:rsidR="00016BAB" w:rsidRDefault="00016BAB" w:rsidP="00016BAB">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5</w:t>
      </w:r>
      <w:r w:rsidR="007F3102">
        <w:fldChar w:fldCharType="end"/>
      </w:r>
      <w:r>
        <w:t xml:space="preserve"> Cálculo de Caudales Medio Anuales de Máximo Vaciamiento (&lt;0) y Aumento (&gt;0) Histórico del Volumen de Agua Subterránea</w:t>
      </w:r>
    </w:p>
    <w:p w:rsidR="00016BAB" w:rsidRDefault="00254CE2" w:rsidP="00016BAB">
      <w:pPr>
        <w:jc w:val="center"/>
        <w:rPr>
          <w:rFonts w:ascii="Verdana" w:hAnsi="Verdana"/>
          <w:b/>
          <w:sz w:val="24"/>
          <w:lang w:val="es-CL"/>
        </w:rPr>
      </w:pPr>
      <w:r>
        <w:rPr>
          <w:noProof/>
          <w:lang w:val="es-CL" w:eastAsia="es-CL"/>
        </w:rPr>
        <w:drawing>
          <wp:inline distT="0" distB="0" distL="0" distR="0">
            <wp:extent cx="5720080" cy="755015"/>
            <wp:effectExtent l="0" t="0" r="0" b="6985"/>
            <wp:docPr id="2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20080" cy="755015"/>
                    </a:xfrm>
                    <a:prstGeom prst="rect">
                      <a:avLst/>
                    </a:prstGeom>
                    <a:noFill/>
                    <a:ln>
                      <a:noFill/>
                    </a:ln>
                  </pic:spPr>
                </pic:pic>
              </a:graphicData>
            </a:graphic>
          </wp:inline>
        </w:drawing>
      </w:r>
    </w:p>
    <w:p w:rsidR="00016BAB" w:rsidRDefault="00016BAB" w:rsidP="00016BAB">
      <w:pPr>
        <w:jc w:val="center"/>
        <w:rPr>
          <w:rFonts w:ascii="Verdana" w:hAnsi="Verdana"/>
          <w:b/>
          <w:sz w:val="24"/>
          <w:lang w:val="es-CL"/>
        </w:rPr>
      </w:pPr>
    </w:p>
    <w:p w:rsidR="00016BAB" w:rsidRDefault="00016BAB" w:rsidP="00016BAB">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19</w:t>
      </w:r>
      <w:r w:rsidR="00951FEC">
        <w:fldChar w:fldCharType="end"/>
      </w:r>
      <w:r>
        <w:t xml:space="preserve"> Limnigrama Nº 81, Pueblo Rastrojos</w:t>
      </w:r>
    </w:p>
    <w:p w:rsidR="00016BAB" w:rsidRDefault="00254CE2" w:rsidP="00016BAB">
      <w:pPr>
        <w:jc w:val="center"/>
        <w:rPr>
          <w:rFonts w:ascii="Verdana" w:hAnsi="Verdana"/>
          <w:b/>
          <w:sz w:val="24"/>
          <w:lang w:val="es-CL"/>
        </w:rPr>
      </w:pPr>
      <w:r>
        <w:rPr>
          <w:rFonts w:ascii="Verdana" w:hAnsi="Verdana"/>
          <w:b/>
          <w:noProof/>
          <w:sz w:val="24"/>
          <w:lang w:val="es-CL" w:eastAsia="es-CL"/>
        </w:rPr>
        <w:drawing>
          <wp:inline distT="0" distB="0" distL="0" distR="0">
            <wp:extent cx="5210175" cy="3604260"/>
            <wp:effectExtent l="0" t="0" r="9525" b="0"/>
            <wp:docPr id="2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10175" cy="3604260"/>
                    </a:xfrm>
                    <a:prstGeom prst="rect">
                      <a:avLst/>
                    </a:prstGeom>
                    <a:noFill/>
                    <a:ln>
                      <a:noFill/>
                    </a:ln>
                  </pic:spPr>
                </pic:pic>
              </a:graphicData>
            </a:graphic>
          </wp:inline>
        </w:drawing>
      </w:r>
    </w:p>
    <w:p w:rsidR="00016BAB" w:rsidRDefault="00016BAB" w:rsidP="00307448">
      <w:pPr>
        <w:rPr>
          <w:lang w:val="es-CL"/>
        </w:rPr>
      </w:pPr>
    </w:p>
    <w:p w:rsidR="00016BAB" w:rsidRDefault="00016BAB" w:rsidP="00016BAB">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r>
        <w:t xml:space="preserve"> Cálculo de Caudales Medio Anuales de Máximo Vaciamiento (&lt;0) y Aumento (&gt;0) Histórico del Volumen de Agua Subterránea</w:t>
      </w:r>
    </w:p>
    <w:p w:rsidR="00016BAB" w:rsidRDefault="00254CE2" w:rsidP="00016BAB">
      <w:pPr>
        <w:jc w:val="center"/>
        <w:rPr>
          <w:rFonts w:ascii="Verdana" w:hAnsi="Verdana"/>
          <w:b/>
          <w:sz w:val="24"/>
          <w:lang w:val="es-CL"/>
        </w:rPr>
      </w:pPr>
      <w:r>
        <w:rPr>
          <w:noProof/>
          <w:lang w:val="es-CL" w:eastAsia="es-CL"/>
        </w:rPr>
        <w:drawing>
          <wp:inline distT="0" distB="0" distL="0" distR="0">
            <wp:extent cx="5837555" cy="712470"/>
            <wp:effectExtent l="0" t="0" r="0" b="0"/>
            <wp:docPr id="24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37555" cy="712470"/>
                    </a:xfrm>
                    <a:prstGeom prst="rect">
                      <a:avLst/>
                    </a:prstGeom>
                    <a:noFill/>
                    <a:ln>
                      <a:noFill/>
                    </a:ln>
                  </pic:spPr>
                </pic:pic>
              </a:graphicData>
            </a:graphic>
          </wp:inline>
        </w:drawing>
      </w:r>
    </w:p>
    <w:p w:rsidR="000E4DA1" w:rsidRDefault="000E4DA1"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B969EB" w:rsidRDefault="00B969EB" w:rsidP="00307448">
      <w:pPr>
        <w:rPr>
          <w:lang w:val="es-CL" w:eastAsia="es-CL"/>
        </w:rPr>
      </w:pPr>
    </w:p>
    <w:p w:rsidR="00016BAB" w:rsidRPr="00016BAB" w:rsidRDefault="00016BAB" w:rsidP="00145762">
      <w:pPr>
        <w:pStyle w:val="ListParagraph"/>
        <w:numPr>
          <w:ilvl w:val="0"/>
          <w:numId w:val="28"/>
        </w:numPr>
        <w:spacing w:after="0"/>
        <w:jc w:val="both"/>
        <w:rPr>
          <w:rFonts w:ascii="Arial" w:hAnsi="Arial" w:cs="Arial"/>
          <w:b/>
        </w:rPr>
      </w:pPr>
      <w:r w:rsidRPr="00016BAB">
        <w:rPr>
          <w:rFonts w:ascii="Arial" w:hAnsi="Arial" w:cs="Arial"/>
          <w:b/>
        </w:rPr>
        <w:lastRenderedPageBreak/>
        <w:t>Cuenca del río Tinguiririca</w:t>
      </w:r>
    </w:p>
    <w:p w:rsidR="00016BAB" w:rsidRDefault="00016BAB" w:rsidP="00307448"/>
    <w:p w:rsidR="00016BAB" w:rsidRDefault="00016BAB" w:rsidP="00016BAB">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20</w:t>
      </w:r>
      <w:r w:rsidR="00951FEC">
        <w:fldChar w:fldCharType="end"/>
      </w:r>
      <w:r>
        <w:t xml:space="preserve"> Acuífero </w:t>
      </w:r>
      <w:r w:rsidR="00307448">
        <w:t>0</w:t>
      </w:r>
      <w:r>
        <w:t>603</w:t>
      </w:r>
    </w:p>
    <w:p w:rsidR="00016BAB" w:rsidRDefault="00254CE2" w:rsidP="0070466E">
      <w:pPr>
        <w:jc w:val="center"/>
        <w:rPr>
          <w:rFonts w:ascii="Verdana" w:hAnsi="Verdana"/>
          <w:sz w:val="24"/>
          <w:lang w:val="es-CL"/>
        </w:rPr>
      </w:pPr>
      <w:r>
        <w:rPr>
          <w:noProof/>
          <w:lang w:val="es-CL" w:eastAsia="es-CL"/>
        </w:rPr>
        <mc:AlternateContent>
          <mc:Choice Requires="wps">
            <w:drawing>
              <wp:anchor distT="0" distB="0" distL="114300" distR="114300" simplePos="0" relativeHeight="251653632" behindDoc="0" locked="0" layoutInCell="1" allowOverlap="1">
                <wp:simplePos x="0" y="0"/>
                <wp:positionH relativeFrom="column">
                  <wp:posOffset>3481705</wp:posOffset>
                </wp:positionH>
                <wp:positionV relativeFrom="paragraph">
                  <wp:posOffset>684530</wp:posOffset>
                </wp:positionV>
                <wp:extent cx="114300" cy="685800"/>
                <wp:effectExtent l="24130" t="17780" r="80645" b="39370"/>
                <wp:wrapNone/>
                <wp:docPr id="269"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68580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margin-left:274.15pt;margin-top:53.9pt;width:9pt;height: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" strokecolor="#c00000" strokeweight="2.5pt">
                <v:stroke endarrow="block"/>
              </v:shape>
            </w:pict>
          </mc:Fallback>
        </mc:AlternateContent>
      </w:r>
      <w:r>
        <w:rPr>
          <w:noProof/>
          <w:lang w:val="es-CL" w:eastAsia="es-CL"/>
        </w:rPr>
        <mc:AlternateContent>
          <mc:Choice Requires="wps">
            <w:drawing>
              <wp:anchor distT="0" distB="0" distL="114300" distR="114300" simplePos="0" relativeHeight="251654656" behindDoc="0" locked="0" layoutInCell="1" allowOverlap="1">
                <wp:simplePos x="0" y="0"/>
                <wp:positionH relativeFrom="column">
                  <wp:posOffset>2514600</wp:posOffset>
                </wp:positionH>
                <wp:positionV relativeFrom="paragraph">
                  <wp:posOffset>855980</wp:posOffset>
                </wp:positionV>
                <wp:extent cx="260985" cy="685800"/>
                <wp:effectExtent l="76200" t="17780" r="24765" b="48895"/>
                <wp:wrapNone/>
                <wp:docPr id="26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985" cy="68580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198pt;margin-top:67.4pt;width:20.55pt;height:54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" strokecolor="#c00000" strokeweight="2.5pt">
                <v:stroke endarrow="block"/>
              </v:shape>
            </w:pict>
          </mc:Fallback>
        </mc:AlternateContent>
      </w:r>
      <w:r>
        <w:rPr>
          <w:rFonts w:ascii="Verdana" w:hAnsi="Verdana"/>
          <w:noProof/>
          <w:sz w:val="24"/>
          <w:lang w:val="es-CL" w:eastAsia="es-CL"/>
        </w:rPr>
        <w:drawing>
          <wp:inline distT="0" distB="0" distL="0" distR="0">
            <wp:extent cx="4018915" cy="2700655"/>
            <wp:effectExtent l="0" t="0" r="635" b="4445"/>
            <wp:docPr id="2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8">
                      <a:extLst>
                        <a:ext uri="{28A0092B-C50C-407E-A947-70E740481C1C}">
                          <a14:useLocalDpi xmlns:a14="http://schemas.microsoft.com/office/drawing/2010/main" val="0"/>
                        </a:ext>
                      </a:extLst>
                    </a:blip>
                    <a:srcRect l="15459" t="16209" r="16614" b="13774"/>
                    <a:stretch>
                      <a:fillRect/>
                    </a:stretch>
                  </pic:blipFill>
                  <pic:spPr bwMode="auto">
                    <a:xfrm>
                      <a:off x="0" y="0"/>
                      <a:ext cx="4018915" cy="2700655"/>
                    </a:xfrm>
                    <a:prstGeom prst="rect">
                      <a:avLst/>
                    </a:prstGeom>
                    <a:noFill/>
                    <a:ln>
                      <a:noFill/>
                    </a:ln>
                  </pic:spPr>
                </pic:pic>
              </a:graphicData>
            </a:graphic>
          </wp:inline>
        </w:drawing>
      </w:r>
    </w:p>
    <w:p w:rsidR="00016BAB" w:rsidRDefault="00016BAB" w:rsidP="00307448">
      <w:pPr>
        <w:rPr>
          <w:lang w:val="es-CL"/>
        </w:rPr>
      </w:pPr>
    </w:p>
    <w:p w:rsidR="0070466E" w:rsidRDefault="0070466E" w:rsidP="0070466E">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21</w:t>
      </w:r>
      <w:r w:rsidR="00951FEC">
        <w:fldChar w:fldCharType="end"/>
      </w:r>
      <w:r>
        <w:t xml:space="preserve"> Limnigrama Nº 100, Asentamiento </w:t>
      </w:r>
      <w:smartTag w:uri="urn:schemas-microsoft-com:office:smarttags" w:element="PersonName">
        <w:smartTagPr>
          <w:attr w:name="ProductID" w:val="La Tuna"/>
        </w:smartTagPr>
        <w:r>
          <w:t>La Tuna</w:t>
        </w:r>
      </w:smartTag>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4348480" cy="2753995"/>
            <wp:effectExtent l="0" t="0" r="0" b="8255"/>
            <wp:docPr id="2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48480" cy="2753995"/>
                    </a:xfrm>
                    <a:prstGeom prst="rect">
                      <a:avLst/>
                    </a:prstGeom>
                    <a:noFill/>
                    <a:ln>
                      <a:noFill/>
                    </a:ln>
                  </pic:spPr>
                </pic:pic>
              </a:graphicData>
            </a:graphic>
          </wp:inline>
        </w:drawing>
      </w:r>
    </w:p>
    <w:p w:rsidR="0070466E" w:rsidRDefault="0070466E" w:rsidP="00307448">
      <w:pPr>
        <w:rPr>
          <w:lang w:val="es-CL"/>
        </w:rPr>
      </w:pPr>
    </w:p>
    <w:p w:rsidR="0070466E" w:rsidRDefault="0070466E" w:rsidP="0070466E">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r>
        <w:t xml:space="preserve"> Cálculo de Caudales Medio Anuales de Máximo Vaciamiento (&lt;0) y Aumento (&gt;0) Histórico del Volumen de Agua Subterránea</w:t>
      </w:r>
    </w:p>
    <w:p w:rsidR="0070466E" w:rsidRDefault="00254CE2" w:rsidP="000E4DA1">
      <w:pPr>
        <w:tabs>
          <w:tab w:val="left" w:pos="5655"/>
        </w:tabs>
        <w:rPr>
          <w:noProof/>
          <w:lang w:val="es-CL" w:eastAsia="es-CL"/>
        </w:rPr>
      </w:pPr>
      <w:r>
        <w:rPr>
          <w:noProof/>
          <w:lang w:val="es-CL" w:eastAsia="es-CL"/>
        </w:rPr>
        <w:drawing>
          <wp:inline distT="0" distB="0" distL="0" distR="0">
            <wp:extent cx="6198870" cy="723265"/>
            <wp:effectExtent l="0" t="0" r="0" b="635"/>
            <wp:docPr id="2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98870" cy="723265"/>
                    </a:xfrm>
                    <a:prstGeom prst="rect">
                      <a:avLst/>
                    </a:prstGeom>
                    <a:noFill/>
                    <a:ln>
                      <a:noFill/>
                    </a:ln>
                  </pic:spPr>
                </pic:pic>
              </a:graphicData>
            </a:graphic>
          </wp:inline>
        </w:drawing>
      </w:r>
    </w:p>
    <w:p w:rsidR="00307448" w:rsidRDefault="00307448" w:rsidP="00307448">
      <w:pPr>
        <w:rPr>
          <w:lang w:val="es-CL"/>
        </w:rPr>
      </w:pPr>
    </w:p>
    <w:p w:rsidR="0070466E" w:rsidRDefault="0070466E" w:rsidP="0070466E">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22</w:t>
      </w:r>
      <w:r w:rsidR="00951FEC">
        <w:fldChar w:fldCharType="end"/>
      </w:r>
      <w:r>
        <w:t xml:space="preserve"> Limnigrama Nº 119, Pueblo Cunaco</w:t>
      </w:r>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5826760" cy="3604260"/>
            <wp:effectExtent l="0" t="0" r="2540" b="0"/>
            <wp:docPr id="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26760" cy="3604260"/>
                    </a:xfrm>
                    <a:prstGeom prst="rect">
                      <a:avLst/>
                    </a:prstGeom>
                    <a:noFill/>
                    <a:ln>
                      <a:noFill/>
                    </a:ln>
                  </pic:spPr>
                </pic:pic>
              </a:graphicData>
            </a:graphic>
          </wp:inline>
        </w:drawing>
      </w:r>
    </w:p>
    <w:p w:rsidR="0070466E" w:rsidRDefault="0070466E" w:rsidP="00307448">
      <w:pPr>
        <w:rPr>
          <w:lang w:val="es-CL"/>
        </w:rPr>
      </w:pPr>
    </w:p>
    <w:p w:rsidR="0070466E" w:rsidRDefault="0070466E" w:rsidP="0070466E">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r>
        <w:t xml:space="preserve"> Cálculo de Caudales Medio Anuales de Máximo Vaciamiento (&lt;0) y Aumento (&gt;0) Histórico del Volumen de Agua Subterránea</w:t>
      </w:r>
    </w:p>
    <w:p w:rsidR="0070466E" w:rsidRDefault="00254CE2" w:rsidP="0070466E">
      <w:pPr>
        <w:rPr>
          <w:rFonts w:ascii="Verdana" w:hAnsi="Verdana"/>
          <w:b/>
          <w:sz w:val="24"/>
          <w:lang w:val="es-CL"/>
        </w:rPr>
      </w:pPr>
      <w:r>
        <w:rPr>
          <w:rFonts w:ascii="Verdana" w:hAnsi="Verdana"/>
          <w:b/>
          <w:noProof/>
          <w:sz w:val="24"/>
          <w:lang w:val="es-CL" w:eastAsia="es-CL"/>
        </w:rPr>
        <w:drawing>
          <wp:inline distT="0" distB="0" distL="0" distR="0">
            <wp:extent cx="5922645" cy="680720"/>
            <wp:effectExtent l="0" t="0" r="1905" b="5080"/>
            <wp:docPr id="2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22645" cy="680720"/>
                    </a:xfrm>
                    <a:prstGeom prst="rect">
                      <a:avLst/>
                    </a:prstGeom>
                    <a:noFill/>
                    <a:ln>
                      <a:noFill/>
                    </a:ln>
                  </pic:spPr>
                </pic:pic>
              </a:graphicData>
            </a:graphic>
          </wp:inline>
        </w:drawing>
      </w:r>
    </w:p>
    <w:p w:rsidR="0070466E" w:rsidRDefault="0070466E" w:rsidP="00427B1E">
      <w:pPr>
        <w:rPr>
          <w:lang w:val="es-CL"/>
        </w:rPr>
      </w:pPr>
    </w:p>
    <w:p w:rsidR="00B969EB" w:rsidRDefault="00B969EB" w:rsidP="00427B1E">
      <w:pPr>
        <w:rPr>
          <w:lang w:val="es-CL"/>
        </w:rPr>
      </w:pPr>
    </w:p>
    <w:p w:rsidR="00B969EB" w:rsidRDefault="00B969EB" w:rsidP="00427B1E">
      <w:pPr>
        <w:rPr>
          <w:lang w:val="es-CL"/>
        </w:rPr>
      </w:pPr>
    </w:p>
    <w:p w:rsidR="00B969EB" w:rsidRDefault="00B969EB" w:rsidP="00427B1E">
      <w:pPr>
        <w:rPr>
          <w:lang w:val="es-CL"/>
        </w:rPr>
      </w:pPr>
    </w:p>
    <w:p w:rsidR="00B969EB" w:rsidRDefault="00B969EB" w:rsidP="00427B1E">
      <w:pPr>
        <w:rPr>
          <w:lang w:val="es-CL"/>
        </w:rPr>
      </w:pPr>
    </w:p>
    <w:p w:rsidR="00B91510" w:rsidRDefault="00B91510" w:rsidP="00B91510">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23</w:t>
      </w:r>
      <w:r w:rsidR="00951FEC">
        <w:fldChar w:fldCharType="end"/>
      </w:r>
      <w:r>
        <w:t xml:space="preserve"> Acuífero </w:t>
      </w:r>
      <w:r w:rsidR="00307448">
        <w:t>0</w:t>
      </w:r>
      <w:r>
        <w:t>605</w:t>
      </w:r>
    </w:p>
    <w:p w:rsidR="0070466E" w:rsidRDefault="00254CE2" w:rsidP="0070466E">
      <w:pPr>
        <w:rPr>
          <w:rFonts w:ascii="Verdana" w:hAnsi="Verdana"/>
          <w:b/>
          <w:sz w:val="24"/>
          <w:lang w:val="es-CL"/>
        </w:rPr>
      </w:pPr>
      <w:r>
        <w:rPr>
          <w:noProof/>
          <w:lang w:val="es-CL" w:eastAsia="es-CL"/>
        </w:rPr>
        <mc:AlternateContent>
          <mc:Choice Requires="wps">
            <w:drawing>
              <wp:anchor distT="0" distB="0" distL="114300" distR="114300" simplePos="0" relativeHeight="251655680" behindDoc="0" locked="0" layoutInCell="1" allowOverlap="1">
                <wp:simplePos x="0" y="0"/>
                <wp:positionH relativeFrom="column">
                  <wp:posOffset>2743200</wp:posOffset>
                </wp:positionH>
                <wp:positionV relativeFrom="paragraph">
                  <wp:posOffset>99060</wp:posOffset>
                </wp:positionV>
                <wp:extent cx="60960" cy="724535"/>
                <wp:effectExtent l="19050" t="22860" r="81915" b="33655"/>
                <wp:wrapNone/>
                <wp:docPr id="267"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 cy="72453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3in;margin-top:7.8pt;width:4.8pt;height:57.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" strokecolor="#c00000" strokeweight="2.5pt">
                <v:stroke endarrow="block"/>
              </v:shape>
            </w:pict>
          </mc:Fallback>
        </mc:AlternateContent>
      </w:r>
      <w:r>
        <w:rPr>
          <w:noProof/>
          <w:lang w:val="es-CL" w:eastAsia="es-CL"/>
        </w:rPr>
        <mc:AlternateContent>
          <mc:Choice Requires="wps">
            <w:drawing>
              <wp:anchor distT="0" distB="0" distL="114300" distR="114300" simplePos="0" relativeHeight="251656704" behindDoc="0" locked="0" layoutInCell="1" allowOverlap="1">
                <wp:simplePos x="0" y="0"/>
                <wp:positionH relativeFrom="column">
                  <wp:posOffset>3086100</wp:posOffset>
                </wp:positionH>
                <wp:positionV relativeFrom="paragraph">
                  <wp:posOffset>1740535</wp:posOffset>
                </wp:positionV>
                <wp:extent cx="129540" cy="758825"/>
                <wp:effectExtent l="76200" t="35560" r="22860" b="24765"/>
                <wp:wrapNone/>
                <wp:docPr id="266"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9540" cy="758825"/>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2" style="position:absolute;margin-left:243pt;margin-top:137.05pt;width:10.2pt;height:59.75pt;flip:x 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" strokecolor="#c00000" strokeweight="2.5pt">
                <v:stroke endarrow="block"/>
              </v:shape>
            </w:pict>
          </mc:Fallback>
        </mc:AlternateContent>
      </w:r>
      <w:r>
        <w:rPr>
          <w:rFonts w:ascii="Verdana" w:hAnsi="Verdana"/>
          <w:b/>
          <w:noProof/>
          <w:sz w:val="24"/>
          <w:lang w:val="es-CL" w:eastAsia="es-CL"/>
        </w:rPr>
        <w:drawing>
          <wp:inline distT="0" distB="0" distL="0" distR="0">
            <wp:extent cx="5826760" cy="3030220"/>
            <wp:effectExtent l="0" t="0" r="2540" b="0"/>
            <wp:docPr id="2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33">
                      <a:extLst>
                        <a:ext uri="{28A0092B-C50C-407E-A947-70E740481C1C}">
                          <a14:useLocalDpi xmlns:a14="http://schemas.microsoft.com/office/drawing/2010/main" val="0"/>
                        </a:ext>
                      </a:extLst>
                    </a:blip>
                    <a:srcRect l="5795" t="29733" r="14911" b="8333"/>
                    <a:stretch>
                      <a:fillRect/>
                    </a:stretch>
                  </pic:blipFill>
                  <pic:spPr bwMode="auto">
                    <a:xfrm>
                      <a:off x="0" y="0"/>
                      <a:ext cx="5826760" cy="3030220"/>
                    </a:xfrm>
                    <a:prstGeom prst="rect">
                      <a:avLst/>
                    </a:prstGeom>
                    <a:noFill/>
                    <a:ln>
                      <a:noFill/>
                    </a:ln>
                  </pic:spPr>
                </pic:pic>
              </a:graphicData>
            </a:graphic>
          </wp:inline>
        </w:drawing>
      </w:r>
    </w:p>
    <w:p w:rsidR="0070466E" w:rsidRDefault="0070466E" w:rsidP="00B969EB">
      <w:pPr>
        <w:rPr>
          <w:lang w:val="es-CL"/>
        </w:rPr>
      </w:pPr>
    </w:p>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24</w:t>
      </w:r>
      <w:r w:rsidR="00951FEC">
        <w:fldChar w:fldCharType="end"/>
      </w:r>
      <w:r>
        <w:t xml:space="preserve"> Limnigrama Nº </w:t>
      </w:r>
      <w:smartTag w:uri="urn:schemas-microsoft-com:office:smarttags" w:element="metricconverter">
        <w:smartTagPr>
          <w:attr w:name="ProductID" w:val="160, A"/>
        </w:smartTagPr>
        <w:r>
          <w:t>160, A</w:t>
        </w:r>
      </w:smartTag>
      <w:r>
        <w:t xml:space="preserve"> P Población</w:t>
      </w:r>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4880610" cy="3030220"/>
            <wp:effectExtent l="0" t="0" r="0" b="0"/>
            <wp:docPr id="25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80610" cy="3030220"/>
                    </a:xfrm>
                    <a:prstGeom prst="rect">
                      <a:avLst/>
                    </a:prstGeom>
                    <a:noFill/>
                    <a:ln>
                      <a:noFill/>
                    </a:ln>
                  </pic:spPr>
                </pic:pic>
              </a:graphicData>
            </a:graphic>
          </wp:inline>
        </w:drawing>
      </w:r>
    </w:p>
    <w:p w:rsidR="0070466E" w:rsidRDefault="0070466E" w:rsidP="0070466E">
      <w:pPr>
        <w:jc w:val="center"/>
        <w:rPr>
          <w:rFonts w:ascii="Verdana" w:hAnsi="Verdana"/>
          <w:b/>
          <w:sz w:val="24"/>
          <w:lang w:val="es-CL"/>
        </w:rPr>
      </w:pPr>
    </w:p>
    <w:p w:rsidR="00B91510" w:rsidRDefault="00B91510" w:rsidP="00B91510">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r>
        <w:t xml:space="preserve"> Cálculo de Caudales Medio Anuales de Máximo Vaciamiento (&lt;0) y Aumento (&gt;0) Histórico del Volumen de Agua Subterránea</w:t>
      </w:r>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6017895" cy="701675"/>
            <wp:effectExtent l="0" t="0" r="1905" b="3175"/>
            <wp:docPr id="2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17895" cy="701675"/>
                    </a:xfrm>
                    <a:prstGeom prst="rect">
                      <a:avLst/>
                    </a:prstGeom>
                    <a:noFill/>
                    <a:ln>
                      <a:noFill/>
                    </a:ln>
                  </pic:spPr>
                </pic:pic>
              </a:graphicData>
            </a:graphic>
          </wp:inline>
        </w:drawing>
      </w:r>
    </w:p>
    <w:p w:rsidR="0070466E" w:rsidRDefault="0070466E" w:rsidP="00427B1E">
      <w:pPr>
        <w:rPr>
          <w:lang w:val="es-CL"/>
        </w:rPr>
      </w:pPr>
    </w:p>
    <w:p w:rsidR="00B91510" w:rsidRDefault="00B91510" w:rsidP="00B91510">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25</w:t>
      </w:r>
      <w:r w:rsidR="00951FEC">
        <w:fldChar w:fldCharType="end"/>
      </w:r>
      <w:r>
        <w:t xml:space="preserve"> Limnigrama Nº 162, Criadero de Aves</w:t>
      </w:r>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5518150" cy="3413125"/>
            <wp:effectExtent l="0" t="0" r="6350" b="0"/>
            <wp:docPr id="25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18150" cy="3413125"/>
                    </a:xfrm>
                    <a:prstGeom prst="rect">
                      <a:avLst/>
                    </a:prstGeom>
                    <a:noFill/>
                    <a:ln>
                      <a:noFill/>
                    </a:ln>
                  </pic:spPr>
                </pic:pic>
              </a:graphicData>
            </a:graphic>
          </wp:inline>
        </w:drawing>
      </w:r>
    </w:p>
    <w:p w:rsidR="0070466E" w:rsidRDefault="0070466E" w:rsidP="0070466E">
      <w:pPr>
        <w:jc w:val="center"/>
        <w:rPr>
          <w:rFonts w:ascii="Verdana" w:hAnsi="Verdana"/>
          <w:b/>
          <w:sz w:val="24"/>
          <w:lang w:val="es-CL"/>
        </w:rPr>
      </w:pPr>
    </w:p>
    <w:p w:rsidR="00B91510" w:rsidRDefault="00B91510" w:rsidP="00B91510">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r>
        <w:t xml:space="preserve"> Cálculo de Caudales Medio Anuales de Máximo Vaciamiento (&lt;0) y Aumento (&gt;0) Histórico del Volumen de Agua Subterránea</w:t>
      </w:r>
    </w:p>
    <w:p w:rsidR="0070466E" w:rsidRDefault="00254CE2" w:rsidP="0070466E">
      <w:pPr>
        <w:jc w:val="center"/>
        <w:rPr>
          <w:rFonts w:ascii="Verdana" w:hAnsi="Verdana"/>
          <w:b/>
          <w:sz w:val="24"/>
          <w:lang w:val="es-CL"/>
        </w:rPr>
      </w:pPr>
      <w:r>
        <w:rPr>
          <w:rFonts w:ascii="Verdana" w:hAnsi="Verdana"/>
          <w:b/>
          <w:noProof/>
          <w:sz w:val="24"/>
          <w:lang w:val="es-CL" w:eastAsia="es-CL"/>
        </w:rPr>
        <w:drawing>
          <wp:inline distT="0" distB="0" distL="0" distR="0">
            <wp:extent cx="6167120" cy="723265"/>
            <wp:effectExtent l="0" t="0" r="5080" b="635"/>
            <wp:docPr id="2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67120" cy="723265"/>
                    </a:xfrm>
                    <a:prstGeom prst="rect">
                      <a:avLst/>
                    </a:prstGeom>
                    <a:noFill/>
                    <a:ln>
                      <a:noFill/>
                    </a:ln>
                  </pic:spPr>
                </pic:pic>
              </a:graphicData>
            </a:graphic>
          </wp:inline>
        </w:drawing>
      </w:r>
    </w:p>
    <w:p w:rsidR="0070466E" w:rsidRPr="004A026F" w:rsidRDefault="0070466E" w:rsidP="0070466E">
      <w:pPr>
        <w:jc w:val="center"/>
        <w:rPr>
          <w:rFonts w:ascii="Verdana" w:hAnsi="Verdana"/>
          <w:sz w:val="24"/>
          <w:lang w:val="es-CL"/>
        </w:rPr>
      </w:pPr>
    </w:p>
    <w:p w:rsidR="0070466E" w:rsidRPr="00B91510" w:rsidRDefault="0070466E" w:rsidP="0070466E">
      <w:pPr>
        <w:rPr>
          <w:rFonts w:cs="Arial"/>
          <w:szCs w:val="22"/>
          <w:lang w:val="es-CL"/>
        </w:rPr>
      </w:pPr>
      <w:r w:rsidRPr="00B91510">
        <w:rPr>
          <w:rFonts w:cs="Arial"/>
          <w:szCs w:val="22"/>
          <w:lang w:val="es-CL"/>
        </w:rPr>
        <w:t>En los acuíferos de las cuencas que a continuación se presentan, no se calcularon caudales asociados a descensos o ascensos históricos del nivel de agua subterránea, debido a que no se contó con modelos hidrogeológicos que permitieran calcular volúmenes con una exactitud razonable.</w:t>
      </w:r>
    </w:p>
    <w:p w:rsidR="0070466E" w:rsidRPr="00B91510" w:rsidRDefault="0070466E" w:rsidP="0070466E">
      <w:pPr>
        <w:rPr>
          <w:rFonts w:cs="Arial"/>
          <w:szCs w:val="22"/>
          <w:lang w:val="es-CL"/>
        </w:rPr>
      </w:pPr>
    </w:p>
    <w:p w:rsidR="0070466E" w:rsidRDefault="0070466E" w:rsidP="0070466E">
      <w:pPr>
        <w:rPr>
          <w:rFonts w:cs="Arial"/>
          <w:szCs w:val="22"/>
          <w:lang w:val="es-CL"/>
        </w:rPr>
      </w:pPr>
      <w:r w:rsidRPr="00B91510">
        <w:rPr>
          <w:rFonts w:cs="Arial"/>
          <w:szCs w:val="22"/>
          <w:lang w:val="es-CL"/>
        </w:rPr>
        <w:t>No obstante lo anterior, se presentan  a continuación, para cada uno de los acuíferos  asociados, limnigramas de niveles de agua subterránea históricos.</w:t>
      </w:r>
    </w:p>
    <w:p w:rsidR="0070466E" w:rsidRDefault="0070466E" w:rsidP="0070466E">
      <w:pPr>
        <w:rPr>
          <w:rFonts w:cs="Arial"/>
          <w:szCs w:val="22"/>
          <w:lang w:val="es-CL"/>
        </w:rPr>
      </w:pPr>
    </w:p>
    <w:p w:rsidR="006D0A7F" w:rsidRDefault="006D0A7F" w:rsidP="0070466E">
      <w:pPr>
        <w:rPr>
          <w:rFonts w:cs="Arial"/>
          <w:szCs w:val="22"/>
          <w:lang w:val="es-CL"/>
        </w:rPr>
      </w:pPr>
    </w:p>
    <w:p w:rsidR="006D0A7F" w:rsidRDefault="006D0A7F" w:rsidP="0070466E">
      <w:pPr>
        <w:rPr>
          <w:rFonts w:cs="Arial"/>
          <w:szCs w:val="22"/>
          <w:lang w:val="es-CL"/>
        </w:rPr>
      </w:pPr>
    </w:p>
    <w:p w:rsidR="006D0A7F" w:rsidRDefault="006D0A7F" w:rsidP="0070466E">
      <w:pPr>
        <w:rPr>
          <w:rFonts w:cs="Arial"/>
          <w:szCs w:val="22"/>
          <w:lang w:val="es-CL"/>
        </w:rPr>
      </w:pPr>
    </w:p>
    <w:p w:rsidR="006D0A7F" w:rsidRPr="006D0A7F" w:rsidRDefault="006D0A7F" w:rsidP="0070466E">
      <w:pPr>
        <w:rPr>
          <w:rFonts w:cs="Arial"/>
          <w:sz w:val="4"/>
          <w:szCs w:val="4"/>
          <w:lang w:val="es-CL"/>
        </w:rPr>
      </w:pPr>
      <w:r>
        <w:rPr>
          <w:rFonts w:cs="Arial"/>
          <w:szCs w:val="22"/>
          <w:lang w:val="es-CL"/>
        </w:rPr>
        <w:br w:type="page"/>
      </w:r>
    </w:p>
    <w:p w:rsidR="00B91510" w:rsidRPr="00B91510" w:rsidRDefault="00B91510" w:rsidP="00145762">
      <w:pPr>
        <w:pStyle w:val="ListParagraph"/>
        <w:numPr>
          <w:ilvl w:val="0"/>
          <w:numId w:val="28"/>
        </w:numPr>
        <w:spacing w:after="0"/>
        <w:jc w:val="both"/>
        <w:rPr>
          <w:rFonts w:ascii="Arial" w:hAnsi="Arial" w:cs="Arial"/>
          <w:b/>
        </w:rPr>
      </w:pPr>
      <w:r w:rsidRPr="00B91510">
        <w:rPr>
          <w:rFonts w:ascii="Arial" w:hAnsi="Arial" w:cs="Arial"/>
          <w:b/>
        </w:rPr>
        <w:t>Cuenca del estero Alhué</w:t>
      </w:r>
    </w:p>
    <w:p w:rsidR="00B91510" w:rsidRDefault="00B91510" w:rsidP="00B91510"/>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26</w:t>
      </w:r>
      <w:r w:rsidR="00951FEC">
        <w:fldChar w:fldCharType="end"/>
      </w:r>
      <w:r>
        <w:t xml:space="preserve"> Acuífero </w:t>
      </w:r>
      <w:r w:rsidR="006216DB">
        <w:t>0</w:t>
      </w:r>
      <w:r>
        <w:t>604</w:t>
      </w:r>
    </w:p>
    <w:p w:rsidR="00B91510" w:rsidRDefault="00254CE2" w:rsidP="00B91510">
      <w:pPr>
        <w:rPr>
          <w:rFonts w:ascii="Verdana" w:hAnsi="Verdana"/>
          <w:b/>
          <w:sz w:val="24"/>
          <w:lang w:val="es-CL"/>
        </w:rPr>
      </w:pPr>
      <w:r>
        <w:rPr>
          <w:noProof/>
          <w:lang w:val="es-CL" w:eastAsia="es-CL"/>
        </w:rPr>
        <mc:AlternateContent>
          <mc:Choice Requires="wps">
            <w:drawing>
              <wp:anchor distT="0" distB="0" distL="114300" distR="114300" simplePos="0" relativeHeight="251657728" behindDoc="0" locked="0" layoutInCell="1" allowOverlap="1">
                <wp:simplePos x="0" y="0"/>
                <wp:positionH relativeFrom="column">
                  <wp:posOffset>1485900</wp:posOffset>
                </wp:positionH>
                <wp:positionV relativeFrom="paragraph">
                  <wp:posOffset>257175</wp:posOffset>
                </wp:positionV>
                <wp:extent cx="405130" cy="1155700"/>
                <wp:effectExtent l="19050" t="19050" r="80645" b="44450"/>
                <wp:wrapNone/>
                <wp:docPr id="265"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115570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 o:spid="_x0000_s1026" type="#_x0000_t32" style="position:absolute;margin-left:117pt;margin-top:20.25pt;width:31.9pt;height:9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" strokecolor="#c00000" strokeweight="2.5pt">
                <v:stroke endarrow="block"/>
              </v:shape>
            </w:pict>
          </mc:Fallback>
        </mc:AlternateContent>
      </w:r>
      <w:r>
        <w:rPr>
          <w:rFonts w:ascii="Verdana" w:hAnsi="Verdana"/>
          <w:b/>
          <w:noProof/>
          <w:sz w:val="24"/>
          <w:lang w:val="es-CL" w:eastAsia="es-CL"/>
        </w:rPr>
        <w:drawing>
          <wp:inline distT="0" distB="0" distL="0" distR="0">
            <wp:extent cx="5614035" cy="3434080"/>
            <wp:effectExtent l="0" t="0" r="5715" b="0"/>
            <wp:docPr id="2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38">
                      <a:extLst>
                        <a:ext uri="{28A0092B-C50C-407E-A947-70E740481C1C}">
                          <a14:useLocalDpi xmlns:a14="http://schemas.microsoft.com/office/drawing/2010/main" val="0"/>
                        </a:ext>
                      </a:extLst>
                    </a:blip>
                    <a:srcRect l="13486" t="15480" r="11995" b="11548"/>
                    <a:stretch>
                      <a:fillRect/>
                    </a:stretch>
                  </pic:blipFill>
                  <pic:spPr bwMode="auto">
                    <a:xfrm>
                      <a:off x="0" y="0"/>
                      <a:ext cx="5614035" cy="3434080"/>
                    </a:xfrm>
                    <a:prstGeom prst="rect">
                      <a:avLst/>
                    </a:prstGeom>
                    <a:noFill/>
                    <a:ln>
                      <a:noFill/>
                    </a:ln>
                  </pic:spPr>
                </pic:pic>
              </a:graphicData>
            </a:graphic>
          </wp:inline>
        </w:drawing>
      </w:r>
    </w:p>
    <w:p w:rsidR="00523013" w:rsidRDefault="00523013" w:rsidP="00427B1E">
      <w:pPr>
        <w:rPr>
          <w:lang w:val="es-CL"/>
        </w:rPr>
      </w:pPr>
    </w:p>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27</w:t>
      </w:r>
      <w:r w:rsidR="00951FEC">
        <w:fldChar w:fldCharType="end"/>
      </w:r>
      <w:r>
        <w:t xml:space="preserve"> Limnigrama Nº 154, Fundo Santa Lucía.</w:t>
      </w:r>
    </w:p>
    <w:p w:rsidR="00B91510" w:rsidRDefault="00254CE2" w:rsidP="00B91510">
      <w:pPr>
        <w:jc w:val="center"/>
        <w:rPr>
          <w:rFonts w:ascii="Verdana" w:hAnsi="Verdana"/>
          <w:b/>
          <w:sz w:val="24"/>
          <w:lang w:val="es-CL"/>
        </w:rPr>
      </w:pPr>
      <w:r>
        <w:rPr>
          <w:rFonts w:ascii="Verdana" w:hAnsi="Verdana"/>
          <w:b/>
          <w:noProof/>
          <w:sz w:val="24"/>
          <w:lang w:val="es-CL" w:eastAsia="es-CL"/>
        </w:rPr>
        <w:drawing>
          <wp:inline distT="0" distB="0" distL="0" distR="0">
            <wp:extent cx="4635500" cy="2881630"/>
            <wp:effectExtent l="0" t="0" r="0" b="0"/>
            <wp:docPr id="258" name="Gráfico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0"/>
                    <pic:cNvPicPr>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635500" cy="2881630"/>
                    </a:xfrm>
                    <a:prstGeom prst="rect">
                      <a:avLst/>
                    </a:prstGeom>
                    <a:noFill/>
                    <a:ln>
                      <a:noFill/>
                    </a:ln>
                  </pic:spPr>
                </pic:pic>
              </a:graphicData>
            </a:graphic>
          </wp:inline>
        </w:drawing>
      </w:r>
    </w:p>
    <w:p w:rsidR="00B91510" w:rsidRDefault="00B91510" w:rsidP="00427B1E">
      <w:pPr>
        <w:rPr>
          <w:lang w:val="es-CL"/>
        </w:rPr>
      </w:pPr>
    </w:p>
    <w:p w:rsidR="00523013" w:rsidRPr="00427B1E" w:rsidRDefault="00427B1E" w:rsidP="00427B1E">
      <w:pPr>
        <w:rPr>
          <w:sz w:val="4"/>
          <w:szCs w:val="4"/>
          <w:lang w:val="es-CL"/>
        </w:rPr>
      </w:pPr>
      <w:r>
        <w:rPr>
          <w:lang w:val="es-CL"/>
        </w:rPr>
        <w:br w:type="page"/>
      </w:r>
    </w:p>
    <w:p w:rsidR="00B91510" w:rsidRPr="00B91510" w:rsidRDefault="00B91510" w:rsidP="00145762">
      <w:pPr>
        <w:pStyle w:val="ListParagraph"/>
        <w:numPr>
          <w:ilvl w:val="0"/>
          <w:numId w:val="33"/>
        </w:numPr>
        <w:spacing w:after="0"/>
        <w:jc w:val="both"/>
        <w:rPr>
          <w:rFonts w:ascii="Arial" w:hAnsi="Arial" w:cs="Arial"/>
          <w:b/>
        </w:rPr>
      </w:pPr>
      <w:r w:rsidRPr="00B91510">
        <w:rPr>
          <w:rFonts w:ascii="Arial" w:hAnsi="Arial" w:cs="Arial"/>
          <w:b/>
        </w:rPr>
        <w:t>Cuenca del estero Nilahue</w:t>
      </w:r>
    </w:p>
    <w:p w:rsidR="00B91510" w:rsidRDefault="00B91510" w:rsidP="00B91510"/>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28</w:t>
      </w:r>
      <w:r w:rsidR="00951FEC">
        <w:fldChar w:fldCharType="end"/>
      </w:r>
      <w:r>
        <w:t xml:space="preserve"> Acuífero </w:t>
      </w:r>
      <w:r w:rsidR="006216DB">
        <w:t>0</w:t>
      </w:r>
      <w:r>
        <w:t>613</w:t>
      </w:r>
    </w:p>
    <w:p w:rsidR="00B91510" w:rsidRPr="00B91510" w:rsidRDefault="00B91510" w:rsidP="00B91510"/>
    <w:p w:rsidR="00B91510" w:rsidRDefault="00254CE2" w:rsidP="00B91510">
      <w:pPr>
        <w:rPr>
          <w:rFonts w:ascii="Verdana" w:hAnsi="Verdana"/>
          <w:b/>
          <w:sz w:val="24"/>
          <w:lang w:val="es-CL"/>
        </w:rPr>
      </w:pPr>
      <w:r>
        <w:rPr>
          <w:noProof/>
          <w:lang w:val="es-CL" w:eastAsia="es-CL"/>
        </w:rPr>
        <mc:AlternateContent>
          <mc:Choice Requires="wps">
            <w:drawing>
              <wp:anchor distT="0" distB="0" distL="114300" distR="114300" simplePos="0" relativeHeight="251660800" behindDoc="0" locked="0" layoutInCell="1" allowOverlap="1">
                <wp:simplePos x="0" y="0"/>
                <wp:positionH relativeFrom="column">
                  <wp:posOffset>1714500</wp:posOffset>
                </wp:positionH>
                <wp:positionV relativeFrom="paragraph">
                  <wp:posOffset>1368425</wp:posOffset>
                </wp:positionV>
                <wp:extent cx="541655" cy="229870"/>
                <wp:effectExtent l="19050" t="15875" r="48895" b="78105"/>
                <wp:wrapNone/>
                <wp:docPr id="20"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655" cy="22987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135pt;margin-top:107.75pt;width:42.65pt;height:1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EePQIAAGU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" strokecolor="#c00000" strokeweight="2.5pt">
                <v:stroke endarrow="block"/>
              </v:shape>
            </w:pict>
          </mc:Fallback>
        </mc:AlternateContent>
      </w:r>
      <w:r>
        <w:rPr>
          <w:noProof/>
          <w:lang w:val="es-CL" w:eastAsia="es-CL"/>
        </w:rPr>
        <mc:AlternateContent>
          <mc:Choice Requires="wps">
            <w:drawing>
              <wp:anchor distT="0" distB="0" distL="114300" distR="114300" simplePos="0" relativeHeight="251658752" behindDoc="0" locked="0" layoutInCell="1" allowOverlap="1">
                <wp:simplePos x="0" y="0"/>
                <wp:positionH relativeFrom="column">
                  <wp:posOffset>3314700</wp:posOffset>
                </wp:positionH>
                <wp:positionV relativeFrom="paragraph">
                  <wp:posOffset>2054225</wp:posOffset>
                </wp:positionV>
                <wp:extent cx="342900" cy="342900"/>
                <wp:effectExtent l="66675" t="63500" r="19050" b="22225"/>
                <wp:wrapNone/>
                <wp:docPr id="1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34290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261pt;margin-top:161.75pt;width:27pt;height:27pt;flip:x 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" strokecolor="#c00000" strokeweight="2.5pt">
                <v:stroke endarrow="block"/>
              </v:shape>
            </w:pict>
          </mc:Fallback>
        </mc:AlternateContent>
      </w:r>
      <w:r>
        <w:rPr>
          <w:noProof/>
          <w:lang w:val="es-CL" w:eastAsia="es-CL"/>
        </w:rPr>
        <mc:AlternateContent>
          <mc:Choice Requires="wps">
            <w:drawing>
              <wp:anchor distT="0" distB="0" distL="114300" distR="114300" simplePos="0" relativeHeight="251659776" behindDoc="0" locked="0" layoutInCell="1" allowOverlap="1">
                <wp:simplePos x="0" y="0"/>
                <wp:positionH relativeFrom="column">
                  <wp:posOffset>2743200</wp:posOffset>
                </wp:positionH>
                <wp:positionV relativeFrom="paragraph">
                  <wp:posOffset>2968625</wp:posOffset>
                </wp:positionV>
                <wp:extent cx="571500" cy="228600"/>
                <wp:effectExtent l="47625" t="73025" r="19050" b="22225"/>
                <wp:wrapNone/>
                <wp:docPr id="2"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228600"/>
                        </a:xfrm>
                        <a:prstGeom prst="straightConnector1">
                          <a:avLst/>
                        </a:prstGeom>
                        <a:noFill/>
                        <a:ln w="317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3in;margin-top:233.75pt;width:45pt;height:18pt;flip:x 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" strokecolor="#c00000" strokeweight="2.5pt">
                <v:stroke endarrow="block"/>
              </v:shape>
            </w:pict>
          </mc:Fallback>
        </mc:AlternateContent>
      </w:r>
      <w:r>
        <w:rPr>
          <w:rFonts w:ascii="Verdana" w:hAnsi="Verdana"/>
          <w:b/>
          <w:noProof/>
          <w:sz w:val="24"/>
          <w:lang w:val="es-CL" w:eastAsia="es-CL"/>
        </w:rPr>
        <w:drawing>
          <wp:inline distT="0" distB="0" distL="0" distR="0">
            <wp:extent cx="5486400" cy="3551555"/>
            <wp:effectExtent l="0" t="0" r="0" b="0"/>
            <wp:docPr id="2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40">
                      <a:extLst>
                        <a:ext uri="{28A0092B-C50C-407E-A947-70E740481C1C}">
                          <a14:useLocalDpi xmlns:a14="http://schemas.microsoft.com/office/drawing/2010/main" val="0"/>
                        </a:ext>
                      </a:extLst>
                    </a:blip>
                    <a:srcRect l="7643" t="16710" r="21054" b="8354"/>
                    <a:stretch>
                      <a:fillRect/>
                    </a:stretch>
                  </pic:blipFill>
                  <pic:spPr bwMode="auto">
                    <a:xfrm>
                      <a:off x="0" y="0"/>
                      <a:ext cx="5486400" cy="3551555"/>
                    </a:xfrm>
                    <a:prstGeom prst="rect">
                      <a:avLst/>
                    </a:prstGeom>
                    <a:noFill/>
                    <a:ln>
                      <a:noFill/>
                    </a:ln>
                  </pic:spPr>
                </pic:pic>
              </a:graphicData>
            </a:graphic>
          </wp:inline>
        </w:drawing>
      </w:r>
    </w:p>
    <w:p w:rsidR="00B91510" w:rsidRDefault="00B91510" w:rsidP="00427B1E">
      <w:pPr>
        <w:rPr>
          <w:lang w:val="es-CL"/>
        </w:rPr>
      </w:pPr>
    </w:p>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29</w:t>
      </w:r>
      <w:r w:rsidR="00951FEC">
        <w:fldChar w:fldCharType="end"/>
      </w:r>
      <w:r>
        <w:t xml:space="preserve"> Limnigrama Nº 175, Culenco</w:t>
      </w:r>
    </w:p>
    <w:p w:rsidR="00B91510" w:rsidRDefault="00254CE2" w:rsidP="00B91510">
      <w:pPr>
        <w:jc w:val="center"/>
        <w:rPr>
          <w:rFonts w:ascii="Verdana" w:hAnsi="Verdana"/>
          <w:b/>
          <w:sz w:val="24"/>
          <w:lang w:val="es-CL"/>
        </w:rPr>
      </w:pPr>
      <w:r>
        <w:rPr>
          <w:rFonts w:ascii="Verdana" w:hAnsi="Verdana"/>
          <w:b/>
          <w:noProof/>
          <w:sz w:val="24"/>
          <w:lang w:val="es-CL" w:eastAsia="es-CL"/>
        </w:rPr>
        <w:drawing>
          <wp:inline distT="0" distB="0" distL="0" distR="0">
            <wp:extent cx="4975860" cy="2881630"/>
            <wp:effectExtent l="0" t="0" r="0" b="0"/>
            <wp:docPr id="260" name="Gráfico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1"/>
                    <pic:cNvPicPr>
                      <a:picLocks noChangeArrowheads="1"/>
                    </pic:cNvPicPr>
                  </pic:nvPicPr>
                  <pic:blipFill>
                    <a:blip r:embed="rId241">
                      <a:extLst>
                        <a:ext uri="{28A0092B-C50C-407E-A947-70E740481C1C}">
                          <a14:useLocalDpi xmlns:a14="http://schemas.microsoft.com/office/drawing/2010/main" val="0"/>
                        </a:ext>
                      </a:extLst>
                    </a:blip>
                    <a:srcRect b="-105"/>
                    <a:stretch>
                      <a:fillRect/>
                    </a:stretch>
                  </pic:blipFill>
                  <pic:spPr bwMode="auto">
                    <a:xfrm>
                      <a:off x="0" y="0"/>
                      <a:ext cx="4975860" cy="2881630"/>
                    </a:xfrm>
                    <a:prstGeom prst="rect">
                      <a:avLst/>
                    </a:prstGeom>
                    <a:noFill/>
                    <a:ln>
                      <a:noFill/>
                    </a:ln>
                  </pic:spPr>
                </pic:pic>
              </a:graphicData>
            </a:graphic>
          </wp:inline>
        </w:drawing>
      </w:r>
    </w:p>
    <w:p w:rsidR="00B91510" w:rsidRDefault="00B91510" w:rsidP="00427B1E">
      <w:pPr>
        <w:rPr>
          <w:lang w:val="es-CL"/>
        </w:rPr>
      </w:pPr>
    </w:p>
    <w:p w:rsidR="00B91510" w:rsidRDefault="00B91510" w:rsidP="00427B1E">
      <w:pPr>
        <w:rPr>
          <w:lang w:val="es-CL"/>
        </w:rPr>
      </w:pPr>
    </w:p>
    <w:p w:rsidR="00B91510" w:rsidRDefault="00B91510" w:rsidP="00B91510">
      <w:pPr>
        <w:pStyle w:val="Epgrafe"/>
        <w:keepNext/>
      </w:pPr>
      <w:r>
        <w:lastRenderedPageBreak/>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30</w:t>
      </w:r>
      <w:r w:rsidR="00951FEC">
        <w:fldChar w:fldCharType="end"/>
      </w:r>
      <w:r>
        <w:t xml:space="preserve"> Limnigrama Nº 176, Hacienda Lolol APR</w:t>
      </w:r>
    </w:p>
    <w:p w:rsidR="00B91510" w:rsidRDefault="00254CE2" w:rsidP="00B91510">
      <w:pPr>
        <w:jc w:val="center"/>
        <w:rPr>
          <w:rFonts w:ascii="Verdana" w:hAnsi="Verdana"/>
          <w:b/>
          <w:sz w:val="24"/>
          <w:lang w:val="es-CL"/>
        </w:rPr>
      </w:pPr>
      <w:r>
        <w:rPr>
          <w:rFonts w:ascii="Verdana" w:hAnsi="Verdana"/>
          <w:b/>
          <w:noProof/>
          <w:sz w:val="24"/>
          <w:lang w:val="es-CL" w:eastAsia="es-CL"/>
        </w:rPr>
        <w:drawing>
          <wp:inline distT="0" distB="0" distL="0" distR="0">
            <wp:extent cx="5050155" cy="3061970"/>
            <wp:effectExtent l="0" t="0" r="0" b="5080"/>
            <wp:docPr id="261" name="Gráfico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2"/>
                    <pic:cNvPicPr>
                      <a:picLocks noChangeArrowheads="1"/>
                    </pic:cNvPicPr>
                  </pic:nvPicPr>
                  <pic:blipFill>
                    <a:blip r:embed="rId242">
                      <a:extLst>
                        <a:ext uri="{28A0092B-C50C-407E-A947-70E740481C1C}">
                          <a14:useLocalDpi xmlns:a14="http://schemas.microsoft.com/office/drawing/2010/main" val="0"/>
                        </a:ext>
                      </a:extLst>
                    </a:blip>
                    <a:srcRect b="-96"/>
                    <a:stretch>
                      <a:fillRect/>
                    </a:stretch>
                  </pic:blipFill>
                  <pic:spPr bwMode="auto">
                    <a:xfrm>
                      <a:off x="0" y="0"/>
                      <a:ext cx="5050155" cy="3061970"/>
                    </a:xfrm>
                    <a:prstGeom prst="rect">
                      <a:avLst/>
                    </a:prstGeom>
                    <a:noFill/>
                    <a:ln>
                      <a:noFill/>
                    </a:ln>
                  </pic:spPr>
                </pic:pic>
              </a:graphicData>
            </a:graphic>
          </wp:inline>
        </w:drawing>
      </w:r>
    </w:p>
    <w:p w:rsidR="003155DE" w:rsidRDefault="003155DE" w:rsidP="00523013"/>
    <w:p w:rsidR="00B91510" w:rsidRDefault="00B91510" w:rsidP="00B91510">
      <w:pPr>
        <w:pStyle w:val="Epgrafe"/>
        <w:keepNext/>
      </w:pPr>
      <w:r>
        <w:t xml:space="preserve">Figura </w:t>
      </w:r>
      <w:r w:rsidR="00951FEC">
        <w:fldChar w:fldCharType="begin"/>
      </w:r>
      <w:r w:rsidR="00951FEC">
        <w:instrText xml:space="preserve"> STYLEREF 1 \s </w:instrText>
      </w:r>
      <w:r w:rsidR="00951FEC">
        <w:fldChar w:fldCharType="separate"/>
      </w:r>
      <w:r w:rsidR="00264070">
        <w:rPr>
          <w:noProof/>
        </w:rPr>
        <w:t>6</w:t>
      </w:r>
      <w:r w:rsidR="00951FEC">
        <w:fldChar w:fldCharType="end"/>
      </w:r>
      <w:r w:rsidR="00951FEC">
        <w:t>.</w:t>
      </w:r>
      <w:r w:rsidR="00951FEC">
        <w:fldChar w:fldCharType="begin"/>
      </w:r>
      <w:r w:rsidR="00951FEC">
        <w:instrText xml:space="preserve"> SEQ Figura \* ARABIC \s 1 </w:instrText>
      </w:r>
      <w:r w:rsidR="00951FEC">
        <w:fldChar w:fldCharType="separate"/>
      </w:r>
      <w:r w:rsidR="00264070">
        <w:rPr>
          <w:noProof/>
        </w:rPr>
        <w:t>31</w:t>
      </w:r>
      <w:r w:rsidR="00951FEC">
        <w:fldChar w:fldCharType="end"/>
      </w:r>
      <w:r>
        <w:t xml:space="preserve"> Limnigrama N° 177, Pueblo Chico APR</w:t>
      </w:r>
    </w:p>
    <w:p w:rsidR="00B91510" w:rsidRDefault="00254CE2" w:rsidP="00B91510">
      <w:pPr>
        <w:jc w:val="center"/>
        <w:rPr>
          <w:rFonts w:ascii="Verdana" w:hAnsi="Verdana"/>
          <w:b/>
          <w:sz w:val="24"/>
          <w:lang w:val="es-CL"/>
        </w:rPr>
      </w:pPr>
      <w:r>
        <w:rPr>
          <w:rFonts w:ascii="Verdana" w:hAnsi="Verdana"/>
          <w:b/>
          <w:noProof/>
          <w:sz w:val="24"/>
          <w:lang w:val="es-CL" w:eastAsia="es-CL"/>
        </w:rPr>
        <w:drawing>
          <wp:inline distT="0" distB="0" distL="0" distR="0">
            <wp:extent cx="5029200" cy="2722245"/>
            <wp:effectExtent l="0" t="0" r="0" b="1905"/>
            <wp:docPr id="262" name="Gráfico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3"/>
                    <pic:cNvPicPr>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029200" cy="2722245"/>
                    </a:xfrm>
                    <a:prstGeom prst="rect">
                      <a:avLst/>
                    </a:prstGeom>
                    <a:noFill/>
                    <a:ln>
                      <a:noFill/>
                    </a:ln>
                  </pic:spPr>
                </pic:pic>
              </a:graphicData>
            </a:graphic>
          </wp:inline>
        </w:drawing>
      </w:r>
    </w:p>
    <w:p w:rsidR="00427B1E" w:rsidRDefault="00427B1E" w:rsidP="0069129A">
      <w:pPr>
        <w:rPr>
          <w:lang w:val="es-CL" w:eastAsia="es-CL"/>
        </w:rPr>
      </w:pPr>
    </w:p>
    <w:p w:rsidR="00C45E03" w:rsidRDefault="00C45E03" w:rsidP="00F9180B">
      <w:pPr>
        <w:pStyle w:val="Ttulo3"/>
      </w:pPr>
      <w:bookmarkStart w:id="427" w:name="_Toc344391849"/>
      <w:r>
        <w:t>Consideraciones Respecto a Demandas</w:t>
      </w:r>
      <w:bookmarkEnd w:id="423"/>
      <w:bookmarkEnd w:id="427"/>
    </w:p>
    <w:p w:rsidR="00F67420" w:rsidRPr="00F67420" w:rsidRDefault="00F67420" w:rsidP="00F67420"/>
    <w:p w:rsidR="00C45E03" w:rsidRDefault="00C45E03" w:rsidP="00C45E03">
      <w:pPr>
        <w:pStyle w:val="Sinespaciado"/>
        <w:jc w:val="both"/>
        <w:rPr>
          <w:sz w:val="22"/>
          <w:szCs w:val="22"/>
        </w:rPr>
      </w:pPr>
      <w:r w:rsidRPr="007456B0">
        <w:rPr>
          <w:sz w:val="22"/>
          <w:szCs w:val="22"/>
        </w:rPr>
        <w:t>La demanda total de</w:t>
      </w:r>
      <w:r>
        <w:rPr>
          <w:sz w:val="22"/>
          <w:szCs w:val="22"/>
        </w:rPr>
        <w:t xml:space="preserve"> agua en</w:t>
      </w:r>
      <w:r w:rsidRPr="007456B0">
        <w:rPr>
          <w:sz w:val="22"/>
          <w:szCs w:val="22"/>
        </w:rPr>
        <w:t xml:space="preserve"> cada </w:t>
      </w:r>
      <w:r>
        <w:rPr>
          <w:sz w:val="22"/>
          <w:szCs w:val="22"/>
        </w:rPr>
        <w:t>sub</w:t>
      </w:r>
      <w:r w:rsidRPr="007456B0">
        <w:rPr>
          <w:sz w:val="22"/>
          <w:szCs w:val="22"/>
        </w:rPr>
        <w:t>cuenca corresponde a</w:t>
      </w:r>
      <w:r>
        <w:rPr>
          <w:sz w:val="22"/>
          <w:szCs w:val="22"/>
        </w:rPr>
        <w:t xml:space="preserve"> la suma de las demandas de</w:t>
      </w:r>
      <w:r w:rsidRPr="007456B0">
        <w:rPr>
          <w:sz w:val="22"/>
          <w:szCs w:val="22"/>
        </w:rPr>
        <w:t xml:space="preserve"> riego, m</w:t>
      </w:r>
      <w:r>
        <w:rPr>
          <w:sz w:val="22"/>
          <w:szCs w:val="22"/>
        </w:rPr>
        <w:t>inería, industria y agua potable</w:t>
      </w:r>
      <w:r w:rsidRPr="007456B0">
        <w:rPr>
          <w:sz w:val="22"/>
          <w:szCs w:val="22"/>
        </w:rPr>
        <w:t>.</w:t>
      </w:r>
      <w:r w:rsidR="00F361AD">
        <w:rPr>
          <w:sz w:val="22"/>
          <w:szCs w:val="22"/>
        </w:rPr>
        <w:t xml:space="preserve"> En el caso del </w:t>
      </w:r>
      <w:r>
        <w:rPr>
          <w:sz w:val="22"/>
          <w:szCs w:val="22"/>
        </w:rPr>
        <w:t xml:space="preserve">riego, se considera una eficiencia de conducción del 80%, lo cual incrementa la demanda por </w:t>
      </w:r>
      <w:r w:rsidR="00AC14BA">
        <w:rPr>
          <w:sz w:val="22"/>
          <w:szCs w:val="22"/>
        </w:rPr>
        <w:t>este concepto</w:t>
      </w:r>
      <w:r>
        <w:rPr>
          <w:sz w:val="22"/>
          <w:szCs w:val="22"/>
        </w:rPr>
        <w:t>.</w:t>
      </w:r>
    </w:p>
    <w:p w:rsidR="00C45E03" w:rsidRDefault="00C45E03" w:rsidP="00C45E03">
      <w:pPr>
        <w:pStyle w:val="Sinespaciado"/>
        <w:jc w:val="both"/>
        <w:rPr>
          <w:sz w:val="22"/>
          <w:szCs w:val="22"/>
        </w:rPr>
      </w:pPr>
    </w:p>
    <w:p w:rsidR="00C45E03" w:rsidRDefault="00C45E03" w:rsidP="00C45E03">
      <w:pPr>
        <w:pStyle w:val="Sinespaciado"/>
        <w:jc w:val="both"/>
        <w:rPr>
          <w:sz w:val="22"/>
          <w:szCs w:val="22"/>
        </w:rPr>
      </w:pPr>
      <w:r>
        <w:rPr>
          <w:sz w:val="22"/>
          <w:szCs w:val="22"/>
        </w:rPr>
        <w:t>Estas demandas</w:t>
      </w:r>
      <w:r w:rsidRPr="007456B0">
        <w:rPr>
          <w:sz w:val="22"/>
          <w:szCs w:val="22"/>
        </w:rPr>
        <w:t xml:space="preserve"> varían para la situación actual y futura, así como también lo hace el área de riego. El supuesto más relevante es el hecho de que para el balance se considera la satisfacción total de la demanda estimada</w:t>
      </w:r>
      <w:r>
        <w:rPr>
          <w:sz w:val="22"/>
          <w:szCs w:val="22"/>
        </w:rPr>
        <w:t>,</w:t>
      </w:r>
      <w:r w:rsidRPr="007456B0">
        <w:rPr>
          <w:sz w:val="22"/>
          <w:szCs w:val="22"/>
        </w:rPr>
        <w:t xml:space="preserve"> tanto para </w:t>
      </w:r>
      <w:r w:rsidR="00F361AD">
        <w:rPr>
          <w:sz w:val="22"/>
          <w:szCs w:val="22"/>
        </w:rPr>
        <w:t>la situación actual como futura, lo cual corresponde a un escenario conservador</w:t>
      </w:r>
      <w:r w:rsidR="006D0A7F">
        <w:rPr>
          <w:sz w:val="22"/>
          <w:szCs w:val="22"/>
        </w:rPr>
        <w:t>.</w:t>
      </w:r>
    </w:p>
    <w:p w:rsidR="000D7B08" w:rsidRDefault="000D7B08" w:rsidP="00C45E03">
      <w:pPr>
        <w:pStyle w:val="Sinespaciado"/>
        <w:jc w:val="both"/>
        <w:rPr>
          <w:sz w:val="22"/>
          <w:szCs w:val="22"/>
        </w:rPr>
      </w:pPr>
    </w:p>
    <w:p w:rsidR="000D7B08" w:rsidRDefault="000D7B08" w:rsidP="000D7B08">
      <w:pPr>
        <w:pStyle w:val="Ttulo3"/>
      </w:pPr>
      <w:bookmarkStart w:id="428" w:name="_Toc344391850"/>
      <w:r>
        <w:t>Determinación del Déficit o Superávit</w:t>
      </w:r>
      <w:bookmarkEnd w:id="428"/>
    </w:p>
    <w:p w:rsidR="000D7B08" w:rsidRDefault="000D7B08" w:rsidP="000D7B08"/>
    <w:p w:rsidR="00427B1E" w:rsidRDefault="00427B1E" w:rsidP="00427B1E">
      <w:pPr>
        <w:rPr>
          <w:lang w:val="es-ES_tradnl"/>
        </w:rPr>
      </w:pPr>
      <w:r>
        <w:rPr>
          <w:lang w:val="es-ES_tradnl"/>
        </w:rPr>
        <w:t>Para definir la existencia de déficit hídrico en cada una de las subcuencas, se distingue entre los siguientes casos:</w:t>
      </w:r>
    </w:p>
    <w:p w:rsidR="00427B1E" w:rsidRDefault="00427B1E" w:rsidP="00427B1E">
      <w:pPr>
        <w:rPr>
          <w:lang w:val="es-ES_tradnl"/>
        </w:rPr>
      </w:pPr>
    </w:p>
    <w:p w:rsidR="00427B1E" w:rsidRDefault="00427B1E" w:rsidP="00145762">
      <w:pPr>
        <w:widowControl w:val="0"/>
        <w:numPr>
          <w:ilvl w:val="0"/>
          <w:numId w:val="31"/>
        </w:numPr>
        <w:rPr>
          <w:lang w:val="es-ES_tradnl"/>
        </w:rPr>
      </w:pPr>
      <w:r>
        <w:rPr>
          <w:lang w:val="es-ES_tradnl"/>
        </w:rPr>
        <w:t>Cuencas con acuífero</w:t>
      </w:r>
    </w:p>
    <w:p w:rsidR="00427B1E" w:rsidRDefault="00427B1E" w:rsidP="00427B1E">
      <w:pPr>
        <w:rPr>
          <w:lang w:val="es-ES_tradnl"/>
        </w:rPr>
      </w:pPr>
    </w:p>
    <w:p w:rsidR="00427B1E" w:rsidRPr="005A33B1" w:rsidRDefault="00427B1E" w:rsidP="00427B1E">
      <w:pPr>
        <w:rPr>
          <w:lang w:val="es-ES_tradnl"/>
        </w:rPr>
      </w:pPr>
      <w:r>
        <w:rPr>
          <w:lang w:val="es-ES_tradnl"/>
        </w:rPr>
        <w:t xml:space="preserve">Se contrasta el resultado del balance </w:t>
      </w:r>
      <w:r w:rsidRPr="005B0558">
        <w:rPr>
          <w:rFonts w:cs="Arial"/>
          <w:i/>
          <w:lang w:val="es-ES_tradnl"/>
        </w:rPr>
        <w:t>Δ</w:t>
      </w:r>
      <w:r>
        <w:rPr>
          <w:lang w:val="es-ES_tradnl"/>
        </w:rPr>
        <w:t xml:space="preserve"> con los caudales medios anuales de máximo vaciamiento (</w:t>
      </w:r>
      <w:r>
        <w:rPr>
          <w:rFonts w:cs="Arial"/>
          <w:i/>
          <w:lang w:val="es-ES_tradnl"/>
        </w:rPr>
        <w:t>Δ</w:t>
      </w:r>
      <w:r>
        <w:rPr>
          <w:i/>
          <w:lang w:val="es-ES_tradnl"/>
        </w:rPr>
        <w:t>G</w:t>
      </w:r>
      <w:r>
        <w:rPr>
          <w:vertAlign w:val="superscript"/>
          <w:lang w:val="es-ES_tradnl"/>
        </w:rPr>
        <w:t>-</w:t>
      </w:r>
      <w:r>
        <w:rPr>
          <w:lang w:val="es-ES_tradnl"/>
        </w:rPr>
        <w:t>) y aumento histórico del volumen de agua subterránea (</w:t>
      </w:r>
      <w:r>
        <w:rPr>
          <w:rFonts w:cs="Arial"/>
          <w:i/>
          <w:lang w:val="es-ES_tradnl"/>
        </w:rPr>
        <w:t>Δ</w:t>
      </w:r>
      <w:r>
        <w:rPr>
          <w:i/>
          <w:lang w:val="es-ES_tradnl"/>
        </w:rPr>
        <w:t>G</w:t>
      </w:r>
      <w:r>
        <w:rPr>
          <w:vertAlign w:val="superscript"/>
          <w:lang w:val="es-ES_tradnl"/>
        </w:rPr>
        <w:t>+</w:t>
      </w:r>
      <w:r>
        <w:rPr>
          <w:lang w:val="es-ES_tradnl"/>
        </w:rPr>
        <w:t xml:space="preserve">). En cuencas donde se dispone de más de una estimación de este volumen, se considera el promedio de los valores obtenidos. </w:t>
      </w:r>
      <w:smartTag w:uri="urn:schemas-microsoft-com:office:smarttags" w:element="PersonName">
        <w:smartTagPr>
          <w:attr w:name="ProductID" w:val="la ￼￼￼￼￼￼￼￼￼￼￼￼￼￼￼￼￼￼￼￼￼￼￼￼￼￼￼￼￼￼￼￼￼￼￼￼￼￼￼￼￼Tabla"/>
        </w:smartTagPr>
        <w:r>
          <w:rPr>
            <w:lang w:val="es-ES_tradnl"/>
          </w:rPr>
          <w:t xml:space="preserve">La </w:t>
        </w:r>
        <w:r>
          <w:rPr>
            <w:lang w:val="es-ES_tradnl"/>
          </w:rPr>
          <w:fldChar w:fldCharType="begin"/>
        </w:r>
        <w:r>
          <w:rPr>
            <w:lang w:val="es-ES_tradnl"/>
          </w:rPr>
          <w:instrText xml:space="preserve"> REF _Ref343248760 \h </w:instrText>
        </w:r>
        <w:r>
          <w:rPr>
            <w:lang w:val="es-ES_tradnl"/>
          </w:rPr>
        </w:r>
        <w:r>
          <w:rPr>
            <w:lang w:val="es-ES_tradnl"/>
          </w:rPr>
          <w:fldChar w:fldCharType="separate"/>
        </w:r>
        <w:r w:rsidR="00264070">
          <w:t>Tabla</w:t>
        </w:r>
      </w:smartTag>
      <w:r w:rsidR="00264070">
        <w:t xml:space="preserve"> </w:t>
      </w:r>
      <w:r w:rsidR="00264070">
        <w:rPr>
          <w:noProof/>
        </w:rPr>
        <w:t>6</w:t>
      </w:r>
      <w:r w:rsidR="00264070">
        <w:t>.</w:t>
      </w:r>
      <w:r w:rsidR="00264070">
        <w:rPr>
          <w:noProof/>
        </w:rPr>
        <w:t>11</w:t>
      </w:r>
      <w:r>
        <w:rPr>
          <w:lang w:val="es-ES_tradnl"/>
        </w:rPr>
        <w:fldChar w:fldCharType="end"/>
      </w:r>
      <w:r>
        <w:rPr>
          <w:lang w:val="es-ES_tradnl"/>
        </w:rPr>
        <w:t xml:space="preserve"> muestra los valores por subcuenca de </w:t>
      </w:r>
      <w:r>
        <w:rPr>
          <w:rFonts w:cs="Arial"/>
          <w:i/>
          <w:lang w:val="es-ES_tradnl"/>
        </w:rPr>
        <w:t>Δ</w:t>
      </w:r>
      <w:r>
        <w:rPr>
          <w:i/>
          <w:lang w:val="es-ES_tradnl"/>
        </w:rPr>
        <w:t>G</w:t>
      </w:r>
      <w:r>
        <w:rPr>
          <w:vertAlign w:val="superscript"/>
          <w:lang w:val="es-ES_tradnl"/>
        </w:rPr>
        <w:t>-</w:t>
      </w:r>
      <w:r>
        <w:rPr>
          <w:lang w:val="es-ES_tradnl"/>
        </w:rPr>
        <w:t xml:space="preserve"> y </w:t>
      </w:r>
      <w:r>
        <w:rPr>
          <w:rFonts w:cs="Arial"/>
          <w:i/>
          <w:lang w:val="es-ES_tradnl"/>
        </w:rPr>
        <w:t>Δ</w:t>
      </w:r>
      <w:r>
        <w:rPr>
          <w:i/>
          <w:lang w:val="es-ES_tradnl"/>
        </w:rPr>
        <w:t>G</w:t>
      </w:r>
      <w:r>
        <w:rPr>
          <w:vertAlign w:val="superscript"/>
          <w:lang w:val="es-ES_tradnl"/>
        </w:rPr>
        <w:t>+</w:t>
      </w:r>
      <w:r>
        <w:rPr>
          <w:lang w:val="es-ES_tradnl"/>
        </w:rPr>
        <w:t>.</w:t>
      </w:r>
    </w:p>
    <w:p w:rsidR="00427B1E" w:rsidRDefault="00427B1E" w:rsidP="00427B1E">
      <w:pPr>
        <w:rPr>
          <w:lang w:val="es-ES_tradnl"/>
        </w:rPr>
      </w:pPr>
    </w:p>
    <w:p w:rsidR="00427B1E" w:rsidRDefault="00427B1E" w:rsidP="00427B1E">
      <w:pPr>
        <w:pStyle w:val="Epgrafe"/>
        <w:keepNext/>
      </w:pPr>
      <w:bookmarkStart w:id="429" w:name="_Ref343248760"/>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11</w:t>
      </w:r>
      <w:r w:rsidR="007F3102">
        <w:fldChar w:fldCharType="end"/>
      </w:r>
      <w:bookmarkEnd w:id="429"/>
      <w:r>
        <w:t xml:space="preserve"> Caudales Medios Anuales de Máximo Vaciamiento y Aumento Histórico del Volumen de Agua Subterránea por subcuenca</w:t>
      </w:r>
    </w:p>
    <w:tbl>
      <w:tblPr>
        <w:tblW w:w="3600" w:type="dxa"/>
        <w:jc w:val="center"/>
        <w:tblInd w:w="55" w:type="dxa"/>
        <w:tblCellMar>
          <w:left w:w="70" w:type="dxa"/>
          <w:right w:w="70" w:type="dxa"/>
        </w:tblCellMar>
        <w:tblLook w:val="04A0" w:firstRow="1" w:lastRow="0" w:firstColumn="1" w:lastColumn="0" w:noHBand="0" w:noVBand="1"/>
      </w:tblPr>
      <w:tblGrid>
        <w:gridCol w:w="1200"/>
        <w:gridCol w:w="1200"/>
        <w:gridCol w:w="1200"/>
      </w:tblGrid>
      <w:tr w:rsidR="00427B1E" w:rsidRPr="00427B1E">
        <w:trPr>
          <w:trHeight w:val="25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Cuenca</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427B1E" w:rsidRPr="00427B1E" w:rsidRDefault="006D0A7F" w:rsidP="00427B1E">
            <w:pPr>
              <w:jc w:val="center"/>
              <w:rPr>
                <w:rFonts w:cs="Arial"/>
                <w:color w:val="000000"/>
                <w:sz w:val="20"/>
                <w:szCs w:val="20"/>
                <w:lang w:val="es-CL" w:eastAsia="es-CL"/>
              </w:rPr>
            </w:pPr>
            <w:r>
              <w:rPr>
                <w:rFonts w:cs="Arial"/>
                <w:color w:val="000000"/>
                <w:sz w:val="20"/>
                <w:szCs w:val="20"/>
                <w:lang w:val="es-CL" w:eastAsia="es-CL"/>
              </w:rPr>
              <w:t>ΔG</w:t>
            </w:r>
            <w:r>
              <w:rPr>
                <w:rFonts w:cs="Arial"/>
                <w:color w:val="000000"/>
                <w:sz w:val="20"/>
                <w:szCs w:val="20"/>
                <w:vertAlign w:val="superscript"/>
                <w:lang w:val="es-CL" w:eastAsia="es-CL"/>
              </w:rPr>
              <w:t>-</w:t>
            </w:r>
            <w:r w:rsidR="00427B1E" w:rsidRPr="00427B1E">
              <w:rPr>
                <w:rFonts w:cs="Arial"/>
                <w:color w:val="000000"/>
                <w:sz w:val="20"/>
                <w:szCs w:val="20"/>
                <w:lang w:val="es-CL" w:eastAsia="es-CL"/>
              </w:rPr>
              <w:t xml:space="preserve">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427B1E" w:rsidRPr="00427B1E" w:rsidRDefault="006D0A7F" w:rsidP="00427B1E">
            <w:pPr>
              <w:jc w:val="center"/>
              <w:rPr>
                <w:rFonts w:cs="Arial"/>
                <w:color w:val="000000"/>
                <w:sz w:val="20"/>
                <w:szCs w:val="20"/>
                <w:lang w:val="es-CL" w:eastAsia="es-CL"/>
              </w:rPr>
            </w:pPr>
            <w:r>
              <w:rPr>
                <w:rFonts w:cs="Arial"/>
                <w:color w:val="000000"/>
                <w:sz w:val="20"/>
                <w:szCs w:val="20"/>
                <w:lang w:val="es-CL" w:eastAsia="es-CL"/>
              </w:rPr>
              <w:t>ΔG</w:t>
            </w:r>
            <w:r>
              <w:rPr>
                <w:rFonts w:cs="Arial"/>
                <w:color w:val="000000"/>
                <w:sz w:val="20"/>
                <w:szCs w:val="20"/>
                <w:vertAlign w:val="superscript"/>
                <w:lang w:val="es-CL" w:eastAsia="es-CL"/>
              </w:rPr>
              <w:t>+</w:t>
            </w:r>
            <w:r w:rsidR="00427B1E" w:rsidRPr="00427B1E">
              <w:rPr>
                <w:rFonts w:cs="Arial"/>
                <w:color w:val="000000"/>
                <w:sz w:val="20"/>
                <w:szCs w:val="20"/>
                <w:lang w:val="es-CL" w:eastAsia="es-CL"/>
              </w:rPr>
              <w:t xml:space="preserve"> [l/s]</w:t>
            </w:r>
          </w:p>
        </w:tc>
      </w:tr>
      <w:tr w:rsidR="00427B1E" w:rsidRPr="00427B1E">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b/>
                <w:bCs/>
                <w:color w:val="000000"/>
                <w:sz w:val="20"/>
                <w:szCs w:val="20"/>
                <w:lang w:val="es-CL" w:eastAsia="es-CL"/>
              </w:rPr>
            </w:pPr>
            <w:r w:rsidRPr="00427B1E">
              <w:rPr>
                <w:rFonts w:cs="Arial"/>
                <w:b/>
                <w:bCs/>
                <w:color w:val="000000"/>
                <w:sz w:val="20"/>
                <w:szCs w:val="20"/>
                <w:lang w:val="es-CL" w:eastAsia="es-CL"/>
              </w:rPr>
              <w:t>0571</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-1650</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1584</w:t>
            </w:r>
          </w:p>
        </w:tc>
      </w:tr>
      <w:tr w:rsidR="00427B1E" w:rsidRPr="00427B1E">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b/>
                <w:bCs/>
                <w:color w:val="000000"/>
                <w:sz w:val="20"/>
                <w:szCs w:val="20"/>
                <w:lang w:val="es-CL" w:eastAsia="es-CL"/>
              </w:rPr>
            </w:pPr>
            <w:r w:rsidRPr="00427B1E">
              <w:rPr>
                <w:rFonts w:cs="Arial"/>
                <w:b/>
                <w:bCs/>
                <w:color w:val="000000"/>
                <w:sz w:val="20"/>
                <w:szCs w:val="20"/>
                <w:lang w:val="es-CL" w:eastAsia="es-CL"/>
              </w:rPr>
              <w:t>0601</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-13801</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13281</w:t>
            </w:r>
          </w:p>
        </w:tc>
      </w:tr>
      <w:tr w:rsidR="00427B1E" w:rsidRPr="00427B1E">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b/>
                <w:bCs/>
                <w:color w:val="000000"/>
                <w:sz w:val="20"/>
                <w:szCs w:val="20"/>
                <w:lang w:val="es-CL" w:eastAsia="es-CL"/>
              </w:rPr>
            </w:pPr>
            <w:r w:rsidRPr="00427B1E">
              <w:rPr>
                <w:rFonts w:cs="Arial"/>
                <w:b/>
                <w:bCs/>
                <w:color w:val="000000"/>
                <w:sz w:val="20"/>
                <w:szCs w:val="20"/>
                <w:lang w:val="es-CL" w:eastAsia="es-CL"/>
              </w:rPr>
              <w:t>0602-0603</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-7991</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7035</w:t>
            </w:r>
          </w:p>
        </w:tc>
      </w:tr>
      <w:tr w:rsidR="00427B1E" w:rsidRPr="00427B1E">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b/>
                <w:bCs/>
                <w:color w:val="000000"/>
                <w:sz w:val="20"/>
                <w:szCs w:val="20"/>
                <w:lang w:val="es-CL" w:eastAsia="es-CL"/>
              </w:rPr>
            </w:pPr>
            <w:r w:rsidRPr="00427B1E">
              <w:rPr>
                <w:rFonts w:cs="Arial"/>
                <w:b/>
                <w:bCs/>
                <w:color w:val="000000"/>
                <w:sz w:val="20"/>
                <w:szCs w:val="20"/>
                <w:lang w:val="es-CL" w:eastAsia="es-CL"/>
              </w:rPr>
              <w:t>0605</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-5668</w:t>
            </w:r>
          </w:p>
        </w:tc>
        <w:tc>
          <w:tcPr>
            <w:tcW w:w="1200" w:type="dxa"/>
            <w:tcBorders>
              <w:top w:val="nil"/>
              <w:left w:val="nil"/>
              <w:bottom w:val="single" w:sz="4" w:space="0" w:color="auto"/>
              <w:right w:val="single" w:sz="4" w:space="0" w:color="auto"/>
            </w:tcBorders>
            <w:shd w:val="clear" w:color="auto" w:fill="auto"/>
            <w:noWrap/>
            <w:vAlign w:val="bottom"/>
          </w:tcPr>
          <w:p w:rsidR="00427B1E" w:rsidRPr="00427B1E" w:rsidRDefault="00427B1E" w:rsidP="00427B1E">
            <w:pPr>
              <w:jc w:val="center"/>
              <w:rPr>
                <w:rFonts w:cs="Arial"/>
                <w:color w:val="000000"/>
                <w:sz w:val="20"/>
                <w:szCs w:val="20"/>
                <w:lang w:val="es-CL" w:eastAsia="es-CL"/>
              </w:rPr>
            </w:pPr>
            <w:r w:rsidRPr="00427B1E">
              <w:rPr>
                <w:rFonts w:cs="Arial"/>
                <w:color w:val="000000"/>
                <w:sz w:val="20"/>
                <w:szCs w:val="20"/>
                <w:lang w:val="es-CL" w:eastAsia="es-CL"/>
              </w:rPr>
              <w:t>5640</w:t>
            </w:r>
          </w:p>
        </w:tc>
      </w:tr>
    </w:tbl>
    <w:p w:rsidR="00427B1E" w:rsidRDefault="00427B1E" w:rsidP="00427B1E">
      <w:pPr>
        <w:rPr>
          <w:lang w:val="es-ES_tradnl"/>
        </w:rPr>
      </w:pPr>
    </w:p>
    <w:p w:rsidR="00427B1E" w:rsidRDefault="00427B1E" w:rsidP="00427B1E">
      <w:pPr>
        <w:rPr>
          <w:lang w:val="es-ES_tradnl"/>
        </w:rPr>
      </w:pPr>
      <w:r>
        <w:rPr>
          <w:lang w:val="es-ES_tradnl"/>
        </w:rPr>
        <w:t>Los resultados posibles son los siguientes:</w:t>
      </w:r>
    </w:p>
    <w:p w:rsidR="00427B1E" w:rsidRDefault="00427B1E" w:rsidP="00427B1E">
      <w:pPr>
        <w:rPr>
          <w:lang w:val="es-ES_tradnl"/>
        </w:rPr>
      </w:pPr>
    </w:p>
    <w:p w:rsidR="00427B1E" w:rsidRDefault="00427B1E" w:rsidP="00427B1E">
      <w:pPr>
        <w:rPr>
          <w:lang w:val="es-ES_tradnl"/>
        </w:rPr>
      </w:pPr>
      <w:r>
        <w:rPr>
          <w:lang w:val="es-ES_tradnl"/>
        </w:rPr>
        <w:t xml:space="preserve">-Si </w:t>
      </w:r>
      <w:r w:rsidRPr="005B0558">
        <w:rPr>
          <w:rFonts w:cs="Arial"/>
          <w:i/>
          <w:lang w:val="es-ES_tradnl"/>
        </w:rPr>
        <w:t>Δ</w:t>
      </w:r>
      <w:r>
        <w:rPr>
          <w:lang w:val="es-ES_tradnl"/>
        </w:rPr>
        <w:t xml:space="preserve"> &lt;</w:t>
      </w:r>
      <w:r w:rsidRPr="005B0558">
        <w:rPr>
          <w:rFonts w:cs="Arial"/>
          <w:i/>
          <w:lang w:val="es-ES_tradnl"/>
        </w:rPr>
        <w:t xml:space="preserve"> </w:t>
      </w:r>
      <w:r>
        <w:rPr>
          <w:rFonts w:cs="Arial"/>
          <w:i/>
          <w:lang w:val="es-ES_tradnl"/>
        </w:rPr>
        <w:t>Δ</w:t>
      </w:r>
      <w:r>
        <w:rPr>
          <w:i/>
          <w:lang w:val="es-ES_tradnl"/>
        </w:rPr>
        <w:t>G</w:t>
      </w:r>
      <w:r>
        <w:rPr>
          <w:vertAlign w:val="superscript"/>
          <w:lang w:val="es-ES_tradnl"/>
        </w:rPr>
        <w:t>-</w:t>
      </w:r>
      <w:r w:rsidR="0065609C">
        <w:rPr>
          <w:lang w:val="es-ES_tradnl"/>
        </w:rPr>
        <w:t>,</w:t>
      </w:r>
      <w:r>
        <w:rPr>
          <w:lang w:val="es-ES_tradnl"/>
        </w:rPr>
        <w:t xml:space="preserve"> el acuífero no es capaz de entregar el volumen de agua requerido para satisfacer el balance, lo cual determina una condición de déficit. </w:t>
      </w:r>
    </w:p>
    <w:p w:rsidR="00427B1E" w:rsidRDefault="00427B1E" w:rsidP="00427B1E">
      <w:pPr>
        <w:rPr>
          <w:lang w:val="es-ES_tradnl"/>
        </w:rPr>
      </w:pPr>
    </w:p>
    <w:p w:rsidR="00427B1E" w:rsidRDefault="00427B1E" w:rsidP="00427B1E">
      <w:pPr>
        <w:rPr>
          <w:lang w:val="es-ES_tradnl"/>
        </w:rPr>
      </w:pPr>
      <w:r>
        <w:rPr>
          <w:lang w:val="es-ES_tradnl"/>
        </w:rPr>
        <w:t xml:space="preserve">-Si </w:t>
      </w:r>
      <w:r>
        <w:rPr>
          <w:rFonts w:cs="Arial"/>
          <w:i/>
          <w:lang w:val="es-ES_tradnl"/>
        </w:rPr>
        <w:t>Δ</w:t>
      </w:r>
      <w:r>
        <w:rPr>
          <w:i/>
          <w:lang w:val="es-ES_tradnl"/>
        </w:rPr>
        <w:t>G</w:t>
      </w:r>
      <w:r>
        <w:rPr>
          <w:vertAlign w:val="superscript"/>
          <w:lang w:val="es-ES_tradnl"/>
        </w:rPr>
        <w:t>-</w:t>
      </w:r>
      <w:r>
        <w:rPr>
          <w:lang w:val="es-ES_tradnl"/>
        </w:rPr>
        <w:t xml:space="preserve"> &lt; </w:t>
      </w:r>
      <w:r w:rsidRPr="005B0558">
        <w:rPr>
          <w:rFonts w:cs="Arial"/>
          <w:i/>
          <w:lang w:val="es-ES_tradnl"/>
        </w:rPr>
        <w:t>Δ</w:t>
      </w:r>
      <w:r>
        <w:rPr>
          <w:rFonts w:cs="Arial"/>
          <w:i/>
          <w:lang w:val="es-ES_tradnl"/>
        </w:rPr>
        <w:t xml:space="preserve"> </w:t>
      </w:r>
      <w:r>
        <w:rPr>
          <w:lang w:val="es-ES_tradnl"/>
        </w:rPr>
        <w:t xml:space="preserve">&lt; 0, el acuífero es capaz de entregar el caudal requerido para satisfacer el balance. </w:t>
      </w:r>
    </w:p>
    <w:p w:rsidR="00427B1E" w:rsidRDefault="00427B1E" w:rsidP="00427B1E">
      <w:pPr>
        <w:rPr>
          <w:lang w:val="es-ES_tradnl"/>
        </w:rPr>
      </w:pPr>
    </w:p>
    <w:p w:rsidR="00427B1E" w:rsidRDefault="00427B1E" w:rsidP="00427B1E">
      <w:pPr>
        <w:rPr>
          <w:rFonts w:cs="Arial"/>
          <w:lang w:val="es-ES_tradnl"/>
        </w:rPr>
      </w:pPr>
      <w:r>
        <w:rPr>
          <w:lang w:val="es-ES_tradnl"/>
        </w:rPr>
        <w:t xml:space="preserve">-Si </w:t>
      </w:r>
      <w:r>
        <w:rPr>
          <w:rFonts w:cs="Arial"/>
          <w:i/>
          <w:lang w:val="es-ES_tradnl"/>
        </w:rPr>
        <w:t>Δ</w:t>
      </w:r>
      <w:r>
        <w:rPr>
          <w:i/>
          <w:lang w:val="es-ES_tradnl"/>
        </w:rPr>
        <w:t>G</w:t>
      </w:r>
      <w:r>
        <w:rPr>
          <w:vertAlign w:val="superscript"/>
          <w:lang w:val="es-ES_tradnl"/>
        </w:rPr>
        <w:t>+</w:t>
      </w:r>
      <w:r>
        <w:rPr>
          <w:lang w:val="es-ES_tradnl"/>
        </w:rPr>
        <w:t xml:space="preserve"> &gt; </w:t>
      </w:r>
      <w:r w:rsidRPr="005B0558">
        <w:rPr>
          <w:rFonts w:cs="Arial"/>
          <w:i/>
          <w:lang w:val="es-ES_tradnl"/>
        </w:rPr>
        <w:t>Δ</w:t>
      </w:r>
      <w:r>
        <w:rPr>
          <w:rFonts w:cs="Arial"/>
          <w:i/>
          <w:lang w:val="es-ES_tradnl"/>
        </w:rPr>
        <w:t xml:space="preserve"> &gt; </w:t>
      </w:r>
      <w:r>
        <w:rPr>
          <w:rFonts w:cs="Arial"/>
          <w:lang w:val="es-ES_tradnl"/>
        </w:rPr>
        <w:t xml:space="preserve">0, el balance puede satisfacerse sólo con el flujo superficial. </w:t>
      </w:r>
    </w:p>
    <w:p w:rsidR="00427B1E" w:rsidRDefault="00427B1E" w:rsidP="00427B1E">
      <w:pPr>
        <w:rPr>
          <w:lang w:val="es-ES_tradnl"/>
        </w:rPr>
      </w:pPr>
    </w:p>
    <w:p w:rsidR="00427B1E" w:rsidRDefault="00427B1E" w:rsidP="00427B1E">
      <w:pPr>
        <w:rPr>
          <w:rFonts w:cs="Arial"/>
          <w:lang w:val="es-ES_tradnl"/>
        </w:rPr>
      </w:pPr>
      <w:r>
        <w:rPr>
          <w:lang w:val="es-ES_tradnl"/>
        </w:rPr>
        <w:t xml:space="preserve">-Si </w:t>
      </w:r>
      <w:r>
        <w:rPr>
          <w:rFonts w:cs="Arial"/>
          <w:i/>
          <w:lang w:val="es-ES_tradnl"/>
        </w:rPr>
        <w:t>Δ</w:t>
      </w:r>
      <w:r>
        <w:rPr>
          <w:lang w:val="es-ES_tradnl"/>
        </w:rPr>
        <w:t xml:space="preserve"> &gt; </w:t>
      </w:r>
      <w:r w:rsidRPr="005B0558">
        <w:rPr>
          <w:rFonts w:cs="Arial"/>
          <w:i/>
          <w:lang w:val="es-ES_tradnl"/>
        </w:rPr>
        <w:t>Δ</w:t>
      </w:r>
      <w:r>
        <w:rPr>
          <w:i/>
          <w:lang w:val="es-ES_tradnl"/>
        </w:rPr>
        <w:t>G</w:t>
      </w:r>
      <w:r>
        <w:rPr>
          <w:vertAlign w:val="superscript"/>
          <w:lang w:val="es-ES_tradnl"/>
        </w:rPr>
        <w:t>+</w:t>
      </w:r>
      <w:r>
        <w:rPr>
          <w:rFonts w:cs="Arial"/>
          <w:i/>
          <w:lang w:val="es-ES_tradnl"/>
        </w:rPr>
        <w:t xml:space="preserve"> &gt; </w:t>
      </w:r>
      <w:r>
        <w:rPr>
          <w:rFonts w:cs="Arial"/>
          <w:lang w:val="es-ES_tradnl"/>
        </w:rPr>
        <w:t>0, el balance puede satisfacerse sólo con el flujo superficial y existe un volumen excedente que no constituye un aporte al acuífero</w:t>
      </w:r>
      <w:r w:rsidR="006D0A7F">
        <w:rPr>
          <w:rFonts w:cs="Arial"/>
          <w:lang w:val="es-ES_tradnl"/>
        </w:rPr>
        <w:t>, el cual puede corresponder por ejemplo a flujo subsuperficial.</w:t>
      </w:r>
    </w:p>
    <w:p w:rsidR="00427B1E" w:rsidRDefault="00427B1E" w:rsidP="0065609C">
      <w:pPr>
        <w:rPr>
          <w:lang w:val="es-ES_tradnl"/>
        </w:rPr>
      </w:pPr>
    </w:p>
    <w:p w:rsidR="00427B1E" w:rsidRDefault="00427B1E" w:rsidP="00145762">
      <w:pPr>
        <w:numPr>
          <w:ilvl w:val="0"/>
          <w:numId w:val="31"/>
        </w:numPr>
        <w:rPr>
          <w:lang w:val="es-ES_tradnl"/>
        </w:rPr>
      </w:pPr>
      <w:r>
        <w:rPr>
          <w:lang w:val="es-ES_tradnl"/>
        </w:rPr>
        <w:t>Cuencas costeras</w:t>
      </w:r>
    </w:p>
    <w:p w:rsidR="00427B1E" w:rsidRDefault="00427B1E" w:rsidP="0065609C">
      <w:pPr>
        <w:rPr>
          <w:lang w:val="es-ES_tradnl"/>
        </w:rPr>
      </w:pPr>
    </w:p>
    <w:p w:rsidR="00427B1E" w:rsidRPr="002B096E" w:rsidRDefault="00427B1E" w:rsidP="0065609C">
      <w:pPr>
        <w:rPr>
          <w:lang w:val="es-ES_tradnl"/>
        </w:rPr>
      </w:pPr>
      <w:r>
        <w:rPr>
          <w:lang w:val="es-ES_tradnl"/>
        </w:rPr>
        <w:t>Se distingue entre 2 casos:</w:t>
      </w:r>
    </w:p>
    <w:p w:rsidR="00427B1E" w:rsidRDefault="00427B1E" w:rsidP="0065609C">
      <w:pPr>
        <w:rPr>
          <w:lang w:val="es-ES_tradnl"/>
        </w:rPr>
      </w:pPr>
    </w:p>
    <w:p w:rsidR="00427B1E" w:rsidRDefault="00427B1E" w:rsidP="0065609C">
      <w:r>
        <w:t xml:space="preserve">-Si </w:t>
      </w:r>
      <w:r w:rsidRPr="00A44BEB">
        <w:rPr>
          <w:i/>
        </w:rPr>
        <w:t>Qs</w:t>
      </w:r>
      <w:r>
        <w:t xml:space="preserve"> &lt; 0, la cuenca presenta un déficit del recurso hídrico.</w:t>
      </w:r>
    </w:p>
    <w:p w:rsidR="00427B1E" w:rsidRDefault="00427B1E" w:rsidP="0065609C"/>
    <w:p w:rsidR="00427B1E" w:rsidRDefault="00427B1E" w:rsidP="0065609C">
      <w:r>
        <w:t xml:space="preserve">-Si </w:t>
      </w:r>
      <w:r w:rsidRPr="00A44BEB">
        <w:rPr>
          <w:i/>
        </w:rPr>
        <w:t>Qs</w:t>
      </w:r>
      <w:r>
        <w:t xml:space="preserve"> &gt; 0, es posible satisfacer las demandas. </w:t>
      </w:r>
    </w:p>
    <w:p w:rsidR="00C45E03" w:rsidRPr="00895910" w:rsidRDefault="00C45E03" w:rsidP="00C45E03">
      <w:pPr>
        <w:pStyle w:val="NormalSangra"/>
        <w:ind w:firstLine="0"/>
      </w:pPr>
    </w:p>
    <w:p w:rsidR="00C45E03" w:rsidRDefault="0065609C" w:rsidP="0065609C">
      <w:pPr>
        <w:pStyle w:val="Ttulo2"/>
      </w:pPr>
      <w:bookmarkStart w:id="430" w:name="_Toc344391851"/>
      <w:r>
        <w:t>Resultados del Balance</w:t>
      </w:r>
      <w:bookmarkEnd w:id="430"/>
    </w:p>
    <w:p w:rsidR="00F67420" w:rsidRPr="00F67420" w:rsidRDefault="00F67420" w:rsidP="00F67420"/>
    <w:p w:rsidR="00BA678B" w:rsidRDefault="0065609C" w:rsidP="0065609C">
      <w:pPr>
        <w:pStyle w:val="NormalSangra"/>
        <w:ind w:firstLine="0"/>
        <w:rPr>
          <w:sz w:val="22"/>
          <w:szCs w:val="22"/>
          <w:lang w:val="es-ES_tradnl"/>
        </w:rPr>
      </w:pPr>
      <w:r w:rsidRPr="006F1ECF">
        <w:rPr>
          <w:sz w:val="22"/>
          <w:szCs w:val="22"/>
          <w:lang w:val="es-ES_tradnl"/>
        </w:rPr>
        <w:t>A continuación se mues</w:t>
      </w:r>
      <w:r>
        <w:rPr>
          <w:sz w:val="22"/>
          <w:szCs w:val="22"/>
          <w:lang w:val="es-ES_tradnl"/>
        </w:rPr>
        <w:t xml:space="preserve">tran los resultados de balance para los distintos escenarios considerados en este estudio. </w:t>
      </w:r>
    </w:p>
    <w:p w:rsidR="00BA678B" w:rsidRDefault="00BA678B" w:rsidP="0065609C">
      <w:pPr>
        <w:pStyle w:val="NormalSangra"/>
        <w:ind w:firstLine="0"/>
        <w:rPr>
          <w:sz w:val="22"/>
          <w:szCs w:val="22"/>
          <w:lang w:val="es-ES_tradnl"/>
        </w:rPr>
      </w:pPr>
    </w:p>
    <w:p w:rsidR="0065609C" w:rsidRDefault="0065609C" w:rsidP="0065609C">
      <w:pPr>
        <w:pStyle w:val="NormalSangra"/>
        <w:ind w:firstLine="0"/>
        <w:rPr>
          <w:sz w:val="22"/>
          <w:szCs w:val="22"/>
          <w:lang w:val="es-ES_tradnl"/>
        </w:rPr>
      </w:pPr>
      <w:r>
        <w:rPr>
          <w:sz w:val="22"/>
          <w:szCs w:val="22"/>
          <w:lang w:val="es-ES_tradnl"/>
        </w:rPr>
        <w:t xml:space="preserve">Se </w:t>
      </w:r>
      <w:r w:rsidR="006D0A7F">
        <w:rPr>
          <w:sz w:val="22"/>
          <w:szCs w:val="22"/>
          <w:lang w:val="es-ES_tradnl"/>
        </w:rPr>
        <w:t>distingue entre cuencas interiores</w:t>
      </w:r>
      <w:r>
        <w:rPr>
          <w:sz w:val="22"/>
          <w:szCs w:val="22"/>
          <w:lang w:val="es-ES_tradnl"/>
        </w:rPr>
        <w:t xml:space="preserve"> y cuencas costeras de la región.</w:t>
      </w:r>
    </w:p>
    <w:p w:rsidR="0065609C" w:rsidRDefault="0065609C" w:rsidP="0065609C">
      <w:pPr>
        <w:pStyle w:val="NormalSangra"/>
        <w:ind w:firstLine="0"/>
        <w:rPr>
          <w:sz w:val="22"/>
          <w:szCs w:val="22"/>
          <w:lang w:val="es-ES_tradnl"/>
        </w:rPr>
      </w:pPr>
    </w:p>
    <w:p w:rsidR="0065609C" w:rsidRDefault="0065609C" w:rsidP="0065609C">
      <w:pPr>
        <w:pStyle w:val="Ttulo3"/>
        <w:rPr>
          <w:lang w:val="es-ES_tradnl"/>
        </w:rPr>
      </w:pPr>
      <w:bookmarkStart w:id="431" w:name="_Toc344391852"/>
      <w:r>
        <w:rPr>
          <w:lang w:val="es-ES_tradnl"/>
        </w:rPr>
        <w:t>Escenario Actual</w:t>
      </w:r>
      <w:bookmarkEnd w:id="431"/>
    </w:p>
    <w:p w:rsidR="00C45E03" w:rsidRDefault="00C45E03" w:rsidP="0065609C">
      <w:pPr>
        <w:rPr>
          <w:lang w:val="es-ES_tradnl"/>
        </w:rPr>
      </w:pPr>
    </w:p>
    <w:p w:rsidR="00CF684F" w:rsidRDefault="0065609C" w:rsidP="00CF684F">
      <w:pPr>
        <w:rPr>
          <w:lang w:val="es-ES_tradnl"/>
        </w:rPr>
      </w:pPr>
      <w:r>
        <w:rPr>
          <w:lang w:val="es-ES_tradnl"/>
        </w:rPr>
        <w:t>Los resultados obtenidos en las cuencas inter</w:t>
      </w:r>
      <w:r w:rsidR="006D0A7F">
        <w:rPr>
          <w:lang w:val="es-ES_tradnl"/>
        </w:rPr>
        <w:t>iores</w:t>
      </w:r>
      <w:r>
        <w:rPr>
          <w:lang w:val="es-ES_tradnl"/>
        </w:rPr>
        <w:t xml:space="preserve"> se muestran en las </w:t>
      </w:r>
      <w:r>
        <w:rPr>
          <w:lang w:val="es-ES_tradnl"/>
        </w:rPr>
        <w:fldChar w:fldCharType="begin"/>
      </w:r>
      <w:r>
        <w:rPr>
          <w:lang w:val="es-ES_tradnl"/>
        </w:rPr>
        <w:instrText xml:space="preserve"> REF _Ref343851847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12</w:t>
      </w:r>
      <w:r>
        <w:rPr>
          <w:lang w:val="es-ES_tradnl"/>
        </w:rPr>
        <w:fldChar w:fldCharType="end"/>
      </w:r>
      <w:r>
        <w:rPr>
          <w:lang w:val="es-ES_tradnl"/>
        </w:rPr>
        <w:t xml:space="preserve"> y </w:t>
      </w:r>
      <w:r>
        <w:rPr>
          <w:lang w:val="es-ES_tradnl"/>
        </w:rPr>
        <w:fldChar w:fldCharType="begin"/>
      </w:r>
      <w:r>
        <w:rPr>
          <w:lang w:val="es-ES_tradnl"/>
        </w:rPr>
        <w:instrText xml:space="preserve"> REF _Ref343851853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13</w:t>
      </w:r>
      <w:r>
        <w:rPr>
          <w:lang w:val="es-ES_tradnl"/>
        </w:rPr>
        <w:fldChar w:fldCharType="end"/>
      </w:r>
      <w:r>
        <w:rPr>
          <w:lang w:val="es-ES_tradnl"/>
        </w:rPr>
        <w:t>.</w:t>
      </w:r>
      <w:r w:rsidR="00CF684F">
        <w:rPr>
          <w:lang w:val="es-ES_tradnl"/>
        </w:rPr>
        <w:t xml:space="preserve"> La columna final indica el estado de la subcuenca en función de lo señalado en el punto anterior.</w:t>
      </w:r>
    </w:p>
    <w:p w:rsidR="0065609C" w:rsidRPr="006755F8" w:rsidRDefault="0065609C" w:rsidP="0065609C">
      <w:pPr>
        <w:pStyle w:val="NormalSangra"/>
        <w:ind w:firstLine="0"/>
        <w:rPr>
          <w:lang w:val="es-ES_tradnl"/>
        </w:rPr>
      </w:pPr>
    </w:p>
    <w:p w:rsidR="0065609C" w:rsidRDefault="0065609C" w:rsidP="0065609C">
      <w:pPr>
        <w:pStyle w:val="Epgrafe"/>
        <w:keepNext/>
      </w:pPr>
      <w:bookmarkStart w:id="432" w:name="_Ref343851847"/>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12</w:t>
      </w:r>
      <w:r w:rsidR="007F3102">
        <w:fldChar w:fldCharType="end"/>
      </w:r>
      <w:bookmarkEnd w:id="432"/>
      <w:r>
        <w:t xml:space="preserve"> Bala</w:t>
      </w:r>
      <w:r w:rsidR="00CF684F">
        <w:t>nce Hídrico en Cuencas Interiores</w:t>
      </w:r>
      <w:r>
        <w:t>, Escenario Actual y Condición Media</w:t>
      </w:r>
    </w:p>
    <w:tbl>
      <w:tblPr>
        <w:tblW w:w="8940" w:type="dxa"/>
        <w:jc w:val="center"/>
        <w:tblInd w:w="65" w:type="dxa"/>
        <w:tblCellMar>
          <w:left w:w="70" w:type="dxa"/>
          <w:right w:w="70" w:type="dxa"/>
        </w:tblCellMar>
        <w:tblLook w:val="04A0" w:firstRow="1" w:lastRow="0" w:firstColumn="1" w:lastColumn="0" w:noHBand="0" w:noVBand="1"/>
      </w:tblPr>
      <w:tblGrid>
        <w:gridCol w:w="958"/>
        <w:gridCol w:w="865"/>
        <w:gridCol w:w="865"/>
        <w:gridCol w:w="865"/>
        <w:gridCol w:w="866"/>
        <w:gridCol w:w="866"/>
        <w:gridCol w:w="866"/>
        <w:gridCol w:w="866"/>
        <w:gridCol w:w="866"/>
        <w:gridCol w:w="1057"/>
      </w:tblGrid>
      <w:tr w:rsidR="006D0A7F" w:rsidRPr="0065609C">
        <w:trPr>
          <w:trHeight w:val="225"/>
          <w:jc w:val="center"/>
        </w:trPr>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Cuenca</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P [mm]</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Qe [l/s]</w:t>
            </w:r>
          </w:p>
        </w:tc>
        <w:tc>
          <w:tcPr>
            <w:tcW w:w="865"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E [mm]</w:t>
            </w:r>
          </w:p>
        </w:tc>
        <w:tc>
          <w:tcPr>
            <w:tcW w:w="866"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D [l/s]</w:t>
            </w:r>
          </w:p>
        </w:tc>
        <w:tc>
          <w:tcPr>
            <w:tcW w:w="866"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Qs [l/s]</w:t>
            </w:r>
          </w:p>
        </w:tc>
        <w:tc>
          <w:tcPr>
            <w:tcW w:w="866"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ascii="Calibri" w:hAnsi="Calibri" w:cs="Arial"/>
                <w:color w:val="000000"/>
                <w:sz w:val="16"/>
                <w:szCs w:val="16"/>
                <w:lang w:val="es-CL" w:eastAsia="es-CL"/>
              </w:rPr>
              <w:t>Δ</w:t>
            </w:r>
            <w:r w:rsidRPr="0065609C">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ascii="Calibri" w:hAnsi="Calibri" w:cs="Arial"/>
                <w:color w:val="000000"/>
                <w:sz w:val="16"/>
                <w:szCs w:val="16"/>
                <w:lang w:val="es-CL" w:eastAsia="es-CL"/>
              </w:rPr>
              <w:t>ΔG-</w:t>
            </w:r>
            <w:r w:rsidRPr="0065609C">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ascii="Calibri" w:hAnsi="Calibri" w:cs="Arial"/>
                <w:color w:val="000000"/>
                <w:sz w:val="16"/>
                <w:szCs w:val="16"/>
                <w:lang w:val="es-CL" w:eastAsia="es-CL"/>
              </w:rPr>
              <w:t>ΔG+</w:t>
            </w:r>
            <w:r w:rsidRPr="0065609C">
              <w:rPr>
                <w:rFonts w:cs="Arial"/>
                <w:color w:val="000000"/>
                <w:sz w:val="16"/>
                <w:szCs w:val="16"/>
                <w:lang w:val="es-CL" w:eastAsia="es-CL"/>
              </w:rPr>
              <w:t xml:space="preserve"> [l/s]</w:t>
            </w:r>
          </w:p>
        </w:tc>
        <w:tc>
          <w:tcPr>
            <w:tcW w:w="1057" w:type="dxa"/>
            <w:tcBorders>
              <w:top w:val="single" w:sz="4" w:space="0" w:color="auto"/>
              <w:left w:val="nil"/>
              <w:bottom w:val="single" w:sz="4" w:space="0" w:color="auto"/>
              <w:right w:val="single" w:sz="4" w:space="0" w:color="auto"/>
            </w:tcBorders>
            <w:vAlign w:val="center"/>
          </w:tcPr>
          <w:p w:rsidR="006D0A7F" w:rsidRPr="006D0A7F" w:rsidRDefault="006D0A7F" w:rsidP="006D0A7F">
            <w:pPr>
              <w:jc w:val="center"/>
              <w:rPr>
                <w:rFonts w:cs="Arial"/>
                <w:color w:val="000000"/>
                <w:sz w:val="16"/>
                <w:szCs w:val="16"/>
                <w:lang w:val="es-CL" w:eastAsia="es-CL"/>
              </w:rPr>
            </w:pPr>
            <w:r w:rsidRPr="006D0A7F">
              <w:rPr>
                <w:rFonts w:cs="Arial"/>
                <w:color w:val="000000"/>
                <w:sz w:val="16"/>
                <w:szCs w:val="16"/>
                <w:lang w:val="es-CL" w:eastAsia="es-CL"/>
              </w:rPr>
              <w:t>Estado</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0571</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752</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373</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3835</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4916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-237</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-1650</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1584</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A.Subt.C.B**</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0600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1568</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456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3682</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92593</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-887</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rPr>
                <w:rFonts w:cs="Arial"/>
                <w:color w:val="000000"/>
                <w:sz w:val="16"/>
                <w:szCs w:val="16"/>
                <w:lang w:val="es-CL" w:eastAsia="es-CL"/>
              </w:rPr>
            </w:pPr>
            <w:r>
              <w:rPr>
                <w:rFonts w:cs="Arial"/>
                <w:color w:val="000000"/>
                <w:sz w:val="16"/>
                <w:szCs w:val="16"/>
                <w:lang w:val="es-CL" w:eastAsia="es-CL"/>
              </w:rPr>
              <w:t>A.Sup.C.B*</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0601</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702</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96065</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326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46116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90534</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2233</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-13801</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13281</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A.Sup.C.B*</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0602-0603</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1117</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434</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28216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59522</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-2616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-7991</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7035</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A.Subt.C.B**</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0604</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560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331</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5946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5063</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-659</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s/i</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s/i</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Déficit</w:t>
            </w: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b/>
                <w:bCs/>
                <w:color w:val="000000"/>
                <w:sz w:val="16"/>
                <w:szCs w:val="16"/>
                <w:lang w:val="es-CL" w:eastAsia="es-CL"/>
              </w:rPr>
            </w:pPr>
            <w:r w:rsidRPr="0065609C">
              <w:rPr>
                <w:rFonts w:cs="Arial"/>
                <w:b/>
                <w:bCs/>
                <w:color w:val="000000"/>
                <w:sz w:val="16"/>
                <w:szCs w:val="16"/>
                <w:lang w:val="es-CL" w:eastAsia="es-CL"/>
              </w:rPr>
              <w:t>0605</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584</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157034</w:t>
            </w:r>
          </w:p>
        </w:tc>
        <w:tc>
          <w:tcPr>
            <w:tcW w:w="865"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409</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6890</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156506</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5333</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-5668</w:t>
            </w:r>
          </w:p>
        </w:tc>
        <w:tc>
          <w:tcPr>
            <w:tcW w:w="866" w:type="dxa"/>
            <w:tcBorders>
              <w:top w:val="nil"/>
              <w:left w:val="nil"/>
              <w:bottom w:val="single" w:sz="4" w:space="0" w:color="auto"/>
              <w:right w:val="single" w:sz="4" w:space="0" w:color="auto"/>
            </w:tcBorders>
            <w:shd w:val="clear" w:color="auto" w:fill="auto"/>
            <w:noWrap/>
            <w:vAlign w:val="center"/>
          </w:tcPr>
          <w:p w:rsidR="006D0A7F" w:rsidRPr="0065609C" w:rsidRDefault="006D0A7F" w:rsidP="006D0A7F">
            <w:pPr>
              <w:jc w:val="center"/>
              <w:rPr>
                <w:rFonts w:cs="Arial"/>
                <w:color w:val="000000"/>
                <w:sz w:val="16"/>
                <w:szCs w:val="16"/>
                <w:lang w:val="es-CL" w:eastAsia="es-CL"/>
              </w:rPr>
            </w:pPr>
            <w:r w:rsidRPr="0065609C">
              <w:rPr>
                <w:rFonts w:cs="Arial"/>
                <w:color w:val="000000"/>
                <w:sz w:val="16"/>
                <w:szCs w:val="16"/>
                <w:lang w:val="es-CL" w:eastAsia="es-CL"/>
              </w:rPr>
              <w:t>5640</w:t>
            </w:r>
          </w:p>
        </w:tc>
        <w:tc>
          <w:tcPr>
            <w:tcW w:w="1057" w:type="dxa"/>
            <w:tcBorders>
              <w:top w:val="nil"/>
              <w:left w:val="nil"/>
              <w:bottom w:val="single" w:sz="4" w:space="0" w:color="auto"/>
              <w:right w:val="single" w:sz="4" w:space="0" w:color="auto"/>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A.Sup.C.B*</w:t>
            </w:r>
          </w:p>
        </w:tc>
      </w:tr>
    </w:tbl>
    <w:p w:rsidR="006D0A7F" w:rsidRPr="00C57DCF" w:rsidRDefault="006D0A7F" w:rsidP="006D0A7F">
      <w:pPr>
        <w:jc w:val="center"/>
        <w:rPr>
          <w:sz w:val="16"/>
          <w:szCs w:val="16"/>
          <w:lang w:val="es-ES_tradnl"/>
        </w:rPr>
      </w:pPr>
      <w:r w:rsidRPr="00C57DCF">
        <w:rPr>
          <w:sz w:val="16"/>
          <w:szCs w:val="16"/>
          <w:lang w:val="es-ES_tradnl"/>
        </w:rPr>
        <w:t>*</w:t>
      </w:r>
      <w:r>
        <w:rPr>
          <w:sz w:val="16"/>
          <w:szCs w:val="16"/>
          <w:lang w:val="es-ES_tradnl"/>
        </w:rPr>
        <w:t>Agua Superficial Cubre Balance. ** Agua Subterránea Cubre Balance</w:t>
      </w:r>
    </w:p>
    <w:p w:rsidR="0065609C" w:rsidRDefault="0065609C" w:rsidP="0065609C">
      <w:pPr>
        <w:rPr>
          <w:lang w:val="es-ES_tradnl"/>
        </w:rPr>
      </w:pPr>
    </w:p>
    <w:p w:rsidR="0065609C" w:rsidRDefault="0065609C" w:rsidP="0065609C">
      <w:pPr>
        <w:pStyle w:val="Epgrafe"/>
        <w:keepNext/>
      </w:pPr>
      <w:bookmarkStart w:id="433" w:name="_Ref343851853"/>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bookmarkEnd w:id="433"/>
      <w:r>
        <w:t xml:space="preserve"> Balance Hídrico</w:t>
      </w:r>
      <w:r w:rsidR="00CF684F">
        <w:t xml:space="preserve"> en Cuencas Interiores</w:t>
      </w:r>
      <w:r>
        <w:t>, Escenario Actual y Condición 85% de Probabilidad de Excedencia</w:t>
      </w:r>
    </w:p>
    <w:tbl>
      <w:tblPr>
        <w:tblW w:w="9086" w:type="dxa"/>
        <w:jc w:val="center"/>
        <w:tblInd w:w="65" w:type="dxa"/>
        <w:tblCellMar>
          <w:left w:w="70" w:type="dxa"/>
          <w:right w:w="70" w:type="dxa"/>
        </w:tblCellMar>
        <w:tblLook w:val="04A0" w:firstRow="1" w:lastRow="0" w:firstColumn="1" w:lastColumn="0" w:noHBand="0" w:noVBand="1"/>
      </w:tblPr>
      <w:tblGrid>
        <w:gridCol w:w="958"/>
        <w:gridCol w:w="865"/>
        <w:gridCol w:w="865"/>
        <w:gridCol w:w="865"/>
        <w:gridCol w:w="866"/>
        <w:gridCol w:w="866"/>
        <w:gridCol w:w="866"/>
        <w:gridCol w:w="866"/>
        <w:gridCol w:w="866"/>
        <w:gridCol w:w="1057"/>
        <w:gridCol w:w="146"/>
      </w:tblGrid>
      <w:tr w:rsidR="006D0A7F" w:rsidRPr="0065609C">
        <w:trPr>
          <w:trHeight w:val="225"/>
          <w:jc w:val="center"/>
        </w:trPr>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Cuenca</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P [mm]</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Qe [l/s]</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E [mm]</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D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Qs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ascii="Calibri" w:hAnsi="Calibri" w:cs="Arial"/>
                <w:color w:val="000000"/>
                <w:sz w:val="16"/>
                <w:szCs w:val="16"/>
                <w:lang w:val="es-CL" w:eastAsia="es-CL"/>
              </w:rPr>
              <w:t>Δ</w:t>
            </w:r>
            <w:r w:rsidRPr="0065609C">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ascii="Calibri" w:hAnsi="Calibri" w:cs="Arial"/>
                <w:color w:val="000000"/>
                <w:sz w:val="16"/>
                <w:szCs w:val="16"/>
                <w:lang w:val="es-CL" w:eastAsia="es-CL"/>
              </w:rPr>
              <w:t>ΔG+</w:t>
            </w:r>
            <w:r w:rsidRPr="0065609C">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ascii="Calibri" w:hAnsi="Calibri" w:cs="Arial"/>
                <w:color w:val="000000"/>
                <w:sz w:val="16"/>
                <w:szCs w:val="16"/>
                <w:lang w:val="es-CL" w:eastAsia="es-CL"/>
              </w:rPr>
              <w:t>ΔG-</w:t>
            </w:r>
            <w:r w:rsidRPr="0065609C">
              <w:rPr>
                <w:rFonts w:cs="Arial"/>
                <w:color w:val="000000"/>
                <w:sz w:val="16"/>
                <w:szCs w:val="16"/>
                <w:lang w:val="es-CL" w:eastAsia="es-CL"/>
              </w:rPr>
              <w:t xml:space="preserve"> [l/s]</w:t>
            </w:r>
          </w:p>
        </w:tc>
        <w:tc>
          <w:tcPr>
            <w:tcW w:w="1057" w:type="dxa"/>
            <w:tcBorders>
              <w:top w:val="single" w:sz="4" w:space="0" w:color="auto"/>
              <w:left w:val="nil"/>
              <w:bottom w:val="single" w:sz="4" w:space="0" w:color="auto"/>
              <w:right w:val="nil"/>
            </w:tcBorders>
            <w:vAlign w:val="center"/>
          </w:tcPr>
          <w:p w:rsidR="006D0A7F" w:rsidRPr="006D0A7F" w:rsidRDefault="006D0A7F" w:rsidP="006D0A7F">
            <w:pPr>
              <w:jc w:val="center"/>
              <w:rPr>
                <w:rFonts w:cs="Arial"/>
                <w:color w:val="000000"/>
                <w:sz w:val="16"/>
                <w:szCs w:val="16"/>
                <w:lang w:val="es-CL" w:eastAsia="es-CL"/>
              </w:rPr>
            </w:pPr>
            <w:r w:rsidRPr="006D0A7F">
              <w:rPr>
                <w:rFonts w:cs="Arial"/>
                <w:color w:val="000000"/>
                <w:sz w:val="16"/>
                <w:szCs w:val="16"/>
                <w:lang w:val="es-CL" w:eastAsia="es-CL"/>
              </w:rPr>
              <w:t>Estado</w:t>
            </w:r>
          </w:p>
        </w:tc>
        <w:tc>
          <w:tcPr>
            <w:tcW w:w="146" w:type="dxa"/>
            <w:tcBorders>
              <w:top w:val="single" w:sz="4" w:space="0" w:color="auto"/>
              <w:left w:val="nil"/>
              <w:bottom w:val="single" w:sz="4" w:space="0" w:color="auto"/>
              <w:right w:val="single" w:sz="4" w:space="0" w:color="auto"/>
            </w:tcBorders>
          </w:tcPr>
          <w:p w:rsidR="006D0A7F" w:rsidRPr="0065609C" w:rsidRDefault="006D0A7F" w:rsidP="0065609C">
            <w:pPr>
              <w:jc w:val="center"/>
              <w:rPr>
                <w:rFonts w:ascii="Calibri" w:hAnsi="Calibri"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0571</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410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292</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3835</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2611</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-3789</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-1650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1584</w:t>
            </w:r>
          </w:p>
        </w:tc>
        <w:tc>
          <w:tcPr>
            <w:tcW w:w="1057" w:type="dxa"/>
            <w:tcBorders>
              <w:top w:val="nil"/>
              <w:left w:val="nil"/>
              <w:bottom w:val="single" w:sz="4" w:space="0" w:color="auto"/>
              <w:right w:val="nil"/>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0600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908</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437</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3682</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66212</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-29561</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1057" w:type="dxa"/>
            <w:tcBorders>
              <w:top w:val="nil"/>
              <w:left w:val="nil"/>
              <w:bottom w:val="single" w:sz="4" w:space="0" w:color="auto"/>
              <w:right w:val="nil"/>
            </w:tcBorders>
            <w:vAlign w:val="center"/>
          </w:tcPr>
          <w:p w:rsidR="006D0A7F" w:rsidRPr="0065609C" w:rsidRDefault="006D0A7F" w:rsidP="006D0A7F">
            <w:pP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0601</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419</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66212</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253</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46116</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48250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-9183</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-13801</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13281</w:t>
            </w:r>
          </w:p>
        </w:tc>
        <w:tc>
          <w:tcPr>
            <w:tcW w:w="1057" w:type="dxa"/>
            <w:tcBorders>
              <w:top w:val="nil"/>
              <w:left w:val="nil"/>
              <w:bottom w:val="single" w:sz="4" w:space="0" w:color="auto"/>
              <w:right w:val="nil"/>
            </w:tcBorders>
            <w:vAlign w:val="center"/>
          </w:tcPr>
          <w:p w:rsidR="006D0A7F" w:rsidRPr="0065609C" w:rsidRDefault="00CF684F" w:rsidP="006D0A7F">
            <w:pPr>
              <w:jc w:val="center"/>
              <w:rPr>
                <w:rFonts w:cs="Arial"/>
                <w:color w:val="000000"/>
                <w:sz w:val="16"/>
                <w:szCs w:val="16"/>
                <w:lang w:val="es-CL" w:eastAsia="es-CL"/>
              </w:rPr>
            </w:pPr>
            <w:r>
              <w:rPr>
                <w:rFonts w:cs="Arial"/>
                <w:color w:val="000000"/>
                <w:sz w:val="16"/>
                <w:szCs w:val="16"/>
                <w:lang w:val="es-CL" w:eastAsia="es-CL"/>
              </w:rPr>
              <w:t>A.Subt</w:t>
            </w:r>
            <w:r w:rsidR="006D0A7F">
              <w:rPr>
                <w:rFonts w:cs="Arial"/>
                <w:color w:val="000000"/>
                <w:sz w:val="16"/>
                <w:szCs w:val="16"/>
                <w:lang w:val="es-CL" w:eastAsia="es-CL"/>
              </w:rPr>
              <w:t>.C.B*</w:t>
            </w:r>
            <w:r>
              <w:rPr>
                <w:rFonts w:cs="Arial"/>
                <w:color w:val="000000"/>
                <w:sz w:val="16"/>
                <w:szCs w:val="16"/>
                <w:lang w:val="es-CL" w:eastAsia="es-CL"/>
              </w:rPr>
              <w:t>*</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0602-0603</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703</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391</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28216</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22722</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-12020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-7991</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7035</w:t>
            </w:r>
          </w:p>
        </w:tc>
        <w:tc>
          <w:tcPr>
            <w:tcW w:w="1057" w:type="dxa"/>
            <w:tcBorders>
              <w:top w:val="nil"/>
              <w:left w:val="nil"/>
              <w:bottom w:val="single" w:sz="4" w:space="0" w:color="auto"/>
              <w:right w:val="nil"/>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0604</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288</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219</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5946</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1069</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-3900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s/i</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s/i</w:t>
            </w:r>
          </w:p>
        </w:tc>
        <w:tc>
          <w:tcPr>
            <w:tcW w:w="1057" w:type="dxa"/>
            <w:tcBorders>
              <w:top w:val="nil"/>
              <w:left w:val="nil"/>
              <w:bottom w:val="single" w:sz="4" w:space="0" w:color="auto"/>
              <w:right w:val="nil"/>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r w:rsidR="006D0A7F" w:rsidRPr="0065609C">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b/>
                <w:bCs/>
                <w:color w:val="000000"/>
                <w:sz w:val="16"/>
                <w:szCs w:val="16"/>
                <w:lang w:val="es-CL" w:eastAsia="es-CL"/>
              </w:rPr>
            </w:pPr>
            <w:r w:rsidRPr="0065609C">
              <w:rPr>
                <w:rFonts w:cs="Arial"/>
                <w:b/>
                <w:bCs/>
                <w:color w:val="000000"/>
                <w:sz w:val="16"/>
                <w:szCs w:val="16"/>
                <w:lang w:val="es-CL" w:eastAsia="es-CL"/>
              </w:rPr>
              <w:t>0605</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357</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72041</w:t>
            </w:r>
          </w:p>
        </w:tc>
        <w:tc>
          <w:tcPr>
            <w:tcW w:w="865"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302</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6890</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80087</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-11223</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-5668</w:t>
            </w:r>
          </w:p>
        </w:tc>
        <w:tc>
          <w:tcPr>
            <w:tcW w:w="866" w:type="dxa"/>
            <w:tcBorders>
              <w:top w:val="nil"/>
              <w:left w:val="nil"/>
              <w:bottom w:val="single" w:sz="4" w:space="0" w:color="auto"/>
              <w:right w:val="single" w:sz="4" w:space="0" w:color="auto"/>
            </w:tcBorders>
            <w:shd w:val="clear" w:color="auto" w:fill="auto"/>
            <w:noWrap/>
            <w:vAlign w:val="bottom"/>
          </w:tcPr>
          <w:p w:rsidR="006D0A7F" w:rsidRPr="0065609C" w:rsidRDefault="006D0A7F" w:rsidP="0065609C">
            <w:pPr>
              <w:jc w:val="center"/>
              <w:rPr>
                <w:rFonts w:cs="Arial"/>
                <w:color w:val="000000"/>
                <w:sz w:val="16"/>
                <w:szCs w:val="16"/>
                <w:lang w:val="es-CL" w:eastAsia="es-CL"/>
              </w:rPr>
            </w:pPr>
            <w:r w:rsidRPr="0065609C">
              <w:rPr>
                <w:rFonts w:cs="Arial"/>
                <w:color w:val="000000"/>
                <w:sz w:val="16"/>
                <w:szCs w:val="16"/>
                <w:lang w:val="es-CL" w:eastAsia="es-CL"/>
              </w:rPr>
              <w:t>5640</w:t>
            </w:r>
          </w:p>
        </w:tc>
        <w:tc>
          <w:tcPr>
            <w:tcW w:w="1057" w:type="dxa"/>
            <w:tcBorders>
              <w:top w:val="nil"/>
              <w:left w:val="nil"/>
              <w:bottom w:val="single" w:sz="4" w:space="0" w:color="auto"/>
              <w:right w:val="nil"/>
            </w:tcBorders>
            <w:vAlign w:val="center"/>
          </w:tcPr>
          <w:p w:rsidR="006D0A7F" w:rsidRPr="0065609C" w:rsidRDefault="006D0A7F" w:rsidP="006D0A7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6D0A7F" w:rsidRPr="0065609C" w:rsidRDefault="006D0A7F" w:rsidP="0065609C">
            <w:pPr>
              <w:jc w:val="center"/>
              <w:rPr>
                <w:rFonts w:cs="Arial"/>
                <w:color w:val="000000"/>
                <w:sz w:val="16"/>
                <w:szCs w:val="16"/>
                <w:lang w:val="es-CL" w:eastAsia="es-CL"/>
              </w:rPr>
            </w:pPr>
          </w:p>
        </w:tc>
      </w:tr>
    </w:tbl>
    <w:p w:rsidR="00CF684F" w:rsidRPr="00C57DCF" w:rsidRDefault="00CF684F" w:rsidP="00CF684F">
      <w:pPr>
        <w:jc w:val="center"/>
        <w:rPr>
          <w:sz w:val="16"/>
          <w:szCs w:val="16"/>
          <w:lang w:val="es-ES_tradnl"/>
        </w:rPr>
      </w:pPr>
      <w:r w:rsidRPr="00C57DCF">
        <w:rPr>
          <w:sz w:val="16"/>
          <w:szCs w:val="16"/>
          <w:lang w:val="es-ES_tradnl"/>
        </w:rPr>
        <w:t>*</w:t>
      </w:r>
      <w:r>
        <w:rPr>
          <w:sz w:val="16"/>
          <w:szCs w:val="16"/>
          <w:lang w:val="es-ES_tradnl"/>
        </w:rPr>
        <w:t>Agua Superficial Cubre Balance. ** Agua Subterránea Cubre Balance</w:t>
      </w:r>
    </w:p>
    <w:p w:rsidR="0065609C" w:rsidRDefault="0065609C" w:rsidP="0065609C">
      <w:pPr>
        <w:rPr>
          <w:lang w:val="es-ES_tradnl"/>
        </w:rPr>
      </w:pPr>
    </w:p>
    <w:p w:rsidR="00BA678B" w:rsidRPr="003C2B3B" w:rsidRDefault="00BA678B" w:rsidP="00BA678B">
      <w:bookmarkStart w:id="434" w:name="_Ref343854483"/>
      <w:r w:rsidRPr="003C2B3B">
        <w:t>Donde:</w:t>
      </w:r>
    </w:p>
    <w:p w:rsidR="00BA678B" w:rsidRDefault="00BA678B" w:rsidP="00BA678B"/>
    <w:p w:rsidR="00BA678B" w:rsidRPr="003C2B3B" w:rsidRDefault="00BA678B" w:rsidP="00BA678B">
      <w:pPr>
        <w:rPr>
          <w:rFonts w:cs="Arial"/>
          <w:szCs w:val="22"/>
        </w:rPr>
      </w:pPr>
      <w:r w:rsidRPr="003C2B3B">
        <w:rPr>
          <w:rFonts w:cs="Arial"/>
          <w:szCs w:val="22"/>
        </w:rPr>
        <w:t>P [mm]</w:t>
      </w:r>
      <w:r w:rsidRPr="003C2B3B">
        <w:rPr>
          <w:rFonts w:cs="Arial"/>
          <w:szCs w:val="22"/>
        </w:rPr>
        <w:tab/>
      </w:r>
      <w:r>
        <w:rPr>
          <w:rFonts w:cs="Arial"/>
          <w:szCs w:val="22"/>
        </w:rPr>
        <w:t xml:space="preserve">: </w:t>
      </w:r>
      <w:r w:rsidRPr="003C2B3B">
        <w:rPr>
          <w:rFonts w:cs="Arial"/>
          <w:szCs w:val="22"/>
        </w:rPr>
        <w:t xml:space="preserve">Precipitación </w:t>
      </w:r>
      <w:r>
        <w:rPr>
          <w:rFonts w:cs="Arial"/>
          <w:szCs w:val="22"/>
        </w:rPr>
        <w:t>med</w:t>
      </w:r>
      <w:r w:rsidRPr="003C2B3B">
        <w:rPr>
          <w:rFonts w:cs="Arial"/>
          <w:szCs w:val="22"/>
        </w:rPr>
        <w:t>ia</w:t>
      </w:r>
      <w:r w:rsidRPr="003C2B3B">
        <w:rPr>
          <w:rFonts w:cs="Arial"/>
          <w:szCs w:val="22"/>
        </w:rPr>
        <w:tab/>
      </w:r>
      <w:r w:rsidRPr="003C2B3B">
        <w:rPr>
          <w:rFonts w:cs="Arial"/>
          <w:szCs w:val="22"/>
        </w:rPr>
        <w:tab/>
      </w:r>
      <w:r w:rsidRPr="003C2B3B">
        <w:rPr>
          <w:rFonts w:cs="Arial"/>
          <w:szCs w:val="22"/>
        </w:rPr>
        <w:tab/>
      </w:r>
    </w:p>
    <w:p w:rsidR="00BA678B" w:rsidRPr="003C2B3B" w:rsidRDefault="00BA678B" w:rsidP="00BA678B">
      <w:pPr>
        <w:rPr>
          <w:rFonts w:cs="Arial"/>
          <w:szCs w:val="22"/>
        </w:rPr>
      </w:pPr>
      <w:r w:rsidRPr="003C2B3B">
        <w:rPr>
          <w:rFonts w:cs="Arial"/>
          <w:szCs w:val="22"/>
        </w:rPr>
        <w:t>Qe [l/s]</w:t>
      </w:r>
      <w:r w:rsidRPr="003C2B3B">
        <w:rPr>
          <w:rFonts w:cs="Arial"/>
          <w:szCs w:val="22"/>
        </w:rPr>
        <w:tab/>
      </w:r>
      <w:r>
        <w:rPr>
          <w:rFonts w:cs="Arial"/>
          <w:szCs w:val="22"/>
        </w:rPr>
        <w:t xml:space="preserve">: </w:t>
      </w:r>
      <w:r w:rsidRPr="003C2B3B">
        <w:rPr>
          <w:rFonts w:cs="Arial"/>
          <w:szCs w:val="22"/>
        </w:rPr>
        <w:t>Caudal de entrada</w:t>
      </w:r>
      <w:r w:rsidRPr="003C2B3B">
        <w:rPr>
          <w:rFonts w:cs="Arial"/>
          <w:szCs w:val="22"/>
        </w:rPr>
        <w:tab/>
      </w:r>
      <w:r w:rsidRPr="003C2B3B">
        <w:rPr>
          <w:rFonts w:cs="Arial"/>
          <w:szCs w:val="22"/>
        </w:rPr>
        <w:tab/>
      </w:r>
      <w:r w:rsidRPr="003C2B3B">
        <w:rPr>
          <w:rFonts w:cs="Arial"/>
          <w:szCs w:val="22"/>
        </w:rPr>
        <w:tab/>
      </w:r>
    </w:p>
    <w:p w:rsidR="00BA678B" w:rsidRPr="003C2B3B" w:rsidRDefault="00BA678B" w:rsidP="00BA678B">
      <w:pPr>
        <w:rPr>
          <w:rFonts w:cs="Arial"/>
          <w:szCs w:val="22"/>
        </w:rPr>
      </w:pPr>
      <w:r w:rsidRPr="003C2B3B">
        <w:rPr>
          <w:rFonts w:cs="Arial"/>
          <w:szCs w:val="22"/>
        </w:rPr>
        <w:t>E [mm]</w:t>
      </w:r>
      <w:r w:rsidRPr="003C2B3B">
        <w:rPr>
          <w:rFonts w:cs="Arial"/>
          <w:szCs w:val="22"/>
        </w:rPr>
        <w:tab/>
      </w:r>
      <w:r>
        <w:rPr>
          <w:rFonts w:cs="Arial"/>
          <w:szCs w:val="22"/>
        </w:rPr>
        <w:t xml:space="preserve">: </w:t>
      </w:r>
      <w:r w:rsidRPr="003C2B3B">
        <w:rPr>
          <w:rFonts w:cs="Arial"/>
          <w:szCs w:val="22"/>
        </w:rPr>
        <w:t>Evapotranspiración</w:t>
      </w:r>
      <w:r w:rsidRPr="003C2B3B">
        <w:rPr>
          <w:rFonts w:cs="Arial"/>
          <w:szCs w:val="22"/>
        </w:rPr>
        <w:tab/>
      </w:r>
      <w:r w:rsidRPr="003C2B3B">
        <w:rPr>
          <w:rFonts w:cs="Arial"/>
          <w:szCs w:val="22"/>
        </w:rPr>
        <w:tab/>
      </w:r>
      <w:r w:rsidRPr="003C2B3B">
        <w:rPr>
          <w:rFonts w:cs="Arial"/>
          <w:szCs w:val="22"/>
        </w:rPr>
        <w:tab/>
      </w:r>
    </w:p>
    <w:p w:rsidR="00BA678B" w:rsidRPr="003C2B3B" w:rsidRDefault="00BA678B" w:rsidP="00BA678B">
      <w:pPr>
        <w:rPr>
          <w:rFonts w:cs="Arial"/>
          <w:szCs w:val="22"/>
        </w:rPr>
      </w:pPr>
      <w:r w:rsidRPr="003C2B3B">
        <w:rPr>
          <w:rFonts w:cs="Arial"/>
          <w:szCs w:val="22"/>
        </w:rPr>
        <w:t>D [l/s]</w:t>
      </w:r>
      <w:r>
        <w:rPr>
          <w:rFonts w:cs="Arial"/>
          <w:szCs w:val="22"/>
        </w:rPr>
        <w:t xml:space="preserve">: </w:t>
      </w:r>
      <w:r w:rsidRPr="003C2B3B">
        <w:rPr>
          <w:rFonts w:cs="Arial"/>
          <w:szCs w:val="22"/>
        </w:rPr>
        <w:tab/>
        <w:t xml:space="preserve">Demanda </w:t>
      </w:r>
      <w:r>
        <w:rPr>
          <w:rFonts w:cs="Arial"/>
          <w:szCs w:val="22"/>
        </w:rPr>
        <w:t>t</w:t>
      </w:r>
      <w:r w:rsidRPr="003C2B3B">
        <w:rPr>
          <w:rFonts w:cs="Arial"/>
          <w:szCs w:val="22"/>
        </w:rPr>
        <w:t>otal</w:t>
      </w:r>
      <w:r w:rsidRPr="003C2B3B">
        <w:rPr>
          <w:rFonts w:cs="Arial"/>
          <w:szCs w:val="22"/>
        </w:rPr>
        <w:tab/>
      </w:r>
      <w:r w:rsidRPr="003C2B3B">
        <w:rPr>
          <w:rFonts w:cs="Arial"/>
          <w:szCs w:val="22"/>
        </w:rPr>
        <w:tab/>
      </w:r>
      <w:r w:rsidRPr="003C2B3B">
        <w:rPr>
          <w:rFonts w:cs="Arial"/>
          <w:szCs w:val="22"/>
        </w:rPr>
        <w:tab/>
      </w:r>
    </w:p>
    <w:p w:rsidR="00BA678B" w:rsidRPr="003C2B3B" w:rsidRDefault="00BA678B" w:rsidP="00BA678B">
      <w:pPr>
        <w:rPr>
          <w:rFonts w:cs="Arial"/>
          <w:szCs w:val="22"/>
        </w:rPr>
      </w:pPr>
      <w:r w:rsidRPr="003C2B3B">
        <w:rPr>
          <w:rFonts w:cs="Arial"/>
          <w:szCs w:val="22"/>
        </w:rPr>
        <w:t>Qs [l/s]</w:t>
      </w:r>
      <w:r>
        <w:rPr>
          <w:rFonts w:cs="Arial"/>
          <w:szCs w:val="22"/>
        </w:rPr>
        <w:t xml:space="preserve">: </w:t>
      </w:r>
      <w:r w:rsidRPr="003C2B3B">
        <w:rPr>
          <w:rFonts w:cs="Arial"/>
          <w:szCs w:val="22"/>
        </w:rPr>
        <w:t xml:space="preserve">Caudal de </w:t>
      </w:r>
      <w:r>
        <w:rPr>
          <w:rFonts w:cs="Arial"/>
          <w:szCs w:val="22"/>
        </w:rPr>
        <w:t>s</w:t>
      </w:r>
      <w:r w:rsidRPr="003C2B3B">
        <w:rPr>
          <w:rFonts w:cs="Arial"/>
          <w:szCs w:val="22"/>
        </w:rPr>
        <w:t>alida. En cuencas costeras corresponde al caudal ofertado menos la demanda</w:t>
      </w:r>
      <w:r w:rsidRPr="003C2B3B">
        <w:rPr>
          <w:rFonts w:cs="Arial"/>
          <w:szCs w:val="22"/>
        </w:rPr>
        <w:tab/>
      </w:r>
      <w:r w:rsidRPr="003C2B3B">
        <w:rPr>
          <w:rFonts w:cs="Arial"/>
          <w:szCs w:val="22"/>
        </w:rPr>
        <w:tab/>
      </w:r>
      <w:r w:rsidRPr="003C2B3B">
        <w:rPr>
          <w:rFonts w:cs="Arial"/>
          <w:szCs w:val="22"/>
        </w:rPr>
        <w:tab/>
      </w:r>
    </w:p>
    <w:p w:rsidR="00BA678B" w:rsidRDefault="00BA678B" w:rsidP="00BA678B">
      <w:pPr>
        <w:rPr>
          <w:rFonts w:cs="Arial"/>
          <w:szCs w:val="22"/>
        </w:rPr>
      </w:pPr>
      <w:r w:rsidRPr="003C2B3B">
        <w:rPr>
          <w:rFonts w:cs="Arial"/>
          <w:szCs w:val="22"/>
        </w:rPr>
        <w:t>Δ [l/s]</w:t>
      </w:r>
      <w:r>
        <w:rPr>
          <w:rFonts w:cs="Arial"/>
          <w:szCs w:val="22"/>
        </w:rPr>
        <w:t>:</w:t>
      </w:r>
      <w:r w:rsidRPr="003C2B3B">
        <w:rPr>
          <w:rFonts w:cs="Arial"/>
          <w:szCs w:val="22"/>
        </w:rPr>
        <w:tab/>
      </w:r>
      <w:r>
        <w:rPr>
          <w:rFonts w:cs="Arial"/>
          <w:szCs w:val="22"/>
        </w:rPr>
        <w:t>Discrepancia del Balance. Considera los procesos de infil</w:t>
      </w:r>
      <w:r w:rsidRPr="003C2B3B">
        <w:rPr>
          <w:rFonts w:cs="Arial"/>
          <w:szCs w:val="22"/>
        </w:rPr>
        <w:t xml:space="preserve">tración y </w:t>
      </w:r>
      <w:r>
        <w:rPr>
          <w:rFonts w:cs="Arial"/>
          <w:szCs w:val="22"/>
        </w:rPr>
        <w:t>a</w:t>
      </w:r>
      <w:r w:rsidRPr="003C2B3B">
        <w:rPr>
          <w:rFonts w:cs="Arial"/>
          <w:szCs w:val="22"/>
        </w:rPr>
        <w:t xml:space="preserve">floramiento, </w:t>
      </w:r>
      <w:r>
        <w:rPr>
          <w:rFonts w:cs="Arial"/>
          <w:szCs w:val="22"/>
        </w:rPr>
        <w:t>el bombeo y</w:t>
      </w:r>
      <w:r w:rsidRPr="003C2B3B">
        <w:rPr>
          <w:rFonts w:cs="Arial"/>
          <w:szCs w:val="22"/>
        </w:rPr>
        <w:t xml:space="preserve"> </w:t>
      </w:r>
      <w:r>
        <w:rPr>
          <w:rFonts w:cs="Arial"/>
          <w:szCs w:val="22"/>
        </w:rPr>
        <w:t>la i</w:t>
      </w:r>
      <w:r w:rsidRPr="003C2B3B">
        <w:rPr>
          <w:rFonts w:cs="Arial"/>
          <w:szCs w:val="22"/>
        </w:rPr>
        <w:t>n</w:t>
      </w:r>
      <w:r>
        <w:rPr>
          <w:rFonts w:cs="Arial"/>
          <w:szCs w:val="22"/>
        </w:rPr>
        <w:t>certidumbre de las variables del balance</w:t>
      </w:r>
      <w:r>
        <w:rPr>
          <w:rFonts w:cs="Arial"/>
          <w:szCs w:val="22"/>
        </w:rPr>
        <w:tab/>
      </w:r>
      <w:r>
        <w:rPr>
          <w:rFonts w:cs="Arial"/>
          <w:szCs w:val="22"/>
        </w:rPr>
        <w:tab/>
      </w:r>
    </w:p>
    <w:p w:rsidR="00BA678B" w:rsidRPr="003C2B3B" w:rsidRDefault="00BA678B" w:rsidP="00BA678B">
      <w:pPr>
        <w:rPr>
          <w:rFonts w:cs="Arial"/>
          <w:szCs w:val="22"/>
        </w:rPr>
      </w:pPr>
      <w:r w:rsidRPr="003C2B3B">
        <w:rPr>
          <w:rFonts w:cs="Arial"/>
          <w:szCs w:val="22"/>
        </w:rPr>
        <w:t>ΔG- [l/s]</w:t>
      </w:r>
      <w:r>
        <w:rPr>
          <w:rFonts w:cs="Arial"/>
          <w:szCs w:val="22"/>
        </w:rPr>
        <w:t xml:space="preserve">: </w:t>
      </w:r>
      <w:r w:rsidRPr="003C2B3B">
        <w:rPr>
          <w:rFonts w:cs="Arial"/>
          <w:szCs w:val="22"/>
        </w:rPr>
        <w:t xml:space="preserve">Caudal </w:t>
      </w:r>
      <w:r>
        <w:rPr>
          <w:rFonts w:cs="Arial"/>
          <w:szCs w:val="22"/>
        </w:rPr>
        <w:t>m</w:t>
      </w:r>
      <w:r w:rsidRPr="003C2B3B">
        <w:rPr>
          <w:rFonts w:cs="Arial"/>
          <w:szCs w:val="22"/>
        </w:rPr>
        <w:t xml:space="preserve">edio </w:t>
      </w:r>
      <w:r>
        <w:rPr>
          <w:rFonts w:cs="Arial"/>
          <w:szCs w:val="22"/>
        </w:rPr>
        <w:t>a</w:t>
      </w:r>
      <w:r w:rsidRPr="003C2B3B">
        <w:rPr>
          <w:rFonts w:cs="Arial"/>
          <w:szCs w:val="22"/>
        </w:rPr>
        <w:t xml:space="preserve">nual de </w:t>
      </w:r>
      <w:r>
        <w:rPr>
          <w:rFonts w:cs="Arial"/>
          <w:szCs w:val="22"/>
        </w:rPr>
        <w:t>m</w:t>
      </w:r>
      <w:r w:rsidRPr="003C2B3B">
        <w:rPr>
          <w:rFonts w:cs="Arial"/>
          <w:szCs w:val="22"/>
        </w:rPr>
        <w:t xml:space="preserve">áximo </w:t>
      </w:r>
      <w:r>
        <w:rPr>
          <w:rFonts w:cs="Arial"/>
          <w:szCs w:val="22"/>
        </w:rPr>
        <w:t>v</w:t>
      </w:r>
      <w:r w:rsidRPr="003C2B3B">
        <w:rPr>
          <w:rFonts w:cs="Arial"/>
          <w:szCs w:val="22"/>
        </w:rPr>
        <w:t xml:space="preserve">aciamiento </w:t>
      </w:r>
      <w:r>
        <w:rPr>
          <w:rFonts w:cs="Arial"/>
          <w:szCs w:val="22"/>
        </w:rPr>
        <w:t>h</w:t>
      </w:r>
      <w:r w:rsidRPr="003C2B3B">
        <w:rPr>
          <w:rFonts w:cs="Arial"/>
          <w:szCs w:val="22"/>
        </w:rPr>
        <w:t>istórico</w:t>
      </w:r>
      <w:r w:rsidRPr="003C2B3B">
        <w:rPr>
          <w:rFonts w:cs="Arial"/>
          <w:szCs w:val="22"/>
        </w:rPr>
        <w:tab/>
      </w:r>
      <w:r w:rsidRPr="003C2B3B">
        <w:rPr>
          <w:rFonts w:cs="Arial"/>
          <w:szCs w:val="22"/>
        </w:rPr>
        <w:tab/>
      </w:r>
      <w:r w:rsidRPr="003C2B3B">
        <w:rPr>
          <w:rFonts w:cs="Arial"/>
          <w:szCs w:val="22"/>
        </w:rPr>
        <w:tab/>
      </w:r>
    </w:p>
    <w:p w:rsidR="00BA678B" w:rsidRDefault="00BA678B" w:rsidP="00BA678B">
      <w:pPr>
        <w:rPr>
          <w:rFonts w:cs="Arial"/>
          <w:szCs w:val="22"/>
        </w:rPr>
      </w:pPr>
      <w:r w:rsidRPr="003C2B3B">
        <w:rPr>
          <w:rFonts w:cs="Arial"/>
          <w:szCs w:val="22"/>
        </w:rPr>
        <w:t>ΔG+ [l/s]</w:t>
      </w:r>
      <w:r>
        <w:rPr>
          <w:rFonts w:cs="Arial"/>
          <w:szCs w:val="22"/>
        </w:rPr>
        <w:t xml:space="preserve">: </w:t>
      </w:r>
      <w:r w:rsidRPr="003C2B3B">
        <w:rPr>
          <w:rFonts w:cs="Arial"/>
          <w:szCs w:val="22"/>
        </w:rPr>
        <w:t xml:space="preserve">Caudal </w:t>
      </w:r>
      <w:r>
        <w:rPr>
          <w:rFonts w:cs="Arial"/>
          <w:szCs w:val="22"/>
        </w:rPr>
        <w:t>m</w:t>
      </w:r>
      <w:r w:rsidRPr="003C2B3B">
        <w:rPr>
          <w:rFonts w:cs="Arial"/>
          <w:szCs w:val="22"/>
        </w:rPr>
        <w:t xml:space="preserve">edio </w:t>
      </w:r>
      <w:r>
        <w:rPr>
          <w:rFonts w:cs="Arial"/>
          <w:szCs w:val="22"/>
        </w:rPr>
        <w:t>a</w:t>
      </w:r>
      <w:r w:rsidRPr="003C2B3B">
        <w:rPr>
          <w:rFonts w:cs="Arial"/>
          <w:szCs w:val="22"/>
        </w:rPr>
        <w:t xml:space="preserve">nual de </w:t>
      </w:r>
      <w:r>
        <w:rPr>
          <w:rFonts w:cs="Arial"/>
          <w:szCs w:val="22"/>
        </w:rPr>
        <w:t>m</w:t>
      </w:r>
      <w:r w:rsidRPr="003C2B3B">
        <w:rPr>
          <w:rFonts w:cs="Arial"/>
          <w:szCs w:val="22"/>
        </w:rPr>
        <w:t xml:space="preserve">áximo </w:t>
      </w:r>
      <w:r>
        <w:rPr>
          <w:rFonts w:cs="Arial"/>
          <w:szCs w:val="22"/>
        </w:rPr>
        <w:t>a</w:t>
      </w:r>
      <w:r w:rsidRPr="003C2B3B">
        <w:rPr>
          <w:rFonts w:cs="Arial"/>
          <w:szCs w:val="22"/>
        </w:rPr>
        <w:t xml:space="preserve">umento </w:t>
      </w:r>
      <w:r>
        <w:rPr>
          <w:rFonts w:cs="Arial"/>
          <w:szCs w:val="22"/>
        </w:rPr>
        <w:t>h</w:t>
      </w:r>
      <w:r w:rsidRPr="003C2B3B">
        <w:rPr>
          <w:rFonts w:cs="Arial"/>
          <w:szCs w:val="22"/>
        </w:rPr>
        <w:t>istórico</w:t>
      </w:r>
      <w:r w:rsidRPr="003C2B3B">
        <w:rPr>
          <w:rFonts w:cs="Arial"/>
          <w:szCs w:val="22"/>
        </w:rPr>
        <w:tab/>
      </w:r>
      <w:r w:rsidRPr="003C2B3B">
        <w:rPr>
          <w:rFonts w:cs="Arial"/>
          <w:szCs w:val="22"/>
        </w:rPr>
        <w:tab/>
      </w:r>
      <w:r w:rsidRPr="003C2B3B">
        <w:rPr>
          <w:rFonts w:cs="Arial"/>
          <w:szCs w:val="22"/>
        </w:rPr>
        <w:tab/>
      </w:r>
    </w:p>
    <w:bookmarkEnd w:id="434"/>
    <w:p w:rsidR="00BA678B" w:rsidRDefault="00BA678B" w:rsidP="0065609C">
      <w:pPr>
        <w:rPr>
          <w:lang w:val="es-ES_tradnl"/>
        </w:rPr>
      </w:pPr>
    </w:p>
    <w:p w:rsidR="00B67303" w:rsidRDefault="00BA678B" w:rsidP="0065609C">
      <w:pPr>
        <w:rPr>
          <w:lang w:val="es-ES_tradnl"/>
        </w:rPr>
      </w:pPr>
      <w:r>
        <w:rPr>
          <w:lang w:val="es-ES_tradnl"/>
        </w:rPr>
        <w:t>De acuerdo a lo señalado en las</w:t>
      </w:r>
      <w:r w:rsidR="00B67303">
        <w:rPr>
          <w:lang w:val="es-ES_tradnl"/>
        </w:rPr>
        <w:t xml:space="preserve"> tablas anteriores, se concluye que para el escenario actual y condición media, las cuencas de la región</w:t>
      </w:r>
      <w:r w:rsidR="005F08CF">
        <w:rPr>
          <w:lang w:val="es-ES_tradnl"/>
        </w:rPr>
        <w:t xml:space="preserve"> en general</w:t>
      </w:r>
      <w:r w:rsidR="00B67303">
        <w:rPr>
          <w:lang w:val="es-ES_tradnl"/>
        </w:rPr>
        <w:t xml:space="preserve"> son capaces de satisfacer la totalidad de sus demandas. En el caso de la cuenca del Estero Alhué (0604), si bien no se dispone de información respecto a los caudales de máxima acumulación y vaciami</w:t>
      </w:r>
      <w:r w:rsidR="000D1055">
        <w:rPr>
          <w:lang w:val="es-ES_tradnl"/>
        </w:rPr>
        <w:t>ento, se concluye que é</w:t>
      </w:r>
      <w:r w:rsidR="00B67303">
        <w:rPr>
          <w:lang w:val="es-ES_tradnl"/>
        </w:rPr>
        <w:t>sta se encuentra en estado de déficit dado que el caudal demandado es mayor que el caudal de salida de la cuenca.</w:t>
      </w:r>
    </w:p>
    <w:p w:rsidR="005F08CF" w:rsidRDefault="005F08CF" w:rsidP="0065609C">
      <w:pPr>
        <w:rPr>
          <w:lang w:val="es-ES_tradnl"/>
        </w:rPr>
      </w:pPr>
    </w:p>
    <w:p w:rsidR="005F08CF" w:rsidRDefault="005F08CF" w:rsidP="0065609C">
      <w:pPr>
        <w:rPr>
          <w:lang w:val="es-ES_tradnl"/>
        </w:rPr>
      </w:pPr>
      <w:r>
        <w:rPr>
          <w:lang w:val="es-ES_tradnl"/>
        </w:rPr>
        <w:t xml:space="preserve">Las cuencas de los ríos Angostura (0571) y Tinguiririca (0602-0603) presentan un valor de </w:t>
      </w:r>
      <w:r>
        <w:rPr>
          <w:rFonts w:cs="Arial"/>
          <w:lang w:val="es-ES_tradnl"/>
        </w:rPr>
        <w:t>Δ</w:t>
      </w:r>
      <w:r>
        <w:rPr>
          <w:lang w:val="es-ES_tradnl"/>
        </w:rPr>
        <w:t xml:space="preserve"> que es posible satisfacer con agua subterránea, mientras que las cuencas del río Cachapoal Bajo (0600) y Rapel (0605) pueden ser satisfechas solo con agua superficial.</w:t>
      </w:r>
    </w:p>
    <w:p w:rsidR="00821ECD" w:rsidRDefault="00821ECD" w:rsidP="0065609C">
      <w:pPr>
        <w:rPr>
          <w:lang w:val="es-ES_tradnl"/>
        </w:rPr>
      </w:pPr>
      <w:r>
        <w:rPr>
          <w:lang w:val="es-ES_tradnl"/>
        </w:rPr>
        <w:lastRenderedPageBreak/>
        <w:t xml:space="preserve">El análisis realizado en la cuenca del río Tinguiririca (0602-0603) no considera los aportes provenientes de la cuenca del río Teno, por lo cual el balance considerando este volumen adicional debiese ser más optimista. </w:t>
      </w:r>
    </w:p>
    <w:p w:rsidR="005F08CF" w:rsidRDefault="005F08CF" w:rsidP="0065609C">
      <w:pPr>
        <w:rPr>
          <w:lang w:val="es-ES_tradnl"/>
        </w:rPr>
      </w:pPr>
    </w:p>
    <w:p w:rsidR="005F08CF" w:rsidRDefault="005F08CF" w:rsidP="005F08CF">
      <w:pPr>
        <w:rPr>
          <w:rFonts w:cs="Arial"/>
          <w:lang w:val="es-ES_tradnl"/>
        </w:rPr>
      </w:pPr>
      <w:r>
        <w:rPr>
          <w:lang w:val="es-ES_tradnl"/>
        </w:rPr>
        <w:t xml:space="preserve">En la cuenca del río Cachapoal Alto (0600), la disponibilidad del recurso hídrico es elevada respecto de las demandas, siendo el valor de </w:t>
      </w:r>
      <w:r>
        <w:rPr>
          <w:rFonts w:cs="Arial"/>
          <w:lang w:val="es-ES_tradnl"/>
        </w:rPr>
        <w:t>Δ mínimo respecto del caudal de salida, lo cual se atribuye a la incertidumbre de las variables del balance. El hecho de que las demandas actuales sean despreciables respecto de los caudales estimados a la salida de la cuenca, permite concluir que para la condición media el agua superficial satisface el balance.</w:t>
      </w:r>
    </w:p>
    <w:p w:rsidR="005F08CF" w:rsidRDefault="005F08CF" w:rsidP="0065609C">
      <w:pPr>
        <w:rPr>
          <w:lang w:val="es-ES_tradnl"/>
        </w:rPr>
      </w:pPr>
    </w:p>
    <w:p w:rsidR="005F08CF" w:rsidRDefault="005F08CF" w:rsidP="005F08CF">
      <w:pPr>
        <w:rPr>
          <w:rFonts w:cs="Arial"/>
          <w:lang w:val="es-ES_tradnl"/>
        </w:rPr>
      </w:pPr>
      <w:r>
        <w:rPr>
          <w:rFonts w:cs="Arial"/>
          <w:lang w:val="es-ES_tradnl"/>
        </w:rPr>
        <w:t>Es importante destacar que el resultado del balance para la cuenca del río Cachapoal Alto (0600) en la condición 85% de probabilidad de excedencia, se ve afectado producto del almacenamiento glaciar que existe en la cuenca , el cual entrega parte de su volumen en años secos. Por esta razón, la precipitación no es capaz de explicar los caudales medidos, observándose un importante desbalance entre las variables. A pesar de lo anterior, el caudal de salida es lo suficientemente alto respecto a las demandas</w:t>
      </w:r>
      <w:r w:rsidR="000D1055">
        <w:rPr>
          <w:rFonts w:cs="Arial"/>
          <w:lang w:val="es-ES_tradnl"/>
        </w:rPr>
        <w:t>,</w:t>
      </w:r>
      <w:r>
        <w:rPr>
          <w:rFonts w:cs="Arial"/>
          <w:lang w:val="es-ES_tradnl"/>
        </w:rPr>
        <w:t xml:space="preserve"> por lo </w:t>
      </w:r>
      <w:r w:rsidR="000D1055">
        <w:rPr>
          <w:rFonts w:cs="Arial"/>
          <w:lang w:val="es-ES_tradnl"/>
        </w:rPr>
        <w:t>que se concluye que éstas</w:t>
      </w:r>
      <w:r>
        <w:rPr>
          <w:rFonts w:cs="Arial"/>
          <w:lang w:val="es-ES_tradnl"/>
        </w:rPr>
        <w:t xml:space="preserve"> son satisfechas.</w:t>
      </w:r>
    </w:p>
    <w:p w:rsidR="00265E1B" w:rsidRDefault="00265E1B" w:rsidP="005F08CF">
      <w:pPr>
        <w:rPr>
          <w:rFonts w:cs="Arial"/>
          <w:lang w:val="es-ES_tradnl"/>
        </w:rPr>
      </w:pPr>
    </w:p>
    <w:p w:rsidR="00265E1B" w:rsidRPr="00265E1B" w:rsidRDefault="00265E1B" w:rsidP="005F08CF">
      <w:pPr>
        <w:rPr>
          <w:lang w:val="es-ES_tradnl"/>
        </w:rPr>
      </w:pPr>
      <w:r>
        <w:rPr>
          <w:rFonts w:cs="Arial"/>
          <w:lang w:val="es-ES_tradnl"/>
        </w:rPr>
        <w:t>Para el resto de las cuencas, la condición de 85% de probabilidad de excedencia entrega déficit hídrico, a excepción de la subcuenca del río Cachapoal Bajo (0601), la cual presenta un valor de Δ por sobre el ΔG</w:t>
      </w:r>
      <w:r>
        <w:rPr>
          <w:rFonts w:cs="Arial"/>
          <w:vertAlign w:val="superscript"/>
          <w:lang w:val="es-ES_tradnl"/>
        </w:rPr>
        <w:t>-</w:t>
      </w:r>
      <w:r>
        <w:rPr>
          <w:rFonts w:cs="Arial"/>
          <w:lang w:val="es-ES_tradnl"/>
        </w:rPr>
        <w:t>, lo que indica que el acuífero es capaz de entregar el volumen de agua faltante para satisfacer el balance.</w:t>
      </w:r>
    </w:p>
    <w:p w:rsidR="00B67303" w:rsidRDefault="00B67303" w:rsidP="0065609C">
      <w:pPr>
        <w:rPr>
          <w:lang w:val="es-ES_tradnl"/>
        </w:rPr>
      </w:pPr>
    </w:p>
    <w:p w:rsidR="00265E1B" w:rsidRDefault="00265E1B" w:rsidP="00265E1B">
      <w:pPr>
        <w:rPr>
          <w:lang w:val="es-ES_tradnl"/>
        </w:rPr>
      </w:pPr>
      <w:r>
        <w:rPr>
          <w:lang w:val="es-ES_tradnl"/>
        </w:rPr>
        <w:t xml:space="preserve">Los resultados obtenidos en las cuencas costeras se muestran en las </w:t>
      </w:r>
      <w:r>
        <w:rPr>
          <w:lang w:val="es-ES_tradnl"/>
        </w:rPr>
        <w:fldChar w:fldCharType="begin"/>
      </w:r>
      <w:r>
        <w:rPr>
          <w:lang w:val="es-ES_tradnl"/>
        </w:rPr>
        <w:instrText xml:space="preserve"> REF _Ref344276170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14</w:t>
      </w:r>
      <w:r>
        <w:rPr>
          <w:lang w:val="es-ES_tradnl"/>
        </w:rPr>
        <w:fldChar w:fldCharType="end"/>
      </w:r>
      <w:r>
        <w:rPr>
          <w:lang w:val="es-ES_tradnl"/>
        </w:rPr>
        <w:t xml:space="preserve"> y </w:t>
      </w:r>
      <w:r>
        <w:rPr>
          <w:lang w:val="es-ES_tradnl"/>
        </w:rPr>
        <w:fldChar w:fldCharType="begin"/>
      </w:r>
      <w:r>
        <w:rPr>
          <w:lang w:val="es-ES_tradnl"/>
        </w:rPr>
        <w:instrText xml:space="preserve"> REF _Ref344276176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15</w:t>
      </w:r>
      <w:r>
        <w:rPr>
          <w:lang w:val="es-ES_tradnl"/>
        </w:rPr>
        <w:fldChar w:fldCharType="end"/>
      </w:r>
      <w:r>
        <w:rPr>
          <w:lang w:val="es-ES_tradnl"/>
        </w:rPr>
        <w:t xml:space="preserve">. </w:t>
      </w:r>
    </w:p>
    <w:p w:rsidR="00CF684F" w:rsidRDefault="00CF684F" w:rsidP="00265E1B">
      <w:pPr>
        <w:rPr>
          <w:lang w:val="es-ES_tradnl"/>
        </w:rPr>
      </w:pPr>
    </w:p>
    <w:p w:rsidR="00265E1B" w:rsidRDefault="00265E1B" w:rsidP="00265E1B">
      <w:pPr>
        <w:pStyle w:val="Epgrafe"/>
        <w:keepNext/>
      </w:pPr>
      <w:bookmarkStart w:id="435" w:name="_Ref344276170"/>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bookmarkEnd w:id="435"/>
      <w:r>
        <w:t xml:space="preserve"> Balance Hídrico en Cuencas Costeras, Situación Actual y Condición Media</w:t>
      </w:r>
    </w:p>
    <w:tbl>
      <w:tblPr>
        <w:tblW w:w="8150" w:type="dxa"/>
        <w:jc w:val="center"/>
        <w:tblInd w:w="65"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950"/>
      </w:tblGrid>
      <w:tr w:rsidR="00CF684F" w:rsidRPr="00A74EF5">
        <w:trPr>
          <w:trHeight w:val="22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Subcuenca</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P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E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D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Qs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Δ [l/s]</w:t>
            </w:r>
          </w:p>
        </w:tc>
        <w:tc>
          <w:tcPr>
            <w:tcW w:w="950" w:type="dxa"/>
            <w:tcBorders>
              <w:top w:val="single" w:sz="4" w:space="0" w:color="auto"/>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sidRPr="006D0A7F">
              <w:rPr>
                <w:rFonts w:cs="Arial"/>
                <w:color w:val="000000"/>
                <w:sz w:val="16"/>
                <w:szCs w:val="16"/>
                <w:lang w:val="es-CL" w:eastAsia="es-CL"/>
              </w:rPr>
              <w:t>Estado</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556</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396</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28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510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617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434</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367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2789</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0612</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630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442</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2380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0613</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685</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453</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1647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11449</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0614</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649</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447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11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3584</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bl>
    <w:p w:rsidR="00CF684F" w:rsidRPr="00C57DCF" w:rsidRDefault="00CF684F" w:rsidP="00CF684F">
      <w:pPr>
        <w:jc w:val="center"/>
        <w:rPr>
          <w:sz w:val="16"/>
          <w:szCs w:val="16"/>
          <w:lang w:val="es-ES_tradnl"/>
        </w:rPr>
      </w:pPr>
      <w:r w:rsidRPr="00C57DCF">
        <w:rPr>
          <w:sz w:val="16"/>
          <w:szCs w:val="16"/>
          <w:lang w:val="es-ES_tradnl"/>
        </w:rPr>
        <w:t>*</w:t>
      </w:r>
      <w:r>
        <w:rPr>
          <w:sz w:val="16"/>
          <w:szCs w:val="16"/>
          <w:lang w:val="es-ES_tradnl"/>
        </w:rPr>
        <w:t>Agua Superficial Cubre Balance.</w:t>
      </w:r>
    </w:p>
    <w:p w:rsidR="00A74EF5" w:rsidRDefault="00A74EF5" w:rsidP="00265E1B">
      <w:pPr>
        <w:rPr>
          <w:lang w:val="es-ES_tradnl"/>
        </w:rPr>
      </w:pPr>
    </w:p>
    <w:p w:rsidR="00265E1B" w:rsidRDefault="00265E1B" w:rsidP="00265E1B">
      <w:pPr>
        <w:pStyle w:val="Epgrafe"/>
        <w:keepNext/>
      </w:pPr>
      <w:bookmarkStart w:id="436" w:name="_Ref344276176"/>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15</w:t>
      </w:r>
      <w:r w:rsidR="007F3102">
        <w:fldChar w:fldCharType="end"/>
      </w:r>
      <w:bookmarkEnd w:id="436"/>
      <w:r>
        <w:t xml:space="preserve"> Balance Hídrico en Cuencas Costeras, Situación Actual y Condición 85% Probabilidad de Excedencia</w:t>
      </w:r>
    </w:p>
    <w:tbl>
      <w:tblPr>
        <w:tblW w:w="8150" w:type="dxa"/>
        <w:jc w:val="center"/>
        <w:tblInd w:w="65"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950"/>
      </w:tblGrid>
      <w:tr w:rsidR="00CF684F" w:rsidRPr="00A74EF5">
        <w:trPr>
          <w:trHeight w:val="22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Subcuenca</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P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E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D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Qs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Δ [l/s]</w:t>
            </w:r>
          </w:p>
        </w:tc>
        <w:tc>
          <w:tcPr>
            <w:tcW w:w="950" w:type="dxa"/>
            <w:tcBorders>
              <w:top w:val="single" w:sz="4" w:space="0" w:color="auto"/>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sidRPr="006D0A7F">
              <w:rPr>
                <w:rFonts w:cs="Arial"/>
                <w:color w:val="000000"/>
                <w:sz w:val="16"/>
                <w:szCs w:val="16"/>
                <w:lang w:val="es-CL" w:eastAsia="es-CL"/>
              </w:rPr>
              <w:t>Estado</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348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331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28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421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400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367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0612</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430</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408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239</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0613</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476</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438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1647</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508</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r w:rsidR="00CF684F" w:rsidRPr="00A74EF5">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b/>
                <w:bCs/>
                <w:color w:val="000000"/>
                <w:sz w:val="16"/>
                <w:szCs w:val="16"/>
                <w:lang w:val="es-CL" w:eastAsia="es-CL"/>
              </w:rPr>
            </w:pPr>
            <w:r w:rsidRPr="00A74EF5">
              <w:rPr>
                <w:rFonts w:cs="Arial"/>
                <w:b/>
                <w:bCs/>
                <w:color w:val="000000"/>
                <w:sz w:val="16"/>
                <w:szCs w:val="16"/>
                <w:lang w:val="es-CL" w:eastAsia="es-CL"/>
              </w:rPr>
              <w:t>0614</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426</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402</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11</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416</w:t>
            </w:r>
          </w:p>
        </w:tc>
        <w:tc>
          <w:tcPr>
            <w:tcW w:w="1200" w:type="dxa"/>
            <w:tcBorders>
              <w:top w:val="nil"/>
              <w:left w:val="nil"/>
              <w:bottom w:val="single" w:sz="4" w:space="0" w:color="auto"/>
              <w:right w:val="single" w:sz="4" w:space="0" w:color="auto"/>
            </w:tcBorders>
            <w:shd w:val="clear" w:color="auto" w:fill="auto"/>
            <w:noWrap/>
            <w:vAlign w:val="bottom"/>
          </w:tcPr>
          <w:p w:rsidR="00CF684F" w:rsidRPr="00A74EF5" w:rsidRDefault="00CF684F" w:rsidP="00A74EF5">
            <w:pPr>
              <w:jc w:val="center"/>
              <w:rPr>
                <w:rFonts w:cs="Arial"/>
                <w:color w:val="000000"/>
                <w:sz w:val="16"/>
                <w:szCs w:val="16"/>
                <w:lang w:val="es-CL" w:eastAsia="es-CL"/>
              </w:rPr>
            </w:pPr>
            <w:r w:rsidRPr="00A74EF5">
              <w:rPr>
                <w:rFonts w:cs="Arial"/>
                <w:color w:val="000000"/>
                <w:sz w:val="16"/>
                <w:szCs w:val="16"/>
                <w:lang w:val="es-CL" w:eastAsia="es-CL"/>
              </w:rPr>
              <w:t>0</w:t>
            </w:r>
          </w:p>
        </w:tc>
        <w:tc>
          <w:tcPr>
            <w:tcW w:w="950" w:type="dxa"/>
            <w:tcBorders>
              <w:top w:val="nil"/>
              <w:left w:val="nil"/>
              <w:bottom w:val="single" w:sz="4" w:space="0" w:color="auto"/>
              <w:right w:val="single" w:sz="4" w:space="0" w:color="auto"/>
            </w:tcBorders>
          </w:tcPr>
          <w:p w:rsidR="00CF684F" w:rsidRPr="00A74EF5" w:rsidRDefault="00CF684F" w:rsidP="00A74EF5">
            <w:pPr>
              <w:jc w:val="center"/>
              <w:rPr>
                <w:rFonts w:cs="Arial"/>
                <w:color w:val="000000"/>
                <w:sz w:val="16"/>
                <w:szCs w:val="16"/>
                <w:lang w:val="es-CL" w:eastAsia="es-CL"/>
              </w:rPr>
            </w:pPr>
            <w:r>
              <w:rPr>
                <w:rFonts w:cs="Arial"/>
                <w:color w:val="000000"/>
                <w:sz w:val="16"/>
                <w:szCs w:val="16"/>
                <w:lang w:val="es-CL" w:eastAsia="es-CL"/>
              </w:rPr>
              <w:t>A.Sup.C.B*</w:t>
            </w:r>
          </w:p>
        </w:tc>
      </w:tr>
    </w:tbl>
    <w:p w:rsidR="00CF684F" w:rsidRPr="00C57DCF" w:rsidRDefault="00CF684F" w:rsidP="00CF684F">
      <w:pPr>
        <w:jc w:val="center"/>
        <w:rPr>
          <w:sz w:val="16"/>
          <w:szCs w:val="16"/>
          <w:lang w:val="es-ES_tradnl"/>
        </w:rPr>
      </w:pPr>
      <w:r w:rsidRPr="00C57DCF">
        <w:rPr>
          <w:sz w:val="16"/>
          <w:szCs w:val="16"/>
          <w:lang w:val="es-ES_tradnl"/>
        </w:rPr>
        <w:t>*</w:t>
      </w:r>
      <w:r>
        <w:rPr>
          <w:sz w:val="16"/>
          <w:szCs w:val="16"/>
          <w:lang w:val="es-ES_tradnl"/>
        </w:rPr>
        <w:t>Agua Superficial Cubre Balance.</w:t>
      </w:r>
    </w:p>
    <w:p w:rsidR="005F08CF" w:rsidRDefault="005F08CF" w:rsidP="0065609C">
      <w:pPr>
        <w:rPr>
          <w:lang w:val="es-ES_tradnl"/>
        </w:rPr>
      </w:pPr>
    </w:p>
    <w:p w:rsidR="00A74EF5" w:rsidRDefault="00A74EF5" w:rsidP="0065609C">
      <w:pPr>
        <w:rPr>
          <w:lang w:val="es-ES_tradnl"/>
        </w:rPr>
      </w:pPr>
      <w:r>
        <w:rPr>
          <w:lang w:val="es-ES_tradnl"/>
        </w:rPr>
        <w:t xml:space="preserve">De acuerdo a las tablas anteriores, </w:t>
      </w:r>
      <w:r w:rsidR="00AA55BF">
        <w:rPr>
          <w:lang w:val="es-ES_tradnl"/>
        </w:rPr>
        <w:t>la totalidad de las cuencas costeras son capaces de satisfacer la demanda estimada, tanto para la condición media como para la condición 85% de probabilidad de excedencia.</w:t>
      </w:r>
    </w:p>
    <w:p w:rsidR="009D6FCC" w:rsidRDefault="009D6FCC" w:rsidP="0065609C">
      <w:pPr>
        <w:rPr>
          <w:lang w:val="es-ES_tradnl"/>
        </w:rPr>
      </w:pPr>
    </w:p>
    <w:p w:rsidR="009D6FCC" w:rsidRDefault="009D6FCC" w:rsidP="0065609C">
      <w:pPr>
        <w:rPr>
          <w:lang w:val="es-ES_tradnl"/>
        </w:rPr>
      </w:pPr>
    </w:p>
    <w:p w:rsidR="00AA55BF" w:rsidRDefault="00AA55BF" w:rsidP="0065609C">
      <w:pPr>
        <w:rPr>
          <w:lang w:val="es-ES_tradnl"/>
        </w:rPr>
      </w:pPr>
    </w:p>
    <w:p w:rsidR="00AA55BF" w:rsidRDefault="00AA55BF" w:rsidP="00AA55BF">
      <w:pPr>
        <w:pStyle w:val="Ttulo3"/>
        <w:rPr>
          <w:lang w:val="es-ES_tradnl"/>
        </w:rPr>
      </w:pPr>
      <w:bookmarkStart w:id="437" w:name="_Toc344391853"/>
      <w:r>
        <w:rPr>
          <w:lang w:val="es-ES_tradnl"/>
        </w:rPr>
        <w:lastRenderedPageBreak/>
        <w:t>Escenario Futuro</w:t>
      </w:r>
      <w:bookmarkEnd w:id="437"/>
    </w:p>
    <w:p w:rsidR="00AA55BF" w:rsidRDefault="00AA55BF" w:rsidP="00AA55BF">
      <w:pPr>
        <w:rPr>
          <w:lang w:val="es-ES_tradnl"/>
        </w:rPr>
      </w:pPr>
    </w:p>
    <w:p w:rsidR="00AA55BF" w:rsidRPr="006755F8" w:rsidRDefault="00AA55BF" w:rsidP="00AA55BF">
      <w:pPr>
        <w:rPr>
          <w:lang w:val="es-ES_tradnl"/>
        </w:rPr>
      </w:pPr>
      <w:r>
        <w:rPr>
          <w:lang w:val="es-ES_tradnl"/>
        </w:rPr>
        <w:t xml:space="preserve">Los resultados obtenidos en las cuencas internas se muestran en las </w:t>
      </w:r>
      <w:r>
        <w:rPr>
          <w:lang w:val="es-ES_tradnl"/>
        </w:rPr>
        <w:fldChar w:fldCharType="begin"/>
      </w:r>
      <w:r>
        <w:rPr>
          <w:lang w:val="es-ES_tradnl"/>
        </w:rPr>
        <w:instrText xml:space="preserve"> REF _Ref344277743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16</w:t>
      </w:r>
      <w:r>
        <w:rPr>
          <w:lang w:val="es-ES_tradnl"/>
        </w:rPr>
        <w:fldChar w:fldCharType="end"/>
      </w:r>
      <w:r>
        <w:rPr>
          <w:lang w:val="es-ES_tradnl"/>
        </w:rPr>
        <w:t xml:space="preserve"> y.</w:t>
      </w:r>
      <w:r>
        <w:rPr>
          <w:lang w:val="es-ES_tradnl"/>
        </w:rPr>
        <w:fldChar w:fldCharType="begin"/>
      </w:r>
      <w:r>
        <w:rPr>
          <w:lang w:val="es-ES_tradnl"/>
        </w:rPr>
        <w:instrText xml:space="preserve"> REF _Ref344277750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17</w:t>
      </w:r>
      <w:r>
        <w:rPr>
          <w:lang w:val="es-ES_tradnl"/>
        </w:rPr>
        <w:fldChar w:fldCharType="end"/>
      </w:r>
      <w:r>
        <w:rPr>
          <w:lang w:val="es-ES_tradnl"/>
        </w:rPr>
        <w:t xml:space="preserve"> </w:t>
      </w:r>
    </w:p>
    <w:p w:rsidR="00AA55BF" w:rsidRDefault="00AA55BF" w:rsidP="00AA55BF">
      <w:pPr>
        <w:rPr>
          <w:lang w:val="es-ES_tradnl"/>
        </w:rPr>
      </w:pPr>
    </w:p>
    <w:p w:rsidR="00AA55BF" w:rsidRDefault="00AA55BF" w:rsidP="00AA55BF">
      <w:pPr>
        <w:pStyle w:val="Epgrafe"/>
        <w:keepNext/>
      </w:pPr>
      <w:bookmarkStart w:id="438" w:name="_Ref344277743"/>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16</w:t>
      </w:r>
      <w:r w:rsidR="007F3102">
        <w:fldChar w:fldCharType="end"/>
      </w:r>
      <w:bookmarkEnd w:id="438"/>
      <w:r>
        <w:t xml:space="preserve"> Bal</w:t>
      </w:r>
      <w:r w:rsidR="00CF684F">
        <w:t>ance Hídrico en Cuencas Interiores</w:t>
      </w:r>
      <w:r>
        <w:t>, Situación Futura y Condición Media</w:t>
      </w:r>
    </w:p>
    <w:tbl>
      <w:tblPr>
        <w:tblW w:w="9086" w:type="dxa"/>
        <w:jc w:val="center"/>
        <w:tblInd w:w="65" w:type="dxa"/>
        <w:tblCellMar>
          <w:left w:w="70" w:type="dxa"/>
          <w:right w:w="70" w:type="dxa"/>
        </w:tblCellMar>
        <w:tblLook w:val="04A0" w:firstRow="1" w:lastRow="0" w:firstColumn="1" w:lastColumn="0" w:noHBand="0" w:noVBand="1"/>
      </w:tblPr>
      <w:tblGrid>
        <w:gridCol w:w="958"/>
        <w:gridCol w:w="865"/>
        <w:gridCol w:w="865"/>
        <w:gridCol w:w="865"/>
        <w:gridCol w:w="866"/>
        <w:gridCol w:w="866"/>
        <w:gridCol w:w="866"/>
        <w:gridCol w:w="866"/>
        <w:gridCol w:w="866"/>
        <w:gridCol w:w="1057"/>
        <w:gridCol w:w="146"/>
      </w:tblGrid>
      <w:tr w:rsidR="00CF684F" w:rsidRPr="00AA55BF">
        <w:trPr>
          <w:trHeight w:val="225"/>
          <w:jc w:val="center"/>
        </w:trPr>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Cuenca</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P [mm]</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Qe [l/s]</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E [mm]</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D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Qs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w:t>
            </w:r>
            <w:r w:rsidRPr="00AA55BF">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ΔG+</w:t>
            </w:r>
            <w:r w:rsidRPr="00AA55BF">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ΔG-</w:t>
            </w:r>
            <w:r w:rsidRPr="00AA55BF">
              <w:rPr>
                <w:rFonts w:cs="Arial"/>
                <w:color w:val="000000"/>
                <w:sz w:val="16"/>
                <w:szCs w:val="16"/>
                <w:lang w:val="es-CL" w:eastAsia="es-CL"/>
              </w:rPr>
              <w:t xml:space="preserve"> [l/s]</w:t>
            </w:r>
          </w:p>
        </w:tc>
        <w:tc>
          <w:tcPr>
            <w:tcW w:w="1057" w:type="dxa"/>
            <w:tcBorders>
              <w:top w:val="single" w:sz="4" w:space="0" w:color="auto"/>
              <w:left w:val="nil"/>
              <w:bottom w:val="single" w:sz="4" w:space="0" w:color="auto"/>
              <w:right w:val="nil"/>
            </w:tcBorders>
            <w:vAlign w:val="center"/>
          </w:tcPr>
          <w:p w:rsidR="00CF684F" w:rsidRPr="006D0A7F" w:rsidRDefault="00CF684F" w:rsidP="00CF684F">
            <w:pPr>
              <w:jc w:val="center"/>
              <w:rPr>
                <w:rFonts w:cs="Arial"/>
                <w:color w:val="000000"/>
                <w:sz w:val="16"/>
                <w:szCs w:val="16"/>
                <w:lang w:val="es-CL" w:eastAsia="es-CL"/>
              </w:rPr>
            </w:pPr>
            <w:r w:rsidRPr="006D0A7F">
              <w:rPr>
                <w:rFonts w:cs="Arial"/>
                <w:color w:val="000000"/>
                <w:sz w:val="16"/>
                <w:szCs w:val="16"/>
                <w:lang w:val="es-CL" w:eastAsia="es-CL"/>
              </w:rPr>
              <w:t>Estado</w:t>
            </w:r>
          </w:p>
        </w:tc>
        <w:tc>
          <w:tcPr>
            <w:tcW w:w="146" w:type="dxa"/>
            <w:tcBorders>
              <w:top w:val="single" w:sz="4" w:space="0" w:color="auto"/>
              <w:left w:val="nil"/>
              <w:bottom w:val="single" w:sz="4" w:space="0" w:color="auto"/>
              <w:right w:val="single" w:sz="4" w:space="0" w:color="auto"/>
            </w:tcBorders>
          </w:tcPr>
          <w:p w:rsidR="00CF684F" w:rsidRPr="00AA55BF" w:rsidRDefault="00CF684F" w:rsidP="00AA55BF">
            <w:pPr>
              <w:jc w:val="center"/>
              <w:rPr>
                <w:rFonts w:ascii="Calibri" w:hAnsi="Calibri"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0571</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752</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340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5088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4916</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-749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-1650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1584</w:t>
            </w:r>
          </w:p>
        </w:tc>
        <w:tc>
          <w:tcPr>
            <w:tcW w:w="1057"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A.Subt.C.B**</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1568</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455</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6868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92593</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-4049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1057" w:type="dxa"/>
            <w:tcBorders>
              <w:top w:val="nil"/>
              <w:left w:val="nil"/>
              <w:bottom w:val="single" w:sz="4" w:space="0" w:color="auto"/>
              <w:right w:val="nil"/>
            </w:tcBorders>
            <w:vAlign w:val="center"/>
          </w:tcPr>
          <w:p w:rsidR="00CF684F" w:rsidRPr="0065609C" w:rsidRDefault="00CF684F" w:rsidP="00CF684F">
            <w:pP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0601</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702</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96065</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236</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64259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90534</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-5677</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-13801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13281</w:t>
            </w:r>
          </w:p>
        </w:tc>
        <w:tc>
          <w:tcPr>
            <w:tcW w:w="1057"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A.Subt.C.B*</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0602-0603</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1117</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383</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37492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59522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-5546</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-7991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7035</w:t>
            </w:r>
          </w:p>
        </w:tc>
        <w:tc>
          <w:tcPr>
            <w:tcW w:w="1057"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A.Subt.C.B**</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0604</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318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7911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5063</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-2049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1057"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0605</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584</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157034</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389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9170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156506</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4412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-5668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5640</w:t>
            </w:r>
          </w:p>
        </w:tc>
        <w:tc>
          <w:tcPr>
            <w:tcW w:w="1057"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bl>
    <w:p w:rsidR="00CF684F" w:rsidRPr="00C57DCF" w:rsidRDefault="00CF684F" w:rsidP="00CF684F">
      <w:pPr>
        <w:jc w:val="center"/>
        <w:rPr>
          <w:sz w:val="16"/>
          <w:szCs w:val="16"/>
          <w:lang w:val="es-ES_tradnl"/>
        </w:rPr>
      </w:pPr>
      <w:r w:rsidRPr="00C57DCF">
        <w:rPr>
          <w:sz w:val="16"/>
          <w:szCs w:val="16"/>
          <w:lang w:val="es-ES_tradnl"/>
        </w:rPr>
        <w:t>*</w:t>
      </w:r>
      <w:r>
        <w:rPr>
          <w:sz w:val="16"/>
          <w:szCs w:val="16"/>
          <w:lang w:val="es-ES_tradnl"/>
        </w:rPr>
        <w:t>Agua Superficial Cubre Balance. ** Agua Subterránea Cubre Balance</w:t>
      </w:r>
    </w:p>
    <w:p w:rsidR="00AA55BF" w:rsidRDefault="00AA55BF" w:rsidP="00AA55BF">
      <w:pPr>
        <w:rPr>
          <w:lang w:val="es-ES_tradnl"/>
        </w:rPr>
      </w:pPr>
    </w:p>
    <w:p w:rsidR="00AA55BF" w:rsidRDefault="00AA55BF" w:rsidP="00AA55BF">
      <w:pPr>
        <w:pStyle w:val="Epgrafe"/>
        <w:keepNext/>
      </w:pPr>
      <w:bookmarkStart w:id="439" w:name="_Ref344277750"/>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17</w:t>
      </w:r>
      <w:r w:rsidR="007F3102">
        <w:fldChar w:fldCharType="end"/>
      </w:r>
      <w:bookmarkEnd w:id="439"/>
      <w:r>
        <w:t xml:space="preserve"> Bal</w:t>
      </w:r>
      <w:r w:rsidR="00CF684F">
        <w:t>ance Hídrico en Cuencas Interiores</w:t>
      </w:r>
      <w:r>
        <w:t>, Situación Futura y Condición 85% de Probabilidad de Excedencia</w:t>
      </w:r>
    </w:p>
    <w:tbl>
      <w:tblPr>
        <w:tblW w:w="9086" w:type="dxa"/>
        <w:jc w:val="center"/>
        <w:tblInd w:w="65" w:type="dxa"/>
        <w:tblCellMar>
          <w:left w:w="70" w:type="dxa"/>
          <w:right w:w="70" w:type="dxa"/>
        </w:tblCellMar>
        <w:tblLook w:val="04A0" w:firstRow="1" w:lastRow="0" w:firstColumn="1" w:lastColumn="0" w:noHBand="0" w:noVBand="1"/>
      </w:tblPr>
      <w:tblGrid>
        <w:gridCol w:w="958"/>
        <w:gridCol w:w="865"/>
        <w:gridCol w:w="865"/>
        <w:gridCol w:w="865"/>
        <w:gridCol w:w="866"/>
        <w:gridCol w:w="866"/>
        <w:gridCol w:w="866"/>
        <w:gridCol w:w="866"/>
        <w:gridCol w:w="866"/>
        <w:gridCol w:w="1034"/>
        <w:gridCol w:w="169"/>
      </w:tblGrid>
      <w:tr w:rsidR="00CF684F" w:rsidRPr="00AA55BF">
        <w:trPr>
          <w:trHeight w:val="225"/>
          <w:jc w:val="center"/>
        </w:trPr>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Cuenca</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P [mm]</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Qe [l/s]</w:t>
            </w:r>
          </w:p>
        </w:tc>
        <w:tc>
          <w:tcPr>
            <w:tcW w:w="865"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E [mm]</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D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Qs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w:t>
            </w:r>
            <w:r w:rsidRPr="00AA55BF">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ΔG+</w:t>
            </w:r>
            <w:r w:rsidRPr="00AA55BF">
              <w:rPr>
                <w:rFonts w:cs="Arial"/>
                <w:color w:val="000000"/>
                <w:sz w:val="16"/>
                <w:szCs w:val="16"/>
                <w:lang w:val="es-CL" w:eastAsia="es-CL"/>
              </w:rPr>
              <w:t xml:space="preserve"> [l/s]</w:t>
            </w:r>
          </w:p>
        </w:tc>
        <w:tc>
          <w:tcPr>
            <w:tcW w:w="866" w:type="dxa"/>
            <w:tcBorders>
              <w:top w:val="single" w:sz="4" w:space="0" w:color="auto"/>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ascii="Calibri" w:hAnsi="Calibri" w:cs="Arial"/>
                <w:color w:val="000000"/>
                <w:sz w:val="16"/>
                <w:szCs w:val="16"/>
                <w:lang w:val="es-CL" w:eastAsia="es-CL"/>
              </w:rPr>
              <w:t>ΔG-</w:t>
            </w:r>
            <w:r w:rsidRPr="00AA55BF">
              <w:rPr>
                <w:rFonts w:cs="Arial"/>
                <w:color w:val="000000"/>
                <w:sz w:val="16"/>
                <w:szCs w:val="16"/>
                <w:lang w:val="es-CL" w:eastAsia="es-CL"/>
              </w:rPr>
              <w:t xml:space="preserve"> [l/s]</w:t>
            </w:r>
          </w:p>
        </w:tc>
        <w:tc>
          <w:tcPr>
            <w:tcW w:w="1034" w:type="dxa"/>
            <w:tcBorders>
              <w:top w:val="single" w:sz="4" w:space="0" w:color="auto"/>
              <w:left w:val="nil"/>
              <w:bottom w:val="single" w:sz="4" w:space="0" w:color="auto"/>
              <w:right w:val="nil"/>
            </w:tcBorders>
            <w:vAlign w:val="center"/>
          </w:tcPr>
          <w:p w:rsidR="00CF684F" w:rsidRPr="006D0A7F" w:rsidRDefault="00CF684F" w:rsidP="00CF684F">
            <w:pPr>
              <w:jc w:val="center"/>
              <w:rPr>
                <w:rFonts w:cs="Arial"/>
                <w:color w:val="000000"/>
                <w:sz w:val="16"/>
                <w:szCs w:val="16"/>
                <w:lang w:val="es-CL" w:eastAsia="es-CL"/>
              </w:rPr>
            </w:pPr>
            <w:r w:rsidRPr="006D0A7F">
              <w:rPr>
                <w:rFonts w:cs="Arial"/>
                <w:color w:val="000000"/>
                <w:sz w:val="16"/>
                <w:szCs w:val="16"/>
                <w:lang w:val="es-CL" w:eastAsia="es-CL"/>
              </w:rPr>
              <w:t>Estado</w:t>
            </w:r>
          </w:p>
        </w:tc>
        <w:tc>
          <w:tcPr>
            <w:tcW w:w="169" w:type="dxa"/>
            <w:tcBorders>
              <w:top w:val="single" w:sz="4" w:space="0" w:color="auto"/>
              <w:left w:val="nil"/>
              <w:bottom w:val="single" w:sz="4" w:space="0" w:color="auto"/>
              <w:right w:val="single" w:sz="4" w:space="0" w:color="auto"/>
            </w:tcBorders>
          </w:tcPr>
          <w:p w:rsidR="00CF684F" w:rsidRPr="00AA55BF" w:rsidRDefault="00CF684F" w:rsidP="00AA55BF">
            <w:pPr>
              <w:jc w:val="center"/>
              <w:rPr>
                <w:rFonts w:ascii="Calibri" w:hAnsi="Calibri"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0571</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410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5965</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5088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2611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-4462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-1650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1584</w:t>
            </w:r>
          </w:p>
        </w:tc>
        <w:tc>
          <w:tcPr>
            <w:tcW w:w="1034"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908</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37493</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6868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66212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-32724</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1034" w:type="dxa"/>
            <w:tcBorders>
              <w:top w:val="nil"/>
              <w:left w:val="nil"/>
              <w:bottom w:val="single" w:sz="4" w:space="0" w:color="auto"/>
              <w:right w:val="nil"/>
            </w:tcBorders>
            <w:vAlign w:val="center"/>
          </w:tcPr>
          <w:p w:rsidR="00CF684F" w:rsidRPr="0065609C" w:rsidRDefault="00CF684F" w:rsidP="00CF684F">
            <w:pPr>
              <w:rPr>
                <w:rFonts w:cs="Arial"/>
                <w:color w:val="000000"/>
                <w:sz w:val="16"/>
                <w:szCs w:val="16"/>
                <w:lang w:val="es-CL" w:eastAsia="es-CL"/>
              </w:rPr>
            </w:pPr>
            <w:r>
              <w:rPr>
                <w:rFonts w:cs="Arial"/>
                <w:color w:val="000000"/>
                <w:sz w:val="16"/>
                <w:szCs w:val="16"/>
                <w:lang w:val="es-CL" w:eastAsia="es-CL"/>
              </w:rPr>
              <w:t>A.Sup.C.B*</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0601</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419</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66212</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20856</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64259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48250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-19405</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-13801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13281</w:t>
            </w:r>
          </w:p>
        </w:tc>
        <w:tc>
          <w:tcPr>
            <w:tcW w:w="1034"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0602-0603</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703</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43039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37492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22722</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-15578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-7991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7035</w:t>
            </w:r>
          </w:p>
        </w:tc>
        <w:tc>
          <w:tcPr>
            <w:tcW w:w="1034"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0604</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288</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0</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9499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7911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1069</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-5485</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 </w:t>
            </w:r>
          </w:p>
        </w:tc>
        <w:tc>
          <w:tcPr>
            <w:tcW w:w="1034"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r w:rsidR="00CF684F" w:rsidRPr="00AA55BF">
        <w:trPr>
          <w:trHeight w:val="225"/>
          <w:jc w:val="center"/>
        </w:trPr>
        <w:tc>
          <w:tcPr>
            <w:tcW w:w="958" w:type="dxa"/>
            <w:tcBorders>
              <w:top w:val="nil"/>
              <w:left w:val="single" w:sz="4" w:space="0" w:color="auto"/>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b/>
                <w:bCs/>
                <w:color w:val="000000"/>
                <w:sz w:val="16"/>
                <w:szCs w:val="16"/>
                <w:lang w:val="es-CL" w:eastAsia="es-CL"/>
              </w:rPr>
            </w:pPr>
            <w:r w:rsidRPr="00AA55BF">
              <w:rPr>
                <w:rFonts w:cs="Arial"/>
                <w:b/>
                <w:bCs/>
                <w:color w:val="000000"/>
                <w:sz w:val="16"/>
                <w:szCs w:val="16"/>
                <w:lang w:val="es-CL" w:eastAsia="es-CL"/>
              </w:rPr>
              <w:t>0605</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357</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72041</w:t>
            </w:r>
          </w:p>
        </w:tc>
        <w:tc>
          <w:tcPr>
            <w:tcW w:w="865"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19193</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9170</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80087</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-12501</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-5668</w:t>
            </w:r>
          </w:p>
        </w:tc>
        <w:tc>
          <w:tcPr>
            <w:tcW w:w="866" w:type="dxa"/>
            <w:tcBorders>
              <w:top w:val="nil"/>
              <w:left w:val="nil"/>
              <w:bottom w:val="single" w:sz="4" w:space="0" w:color="auto"/>
              <w:right w:val="single" w:sz="4" w:space="0" w:color="auto"/>
            </w:tcBorders>
            <w:shd w:val="clear" w:color="auto" w:fill="auto"/>
            <w:noWrap/>
            <w:vAlign w:val="bottom"/>
          </w:tcPr>
          <w:p w:rsidR="00CF684F" w:rsidRPr="00AA55BF" w:rsidRDefault="00CF684F" w:rsidP="00AA55BF">
            <w:pPr>
              <w:jc w:val="center"/>
              <w:rPr>
                <w:rFonts w:cs="Arial"/>
                <w:color w:val="000000"/>
                <w:sz w:val="16"/>
                <w:szCs w:val="16"/>
                <w:lang w:val="es-CL" w:eastAsia="es-CL"/>
              </w:rPr>
            </w:pPr>
            <w:r w:rsidRPr="00AA55BF">
              <w:rPr>
                <w:rFonts w:cs="Arial"/>
                <w:color w:val="000000"/>
                <w:sz w:val="16"/>
                <w:szCs w:val="16"/>
                <w:lang w:val="es-CL" w:eastAsia="es-CL"/>
              </w:rPr>
              <w:t>5640</w:t>
            </w:r>
          </w:p>
        </w:tc>
        <w:tc>
          <w:tcPr>
            <w:tcW w:w="1034" w:type="dxa"/>
            <w:tcBorders>
              <w:top w:val="nil"/>
              <w:left w:val="nil"/>
              <w:bottom w:val="single" w:sz="4" w:space="0" w:color="auto"/>
              <w:right w:val="nil"/>
            </w:tcBorders>
            <w:vAlign w:val="center"/>
          </w:tcPr>
          <w:p w:rsidR="00CF684F" w:rsidRPr="0065609C" w:rsidRDefault="00CF684F"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69" w:type="dxa"/>
            <w:tcBorders>
              <w:top w:val="nil"/>
              <w:left w:val="nil"/>
              <w:bottom w:val="single" w:sz="4" w:space="0" w:color="auto"/>
              <w:right w:val="single" w:sz="4" w:space="0" w:color="auto"/>
            </w:tcBorders>
          </w:tcPr>
          <w:p w:rsidR="00CF684F" w:rsidRPr="00AA55BF" w:rsidRDefault="00CF684F" w:rsidP="00AA55BF">
            <w:pPr>
              <w:jc w:val="center"/>
              <w:rPr>
                <w:rFonts w:cs="Arial"/>
                <w:color w:val="000000"/>
                <w:sz w:val="16"/>
                <w:szCs w:val="16"/>
                <w:lang w:val="es-CL" w:eastAsia="es-CL"/>
              </w:rPr>
            </w:pPr>
          </w:p>
        </w:tc>
      </w:tr>
    </w:tbl>
    <w:p w:rsidR="00CF684F" w:rsidRPr="00C57DCF" w:rsidRDefault="00CF684F" w:rsidP="00CF684F">
      <w:pPr>
        <w:jc w:val="center"/>
        <w:rPr>
          <w:sz w:val="16"/>
          <w:szCs w:val="16"/>
          <w:lang w:val="es-ES_tradnl"/>
        </w:rPr>
      </w:pPr>
      <w:r w:rsidRPr="00C57DCF">
        <w:rPr>
          <w:sz w:val="16"/>
          <w:szCs w:val="16"/>
          <w:lang w:val="es-ES_tradnl"/>
        </w:rPr>
        <w:t>*</w:t>
      </w:r>
      <w:r>
        <w:rPr>
          <w:sz w:val="16"/>
          <w:szCs w:val="16"/>
          <w:lang w:val="es-ES_tradnl"/>
        </w:rPr>
        <w:t>Agua Superficial Cubre Balance. ** Agua Subterránea Cubre Balance</w:t>
      </w:r>
    </w:p>
    <w:p w:rsidR="00AA55BF" w:rsidRDefault="00AA55BF" w:rsidP="00AA55BF">
      <w:pPr>
        <w:rPr>
          <w:lang w:val="es-ES_tradnl"/>
        </w:rPr>
      </w:pPr>
    </w:p>
    <w:p w:rsidR="00AA55BF" w:rsidRDefault="00AA55BF" w:rsidP="00AA55BF">
      <w:pPr>
        <w:rPr>
          <w:lang w:val="es-ES_tradnl"/>
        </w:rPr>
      </w:pPr>
      <w:r>
        <w:rPr>
          <w:lang w:val="es-ES_tradnl"/>
        </w:rPr>
        <w:t xml:space="preserve">Para el escenario futuro, el panorama es similar a la situación actual. </w:t>
      </w:r>
      <w:r w:rsidR="00FD3D48">
        <w:rPr>
          <w:lang w:val="es-ES_tradnl"/>
        </w:rPr>
        <w:t>El único</w:t>
      </w:r>
      <w:r>
        <w:rPr>
          <w:lang w:val="es-ES_tradnl"/>
        </w:rPr>
        <w:t xml:space="preserve"> cambio se produce en la cuenca del </w:t>
      </w:r>
      <w:r w:rsidR="00FD3D48">
        <w:rPr>
          <w:lang w:val="es-ES_tradnl"/>
        </w:rPr>
        <w:t>Cachapoal Bajo (0601), en donde para la condición media el balance puede ser satisfecho con agua subterránea, mientras que para la condición 85% de probabilidad de excedencia no es posible satisfacer el balance de esta forma.</w:t>
      </w:r>
    </w:p>
    <w:p w:rsidR="00FD3D48" w:rsidRDefault="00FD3D48" w:rsidP="00AA55BF">
      <w:pPr>
        <w:rPr>
          <w:lang w:val="es-ES_tradnl"/>
        </w:rPr>
      </w:pPr>
    </w:p>
    <w:p w:rsidR="00AA55BF" w:rsidRDefault="00AA55BF" w:rsidP="00AA55BF">
      <w:pPr>
        <w:rPr>
          <w:lang w:val="es-ES_tradnl"/>
        </w:rPr>
      </w:pPr>
      <w:r>
        <w:rPr>
          <w:lang w:val="es-ES_tradnl"/>
        </w:rPr>
        <w:t xml:space="preserve">Como resultado general, a futuro se tiene una disminución de la disponibilidad del recurso hídrico producto del incremento de las demandas, lo cual se ve reflejado en el término </w:t>
      </w:r>
      <w:r>
        <w:rPr>
          <w:rFonts w:cs="Arial"/>
          <w:lang w:val="es-ES_tradnl"/>
        </w:rPr>
        <w:t>Δ</w:t>
      </w:r>
      <w:r>
        <w:rPr>
          <w:lang w:val="es-ES_tradnl"/>
        </w:rPr>
        <w:t xml:space="preserve">. Para que esa demanda sea capaz de suplirse en el tiempo, y dado que el acuífero no </w:t>
      </w:r>
      <w:r w:rsidR="00FD3D48">
        <w:rPr>
          <w:lang w:val="es-ES_tradnl"/>
        </w:rPr>
        <w:t xml:space="preserve">siempre </w:t>
      </w:r>
      <w:r>
        <w:rPr>
          <w:lang w:val="es-ES_tradnl"/>
        </w:rPr>
        <w:t xml:space="preserve">es capaz de satisfacer las demandas hídricas de </w:t>
      </w:r>
      <w:r w:rsidR="00FD3D48">
        <w:rPr>
          <w:lang w:val="es-ES_tradnl"/>
        </w:rPr>
        <w:t>las cuencas,</w:t>
      </w:r>
      <w:r>
        <w:rPr>
          <w:lang w:val="es-ES_tradnl"/>
        </w:rPr>
        <w:t xml:space="preserve"> </w:t>
      </w:r>
      <w:r w:rsidR="000D1055">
        <w:rPr>
          <w:lang w:val="es-ES_tradnl"/>
        </w:rPr>
        <w:t>una alternativa sería</w:t>
      </w:r>
      <w:r>
        <w:rPr>
          <w:lang w:val="es-ES_tradnl"/>
        </w:rPr>
        <w:t xml:space="preserve"> recurrir a la regulación de las aguas superficiales, de manera de disponer de éstas en el período que se necesite. El efecto </w:t>
      </w:r>
      <w:r w:rsidR="00FD3D48">
        <w:rPr>
          <w:lang w:val="es-ES_tradnl"/>
        </w:rPr>
        <w:t>de la existencia de</w:t>
      </w:r>
      <w:r>
        <w:rPr>
          <w:lang w:val="es-ES_tradnl"/>
        </w:rPr>
        <w:t xml:space="preserve"> obras</w:t>
      </w:r>
      <w:r w:rsidR="00FD3D48">
        <w:rPr>
          <w:lang w:val="es-ES_tradnl"/>
        </w:rPr>
        <w:t xml:space="preserve"> de regulación</w:t>
      </w:r>
      <w:r>
        <w:rPr>
          <w:lang w:val="es-ES_tradnl"/>
        </w:rPr>
        <w:t xml:space="preserve"> en los balances es el de una disminución en el Qs, lo que se traduce en un incremento en el </w:t>
      </w:r>
      <w:r>
        <w:rPr>
          <w:rFonts w:cs="Arial"/>
          <w:lang w:val="es-ES_tradnl"/>
        </w:rPr>
        <w:t>Δ</w:t>
      </w:r>
      <w:r>
        <w:rPr>
          <w:lang w:val="es-ES_tradnl"/>
        </w:rPr>
        <w:t>.</w:t>
      </w:r>
    </w:p>
    <w:p w:rsidR="00895F7B" w:rsidRDefault="00895F7B" w:rsidP="00AA55BF">
      <w:pPr>
        <w:rPr>
          <w:lang w:val="es-ES_tradnl"/>
        </w:rPr>
      </w:pPr>
    </w:p>
    <w:p w:rsidR="00895F7B" w:rsidRDefault="00895F7B" w:rsidP="00895F7B">
      <w:pPr>
        <w:rPr>
          <w:lang w:val="es-ES_tradnl"/>
        </w:rPr>
      </w:pPr>
      <w:r>
        <w:rPr>
          <w:lang w:val="es-ES_tradnl"/>
        </w:rPr>
        <w:t>Para satisfacer la nueva demanda y dado que en términos generales los caudales superficiales de estas cuencas son elevados con excepción de años muy secos (1968-1969, 1998-1999), sería posible satisfacer parte de este incremento en la demanda con los caudales superficiales de las subcuencas sin tener que recurrir al almacenamiento subterráneo, especialmente en la cuenca del río Cachapoal Bajo, en donde los aportes estivales del Cachapoal Alto en los meses de diciembre y enero superan los 110 m</w:t>
      </w:r>
      <w:r>
        <w:rPr>
          <w:vertAlign w:val="superscript"/>
          <w:lang w:val="es-ES_tradnl"/>
        </w:rPr>
        <w:t>3</w:t>
      </w:r>
      <w:r>
        <w:rPr>
          <w:lang w:val="es-ES_tradnl"/>
        </w:rPr>
        <w:t>/s para la probabilidad de excedencia del 85%. El sobrante de agua de la cuenca del Rapel se puede observar en la curva de variación estacional de la subcuenca 0605 en donde los caudales efluentes para una probabilidad de excedencia del 50% supera los 110 m</w:t>
      </w:r>
      <w:r>
        <w:rPr>
          <w:vertAlign w:val="superscript"/>
          <w:lang w:val="es-ES_tradnl"/>
        </w:rPr>
        <w:t>3</w:t>
      </w:r>
      <w:r>
        <w:rPr>
          <w:lang w:val="es-ES_tradnl"/>
        </w:rPr>
        <w:t>/s entre los meses de mayo y septiembre, producto de que los principales consumos de agua se realizan en el período estival.</w:t>
      </w:r>
    </w:p>
    <w:p w:rsidR="00895F7B" w:rsidRDefault="00895F7B" w:rsidP="00895F7B">
      <w:pPr>
        <w:rPr>
          <w:lang w:val="es-ES_tradnl"/>
        </w:rPr>
      </w:pPr>
    </w:p>
    <w:p w:rsidR="00895F7B" w:rsidRDefault="00895F7B" w:rsidP="00895F7B">
      <w:pPr>
        <w:rPr>
          <w:lang w:val="es-ES_tradnl"/>
        </w:rPr>
      </w:pPr>
      <w:r>
        <w:rPr>
          <w:lang w:val="es-ES_tradnl"/>
        </w:rPr>
        <w:lastRenderedPageBreak/>
        <w:t>La cuenca más crítica sería del estero Alhué, puesto que la curva de demanda no coincide con la estacionalidad de caudales y la precipitación anual es baja respecto al resto de las cuencas de la región.</w:t>
      </w:r>
    </w:p>
    <w:p w:rsidR="00AA55BF" w:rsidRDefault="00AA55BF" w:rsidP="00AA55BF">
      <w:pPr>
        <w:rPr>
          <w:lang w:val="es-ES_tradnl"/>
        </w:rPr>
      </w:pPr>
    </w:p>
    <w:p w:rsidR="00AA55BF" w:rsidRDefault="00AA55BF" w:rsidP="00AA55BF">
      <w:pPr>
        <w:rPr>
          <w:lang w:val="es-ES_tradnl"/>
        </w:rPr>
      </w:pPr>
      <w:r>
        <w:rPr>
          <w:lang w:val="es-ES_tradnl"/>
        </w:rPr>
        <w:t xml:space="preserve">Los resultados obtenidos en las cuencas costeras se muestran en las </w:t>
      </w:r>
      <w:r>
        <w:rPr>
          <w:lang w:val="es-ES_tradnl"/>
        </w:rPr>
        <w:fldChar w:fldCharType="begin"/>
      </w:r>
      <w:r>
        <w:rPr>
          <w:lang w:val="es-ES_tradnl"/>
        </w:rPr>
        <w:instrText xml:space="preserve"> REF _Ref344280462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18</w:t>
      </w:r>
      <w:r>
        <w:rPr>
          <w:lang w:val="es-ES_tradnl"/>
        </w:rPr>
        <w:fldChar w:fldCharType="end"/>
      </w:r>
      <w:r>
        <w:rPr>
          <w:lang w:val="es-ES_tradnl"/>
        </w:rPr>
        <w:t xml:space="preserve"> y </w:t>
      </w:r>
      <w:r>
        <w:rPr>
          <w:lang w:val="es-ES_tradnl"/>
        </w:rPr>
        <w:fldChar w:fldCharType="begin"/>
      </w:r>
      <w:r>
        <w:rPr>
          <w:lang w:val="es-ES_tradnl"/>
        </w:rPr>
        <w:instrText xml:space="preserve"> REF _Ref344280478 \h </w:instrText>
      </w:r>
      <w:r>
        <w:rPr>
          <w:lang w:val="es-ES_tradnl"/>
        </w:rPr>
      </w:r>
      <w:r>
        <w:rPr>
          <w:lang w:val="es-ES_tradnl"/>
        </w:rPr>
        <w:fldChar w:fldCharType="separate"/>
      </w:r>
      <w:r w:rsidR="00264070">
        <w:t xml:space="preserve">Tabla </w:t>
      </w:r>
      <w:r w:rsidR="00264070">
        <w:rPr>
          <w:noProof/>
        </w:rPr>
        <w:t>6</w:t>
      </w:r>
      <w:r w:rsidR="00264070">
        <w:t>.</w:t>
      </w:r>
      <w:r w:rsidR="00264070">
        <w:rPr>
          <w:noProof/>
        </w:rPr>
        <w:t>19</w:t>
      </w:r>
      <w:r>
        <w:rPr>
          <w:lang w:val="es-ES_tradnl"/>
        </w:rPr>
        <w:fldChar w:fldCharType="end"/>
      </w:r>
      <w:r>
        <w:rPr>
          <w:lang w:val="es-ES_tradnl"/>
        </w:rPr>
        <w:t>.</w:t>
      </w:r>
    </w:p>
    <w:p w:rsidR="00BA678B" w:rsidRDefault="00BA678B" w:rsidP="00AA55BF">
      <w:pPr>
        <w:rPr>
          <w:lang w:val="es-ES_tradnl"/>
        </w:rPr>
      </w:pPr>
    </w:p>
    <w:p w:rsidR="00AA55BF" w:rsidRDefault="00AA55BF" w:rsidP="00AA55BF">
      <w:pPr>
        <w:pStyle w:val="Epgrafe"/>
        <w:keepNext/>
      </w:pPr>
      <w:bookmarkStart w:id="440" w:name="_Ref344280462"/>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18</w:t>
      </w:r>
      <w:r w:rsidR="007F3102">
        <w:fldChar w:fldCharType="end"/>
      </w:r>
      <w:bookmarkEnd w:id="440"/>
      <w:r>
        <w:t xml:space="preserve"> Balance Hídrico en Cuencas Costeras, Situación Futura y Condición Media</w:t>
      </w:r>
    </w:p>
    <w:tbl>
      <w:tblPr>
        <w:tblW w:w="8296" w:type="dxa"/>
        <w:jc w:val="center"/>
        <w:tblInd w:w="65"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950"/>
        <w:gridCol w:w="146"/>
      </w:tblGrid>
      <w:tr w:rsidR="00CF684F" w:rsidRPr="00FA05BB">
        <w:trPr>
          <w:trHeight w:val="22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Subcuenca</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P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E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D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Qs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Δ [l/s]</w:t>
            </w:r>
          </w:p>
        </w:tc>
        <w:tc>
          <w:tcPr>
            <w:tcW w:w="950" w:type="dxa"/>
            <w:tcBorders>
              <w:top w:val="single" w:sz="4" w:space="0" w:color="auto"/>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sidRPr="006D0A7F">
              <w:rPr>
                <w:rFonts w:cs="Arial"/>
                <w:color w:val="000000"/>
                <w:sz w:val="16"/>
                <w:szCs w:val="16"/>
                <w:lang w:val="es-CL" w:eastAsia="es-CL"/>
              </w:rPr>
              <w:t>Estado</w:t>
            </w:r>
          </w:p>
        </w:tc>
        <w:tc>
          <w:tcPr>
            <w:tcW w:w="146" w:type="dxa"/>
            <w:tcBorders>
              <w:top w:val="single" w:sz="4" w:space="0" w:color="auto"/>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556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396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38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500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617</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434</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488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2668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0612</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630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442</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56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2372</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0613</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685</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453</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6536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6560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0614</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649</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447</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15</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3580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bl>
    <w:p w:rsidR="00BA678B" w:rsidRPr="00C57DCF" w:rsidRDefault="00BA678B" w:rsidP="00BA678B">
      <w:pPr>
        <w:jc w:val="center"/>
        <w:rPr>
          <w:sz w:val="16"/>
          <w:szCs w:val="16"/>
          <w:lang w:val="es-ES_tradnl"/>
        </w:rPr>
      </w:pPr>
      <w:r w:rsidRPr="00C57DCF">
        <w:rPr>
          <w:sz w:val="16"/>
          <w:szCs w:val="16"/>
          <w:lang w:val="es-ES_tradnl"/>
        </w:rPr>
        <w:t>*</w:t>
      </w:r>
      <w:r>
        <w:rPr>
          <w:sz w:val="16"/>
          <w:szCs w:val="16"/>
          <w:lang w:val="es-ES_tradnl"/>
        </w:rPr>
        <w:t>Agua Superficial Cubre Balance.</w:t>
      </w:r>
    </w:p>
    <w:p w:rsidR="00AA55BF" w:rsidRDefault="00AA55BF" w:rsidP="00AA55BF">
      <w:pPr>
        <w:rPr>
          <w:lang w:val="es-ES_tradnl"/>
        </w:rPr>
      </w:pPr>
    </w:p>
    <w:p w:rsidR="00AA55BF" w:rsidRDefault="00AA55BF" w:rsidP="00AA55BF">
      <w:pPr>
        <w:pStyle w:val="Epgrafe"/>
        <w:keepNext/>
      </w:pPr>
      <w:bookmarkStart w:id="441" w:name="_Ref344280478"/>
      <w:r>
        <w:t xml:space="preserve">Tabla </w:t>
      </w:r>
      <w:r w:rsidR="007F3102">
        <w:fldChar w:fldCharType="begin"/>
      </w:r>
      <w:r w:rsidR="007F3102">
        <w:instrText xml:space="preserve"> STYLEREF 1 \s </w:instrText>
      </w:r>
      <w:r w:rsidR="007F3102">
        <w:fldChar w:fldCharType="separate"/>
      </w:r>
      <w:r w:rsidR="00264070">
        <w:rPr>
          <w:noProof/>
        </w:rPr>
        <w:t>6</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19</w:t>
      </w:r>
      <w:r w:rsidR="007F3102">
        <w:fldChar w:fldCharType="end"/>
      </w:r>
      <w:bookmarkEnd w:id="441"/>
      <w:r>
        <w:t xml:space="preserve"> Balance Hídrico en Cuencas Costeras, Situación Futura y Condición 85% de Probabilidad de Excedencia</w:t>
      </w:r>
    </w:p>
    <w:tbl>
      <w:tblPr>
        <w:tblW w:w="8296" w:type="dxa"/>
        <w:jc w:val="center"/>
        <w:tblInd w:w="65"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950"/>
        <w:gridCol w:w="146"/>
      </w:tblGrid>
      <w:tr w:rsidR="00CF684F" w:rsidRPr="00FA05BB">
        <w:trPr>
          <w:trHeight w:val="22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Subcuenca</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P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E [mm]</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D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Qs [l/s]</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Δ [l/s]</w:t>
            </w:r>
          </w:p>
        </w:tc>
        <w:tc>
          <w:tcPr>
            <w:tcW w:w="950" w:type="dxa"/>
            <w:tcBorders>
              <w:top w:val="single" w:sz="4" w:space="0" w:color="auto"/>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sidRPr="006D0A7F">
              <w:rPr>
                <w:rFonts w:cs="Arial"/>
                <w:color w:val="000000"/>
                <w:sz w:val="16"/>
                <w:szCs w:val="16"/>
                <w:lang w:val="es-CL" w:eastAsia="es-CL"/>
              </w:rPr>
              <w:t>Estado</w:t>
            </w:r>
          </w:p>
        </w:tc>
        <w:tc>
          <w:tcPr>
            <w:tcW w:w="146" w:type="dxa"/>
            <w:tcBorders>
              <w:top w:val="single" w:sz="4" w:space="0" w:color="auto"/>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348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1115</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38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21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421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6911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488</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-117</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BA678B"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0612</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430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5263</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56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231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0613</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476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24657</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6536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-4381</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BA678B" w:rsidP="00CF684F">
            <w:pPr>
              <w:jc w:val="center"/>
              <w:rPr>
                <w:rFonts w:cs="Arial"/>
                <w:color w:val="000000"/>
                <w:sz w:val="16"/>
                <w:szCs w:val="16"/>
                <w:lang w:val="es-CL" w:eastAsia="es-CL"/>
              </w:rPr>
            </w:pPr>
            <w:r>
              <w:rPr>
                <w:rFonts w:cs="Arial"/>
                <w:color w:val="000000"/>
                <w:sz w:val="16"/>
                <w:szCs w:val="16"/>
                <w:lang w:val="es-CL" w:eastAsia="es-CL"/>
              </w:rPr>
              <w:t>Déficit</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r w:rsidR="00CF684F" w:rsidRPr="00FA05BB">
        <w:trPr>
          <w:trHeight w:val="225"/>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b/>
                <w:bCs/>
                <w:color w:val="000000"/>
                <w:sz w:val="16"/>
                <w:szCs w:val="16"/>
                <w:lang w:val="es-CL" w:eastAsia="es-CL"/>
              </w:rPr>
            </w:pPr>
            <w:r w:rsidRPr="00FA05BB">
              <w:rPr>
                <w:rFonts w:cs="Arial"/>
                <w:b/>
                <w:bCs/>
                <w:color w:val="000000"/>
                <w:sz w:val="16"/>
                <w:szCs w:val="16"/>
                <w:lang w:val="es-CL" w:eastAsia="es-CL"/>
              </w:rPr>
              <w:t>0614</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426</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7160</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15</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412</w:t>
            </w:r>
          </w:p>
        </w:tc>
        <w:tc>
          <w:tcPr>
            <w:tcW w:w="1200" w:type="dxa"/>
            <w:tcBorders>
              <w:top w:val="nil"/>
              <w:left w:val="nil"/>
              <w:bottom w:val="single" w:sz="4" w:space="0" w:color="auto"/>
              <w:right w:val="single" w:sz="4" w:space="0" w:color="auto"/>
            </w:tcBorders>
            <w:shd w:val="clear" w:color="auto" w:fill="auto"/>
            <w:noWrap/>
            <w:vAlign w:val="bottom"/>
          </w:tcPr>
          <w:p w:rsidR="00CF684F" w:rsidRPr="00FA05BB" w:rsidRDefault="00CF684F" w:rsidP="00FA05BB">
            <w:pPr>
              <w:jc w:val="center"/>
              <w:rPr>
                <w:rFonts w:cs="Arial"/>
                <w:color w:val="000000"/>
                <w:sz w:val="16"/>
                <w:szCs w:val="16"/>
                <w:lang w:val="es-CL" w:eastAsia="es-CL"/>
              </w:rPr>
            </w:pPr>
            <w:r w:rsidRPr="00FA05BB">
              <w:rPr>
                <w:rFonts w:cs="Arial"/>
                <w:color w:val="000000"/>
                <w:sz w:val="16"/>
                <w:szCs w:val="16"/>
                <w:lang w:val="es-CL" w:eastAsia="es-CL"/>
              </w:rPr>
              <w:t>0</w:t>
            </w:r>
          </w:p>
        </w:tc>
        <w:tc>
          <w:tcPr>
            <w:tcW w:w="950" w:type="dxa"/>
            <w:tcBorders>
              <w:top w:val="nil"/>
              <w:left w:val="nil"/>
              <w:bottom w:val="single" w:sz="4" w:space="0" w:color="auto"/>
              <w:right w:val="nil"/>
            </w:tcBorders>
          </w:tcPr>
          <w:p w:rsidR="00CF684F" w:rsidRPr="00A74EF5" w:rsidRDefault="00CF684F" w:rsidP="00CF684F">
            <w:pPr>
              <w:jc w:val="center"/>
              <w:rPr>
                <w:rFonts w:cs="Arial"/>
                <w:color w:val="000000"/>
                <w:sz w:val="16"/>
                <w:szCs w:val="16"/>
                <w:lang w:val="es-CL" w:eastAsia="es-CL"/>
              </w:rPr>
            </w:pPr>
            <w:r>
              <w:rPr>
                <w:rFonts w:cs="Arial"/>
                <w:color w:val="000000"/>
                <w:sz w:val="16"/>
                <w:szCs w:val="16"/>
                <w:lang w:val="es-CL" w:eastAsia="es-CL"/>
              </w:rPr>
              <w:t>A.Sup.C.B*</w:t>
            </w:r>
          </w:p>
        </w:tc>
        <w:tc>
          <w:tcPr>
            <w:tcW w:w="146" w:type="dxa"/>
            <w:tcBorders>
              <w:top w:val="nil"/>
              <w:left w:val="nil"/>
              <w:bottom w:val="single" w:sz="4" w:space="0" w:color="auto"/>
              <w:right w:val="single" w:sz="4" w:space="0" w:color="auto"/>
            </w:tcBorders>
          </w:tcPr>
          <w:p w:rsidR="00CF684F" w:rsidRPr="00FA05BB" w:rsidRDefault="00CF684F" w:rsidP="00FA05BB">
            <w:pPr>
              <w:jc w:val="center"/>
              <w:rPr>
                <w:rFonts w:cs="Arial"/>
                <w:color w:val="000000"/>
                <w:sz w:val="16"/>
                <w:szCs w:val="16"/>
                <w:lang w:val="es-CL" w:eastAsia="es-CL"/>
              </w:rPr>
            </w:pPr>
          </w:p>
        </w:tc>
      </w:tr>
    </w:tbl>
    <w:p w:rsidR="00BA678B" w:rsidRPr="00C57DCF" w:rsidRDefault="00BA678B" w:rsidP="00BA678B">
      <w:pPr>
        <w:jc w:val="center"/>
        <w:rPr>
          <w:sz w:val="16"/>
          <w:szCs w:val="16"/>
          <w:lang w:val="es-ES_tradnl"/>
        </w:rPr>
      </w:pPr>
      <w:r w:rsidRPr="00C57DCF">
        <w:rPr>
          <w:sz w:val="16"/>
          <w:szCs w:val="16"/>
          <w:lang w:val="es-ES_tradnl"/>
        </w:rPr>
        <w:t>*</w:t>
      </w:r>
      <w:r>
        <w:rPr>
          <w:sz w:val="16"/>
          <w:szCs w:val="16"/>
          <w:lang w:val="es-ES_tradnl"/>
        </w:rPr>
        <w:t>Agua Superficial Cubre Balance.</w:t>
      </w:r>
    </w:p>
    <w:p w:rsidR="00895F7B" w:rsidRDefault="00895F7B" w:rsidP="00AA55BF">
      <w:pPr>
        <w:rPr>
          <w:lang w:val="es-ES_tradnl"/>
        </w:rPr>
      </w:pPr>
    </w:p>
    <w:p w:rsidR="00AA55BF" w:rsidRDefault="00AA55BF" w:rsidP="00AA55BF">
      <w:pPr>
        <w:rPr>
          <w:lang w:val="es-ES_tradnl"/>
        </w:rPr>
      </w:pPr>
      <w:r>
        <w:rPr>
          <w:lang w:val="es-ES_tradnl"/>
        </w:rPr>
        <w:t>Los resultados obtenidos para el escenario futuro en las cuencas costeras son similares a la situ</w:t>
      </w:r>
      <w:r w:rsidR="00FA05BB">
        <w:rPr>
          <w:lang w:val="es-ES_tradnl"/>
        </w:rPr>
        <w:t>ación actual, a excepción de las subcuencas del Estero Topocalma (0611) y Estero Nilahue (0613) que en la condición 85% probabilidad de excedencia presentan déficit.</w:t>
      </w:r>
    </w:p>
    <w:p w:rsidR="00FA05BB" w:rsidRDefault="00FA05BB" w:rsidP="00AA55BF">
      <w:pPr>
        <w:rPr>
          <w:lang w:val="es-ES_tradnl"/>
        </w:rPr>
      </w:pPr>
    </w:p>
    <w:p w:rsidR="00AA55BF" w:rsidRDefault="00AA55BF" w:rsidP="00AA55BF">
      <w:r>
        <w:t>A modo de re</w:t>
      </w:r>
      <w:r w:rsidR="00916847">
        <w:t>sumen, se entrega en el Plano 8</w:t>
      </w:r>
      <w:r>
        <w:t xml:space="preserve"> una síntesis del balance anual a nivel de subcuenca. Además, en el </w:t>
      </w:r>
      <w:r w:rsidR="00CF684F">
        <w:t>Anexo 4</w:t>
      </w:r>
      <w:r>
        <w:t xml:space="preserve"> se presentan los balances a nivel mensual para cada una de las subcuencas perte</w:t>
      </w:r>
      <w:r w:rsidR="00895F7B">
        <w:t>ne</w:t>
      </w:r>
      <w:r>
        <w:t>ciente a la región.</w:t>
      </w:r>
    </w:p>
    <w:p w:rsidR="00AA55BF" w:rsidRDefault="00AA55BF" w:rsidP="00AA55BF">
      <w:pPr>
        <w:rPr>
          <w:lang w:val="es-ES_tradnl"/>
        </w:rPr>
      </w:pPr>
    </w:p>
    <w:p w:rsidR="00AA55BF" w:rsidRDefault="00AA55BF" w:rsidP="00AA55BF">
      <w:pPr>
        <w:rPr>
          <w:lang w:val="es-ES_tradnl"/>
        </w:rPr>
      </w:pPr>
      <w:r>
        <w:rPr>
          <w:lang w:val="es-ES_tradnl"/>
        </w:rPr>
        <w:t>Se concluye que el escenario</w:t>
      </w:r>
      <w:r w:rsidRPr="00D73B4B">
        <w:rPr>
          <w:lang w:val="es-ES_tradnl"/>
        </w:rPr>
        <w:t xml:space="preserve"> </w:t>
      </w:r>
      <w:r>
        <w:rPr>
          <w:lang w:val="es-ES_tradnl"/>
        </w:rPr>
        <w:t>de balance planteado, en donde se consideran las demandas totales de agua estimadas a la fecha, es más severo respecto de la situación actual real. Esto porque la evolución en el tiempo del nivel del acuífero debe reflejar las restricciones que se le da al uso del recurso hídrico en años de sequía, así como también las menores demandas que existían en el pasado. De todas formas existe una coherencia a nivel macro respecto de cual es la situación actual de cada sistema.</w:t>
      </w:r>
    </w:p>
    <w:p w:rsidR="003155DE" w:rsidRDefault="003155DE" w:rsidP="00553D2E"/>
    <w:p w:rsidR="00075063" w:rsidRDefault="00553D2E" w:rsidP="00C45E03">
      <w:r>
        <w:t>Respecto a las demandas de recurso hídrico que presenta la región, existe un nivel medio de tecnificación del riego a la fecha, lo que implica que aún hay margen para aumentar la superficie de riego futura al mejorar la eficiencia. En la cuenca del río Rapel queda en evidencia la abundancia de recursos hídricos excedentes de las cuencas de los ríos Cachapoal y Tinguiririca y el estero Alhué</w:t>
      </w:r>
      <w:r w:rsidR="00181F4F">
        <w:t xml:space="preserve">, </w:t>
      </w:r>
      <w:r w:rsidR="00916847">
        <w:t>sobre todo</w:t>
      </w:r>
      <w:r w:rsidR="00181F4F">
        <w:t xml:space="preserve"> en los meses de invierno</w:t>
      </w:r>
      <w:r w:rsidR="00916847">
        <w:t>. No obstante,</w:t>
      </w:r>
      <w:r w:rsidR="00916847" w:rsidRPr="00916847">
        <w:t xml:space="preserve"> </w:t>
      </w:r>
      <w:r w:rsidR="00916847">
        <w:t>debe considerarse en esta cuenca</w:t>
      </w:r>
      <w:r w:rsidR="00916847" w:rsidRPr="00916847">
        <w:t xml:space="preserve"> que el agua de invierno es utilizada para generación en </w:t>
      </w:r>
      <w:smartTag w:uri="urn:schemas-microsoft-com:office:smarttags" w:element="PersonName">
        <w:smartTagPr>
          <w:attr w:name="ProductID" w:val="la Central Rapel"/>
        </w:smartTagPr>
        <w:r w:rsidR="00916847" w:rsidRPr="00916847">
          <w:t>la Central Rapel</w:t>
        </w:r>
      </w:smartTag>
      <w:r w:rsidR="00916847">
        <w:t>,</w:t>
      </w:r>
      <w:r w:rsidR="00916847" w:rsidRPr="00916847">
        <w:t xml:space="preserve"> para lo cual dispone de los derechos correspondientes, lo que inhibe el manejo artificial de las aguas dentro del rango de derechos otorgados.</w:t>
      </w:r>
    </w:p>
    <w:p w:rsidR="00523013" w:rsidRDefault="00523013" w:rsidP="00C45E03"/>
    <w:p w:rsidR="00181F4F" w:rsidRPr="00916847" w:rsidRDefault="00916847" w:rsidP="00916847">
      <w:pPr>
        <w:rPr>
          <w:sz w:val="4"/>
          <w:szCs w:val="4"/>
        </w:rPr>
      </w:pPr>
      <w:r>
        <w:br w:type="page"/>
      </w:r>
    </w:p>
    <w:p w:rsidR="00C45E03" w:rsidRDefault="00C45E03" w:rsidP="00C45E03">
      <w:pPr>
        <w:pStyle w:val="Ttulo1"/>
      </w:pPr>
      <w:bookmarkStart w:id="442" w:name="_Toc344391854"/>
      <w:r>
        <w:t>SOLUCIONES PROPUESTAS</w:t>
      </w:r>
      <w:bookmarkEnd w:id="442"/>
    </w:p>
    <w:p w:rsidR="00C45E03" w:rsidRDefault="00C45E03" w:rsidP="00C45E03"/>
    <w:p w:rsidR="007C57BD" w:rsidRPr="00A4396D" w:rsidRDefault="00916847" w:rsidP="007C57BD">
      <w:pPr>
        <w:rPr>
          <w:rFonts w:cs="Arial"/>
          <w:szCs w:val="22"/>
          <w:lang w:val="es-CL"/>
        </w:rPr>
      </w:pPr>
      <w:r>
        <w:rPr>
          <w:rFonts w:cs="Arial"/>
          <w:szCs w:val="22"/>
          <w:lang w:val="es-CL"/>
        </w:rPr>
        <w:t>En el presente</w:t>
      </w:r>
      <w:r w:rsidR="007C57BD" w:rsidRPr="00A4396D">
        <w:rPr>
          <w:rFonts w:cs="Arial"/>
          <w:szCs w:val="22"/>
          <w:lang w:val="es-CL"/>
        </w:rPr>
        <w:t xml:space="preserve"> Capítulo se entrega una propuesta de las posibles soluciones potenciales de implementar a nivel de las subcuencas de </w:t>
      </w:r>
      <w:smartTag w:uri="urn:schemas-microsoft-com:office:smarttags" w:element="PersonName">
        <w:smartTagPr>
          <w:attr w:name="ProductID" w:val="la Región"/>
        </w:smartTagPr>
        <w:r w:rsidR="007C57BD" w:rsidRPr="00A4396D">
          <w:rPr>
            <w:rFonts w:cs="Arial"/>
            <w:szCs w:val="22"/>
            <w:lang w:val="es-CL"/>
          </w:rPr>
          <w:t>la Región</w:t>
        </w:r>
      </w:smartTag>
      <w:r w:rsidR="007C57BD" w:rsidRPr="00A4396D">
        <w:rPr>
          <w:rFonts w:cs="Arial"/>
          <w:szCs w:val="22"/>
          <w:lang w:val="es-CL"/>
        </w:rPr>
        <w:t xml:space="preserve"> </w:t>
      </w:r>
      <w:r w:rsidR="007C57BD" w:rsidRPr="0075051F">
        <w:rPr>
          <w:rFonts w:cs="Arial"/>
          <w:szCs w:val="22"/>
          <w:lang w:val="es-CL"/>
        </w:rPr>
        <w:t>de</w:t>
      </w:r>
      <w:r w:rsidR="007C57BD">
        <w:rPr>
          <w:rFonts w:cs="Arial"/>
          <w:szCs w:val="22"/>
          <w:lang w:val="es-CL"/>
        </w:rPr>
        <w:t>l</w:t>
      </w:r>
      <w:r w:rsidR="007C57BD">
        <w:rPr>
          <w:szCs w:val="22"/>
          <w:lang w:val="es-CL"/>
        </w:rPr>
        <w:t xml:space="preserve"> </w:t>
      </w:r>
      <w:r w:rsidR="007C57BD" w:rsidRPr="0075051F">
        <w:rPr>
          <w:rFonts w:cs="Arial"/>
          <w:szCs w:val="22"/>
          <w:lang w:val="es-CL"/>
        </w:rPr>
        <w:t>Libertador General Bernardo O'Higgins</w:t>
      </w:r>
      <w:r w:rsidR="007C57BD" w:rsidRPr="00A4396D">
        <w:rPr>
          <w:rFonts w:cs="Arial"/>
          <w:szCs w:val="22"/>
          <w:lang w:val="es-CL"/>
        </w:rPr>
        <w:t>, teniendo como base los resultados del balance oferta-demanda que fue descrito en el punto anterior.</w:t>
      </w:r>
    </w:p>
    <w:p w:rsidR="007C57BD" w:rsidRPr="00A4396D" w:rsidRDefault="007C57BD" w:rsidP="007C57BD">
      <w:pPr>
        <w:rPr>
          <w:rFonts w:cs="Arial"/>
          <w:szCs w:val="22"/>
          <w:lang w:val="es-CL"/>
        </w:rPr>
      </w:pPr>
    </w:p>
    <w:p w:rsidR="007C57BD" w:rsidRPr="00A4396D" w:rsidRDefault="007C57BD" w:rsidP="007C57BD">
      <w:pPr>
        <w:rPr>
          <w:rFonts w:cs="Arial"/>
          <w:szCs w:val="22"/>
          <w:lang w:val="es-CL"/>
        </w:rPr>
      </w:pPr>
      <w:r w:rsidRPr="00A4396D">
        <w:rPr>
          <w:rFonts w:cs="Arial"/>
          <w:szCs w:val="22"/>
          <w:lang w:val="es-CL"/>
        </w:rPr>
        <w:t xml:space="preserve">Los resultados de este balance han permitido identificar las subcuencas que presentan déficit o superávit de </w:t>
      </w:r>
      <w:r>
        <w:rPr>
          <w:rFonts w:cs="Arial"/>
          <w:szCs w:val="22"/>
          <w:lang w:val="es-CL"/>
        </w:rPr>
        <w:t>recursos hídricos.</w:t>
      </w:r>
    </w:p>
    <w:p w:rsidR="007C57BD" w:rsidRPr="00A4396D" w:rsidRDefault="007C57BD" w:rsidP="007C57BD">
      <w:pPr>
        <w:rPr>
          <w:rFonts w:cs="Arial"/>
          <w:szCs w:val="22"/>
          <w:lang w:val="es-CL"/>
        </w:rPr>
      </w:pPr>
    </w:p>
    <w:p w:rsidR="007C57BD" w:rsidRPr="00A4396D" w:rsidRDefault="007C57BD" w:rsidP="007C57BD">
      <w:pPr>
        <w:rPr>
          <w:rFonts w:cs="Arial"/>
          <w:szCs w:val="22"/>
          <w:lang w:val="es-CL"/>
        </w:rPr>
      </w:pPr>
      <w:r w:rsidRPr="00A4396D">
        <w:rPr>
          <w:rFonts w:cs="Arial"/>
          <w:szCs w:val="22"/>
          <w:lang w:val="es-CL"/>
        </w:rPr>
        <w:t>En este sentido las soluciones formuladas tienen como directriz el satisfacer los requerimientos de agua a nivel de cada una de las subcuencas que se encuentran en condición de déficit y por otra parte a mejorar la calidad de la información base utilizada en la determinación de los balances de aguas.</w:t>
      </w:r>
    </w:p>
    <w:p w:rsidR="007C57BD" w:rsidRPr="00A4396D" w:rsidRDefault="007C57BD" w:rsidP="007C57BD">
      <w:pPr>
        <w:rPr>
          <w:rFonts w:cs="Arial"/>
          <w:szCs w:val="22"/>
          <w:lang w:val="es-CL"/>
        </w:rPr>
      </w:pPr>
    </w:p>
    <w:p w:rsidR="007C57BD" w:rsidRPr="00A4396D" w:rsidRDefault="007C57BD" w:rsidP="007C57BD">
      <w:pPr>
        <w:rPr>
          <w:rFonts w:cs="Arial"/>
          <w:szCs w:val="22"/>
          <w:lang w:val="es-CL"/>
        </w:rPr>
      </w:pPr>
      <w:r w:rsidRPr="00A4396D">
        <w:rPr>
          <w:rFonts w:cs="Arial"/>
          <w:szCs w:val="22"/>
          <w:lang w:val="es-CL"/>
        </w:rPr>
        <w:t>Las soluciones que han sido evaluadas son las siguientes:</w:t>
      </w:r>
    </w:p>
    <w:p w:rsidR="007C57BD" w:rsidRPr="00A4396D" w:rsidRDefault="007C57BD" w:rsidP="007C57BD">
      <w:pPr>
        <w:rPr>
          <w:rFonts w:cs="Arial"/>
          <w:szCs w:val="22"/>
          <w:lang w:val="es-CL"/>
        </w:rPr>
      </w:pPr>
    </w:p>
    <w:p w:rsidR="007C57BD" w:rsidRPr="00A4396D" w:rsidRDefault="007C57BD" w:rsidP="00145762">
      <w:pPr>
        <w:numPr>
          <w:ilvl w:val="0"/>
          <w:numId w:val="29"/>
        </w:numPr>
        <w:rPr>
          <w:rFonts w:cs="Arial"/>
          <w:szCs w:val="22"/>
          <w:lang w:val="es-CL"/>
        </w:rPr>
      </w:pPr>
      <w:r w:rsidRPr="00A4396D">
        <w:rPr>
          <w:rFonts w:cs="Arial"/>
          <w:szCs w:val="22"/>
          <w:lang w:val="es-CL"/>
        </w:rPr>
        <w:t>Mejora de la eficiencia en riego</w:t>
      </w:r>
    </w:p>
    <w:p w:rsidR="007C57BD" w:rsidRPr="00A4396D" w:rsidRDefault="007C57BD" w:rsidP="00145762">
      <w:pPr>
        <w:numPr>
          <w:ilvl w:val="0"/>
          <w:numId w:val="29"/>
        </w:numPr>
        <w:rPr>
          <w:rFonts w:cs="Arial"/>
          <w:szCs w:val="22"/>
          <w:lang w:val="es-CL"/>
        </w:rPr>
      </w:pPr>
      <w:r w:rsidRPr="00A4396D">
        <w:rPr>
          <w:rFonts w:cs="Arial"/>
          <w:szCs w:val="22"/>
          <w:lang w:val="es-CL"/>
        </w:rPr>
        <w:t>Recarga de acuíferos</w:t>
      </w:r>
    </w:p>
    <w:p w:rsidR="007C57BD" w:rsidRPr="00A4396D" w:rsidRDefault="007C57BD" w:rsidP="00145762">
      <w:pPr>
        <w:numPr>
          <w:ilvl w:val="0"/>
          <w:numId w:val="29"/>
        </w:numPr>
        <w:rPr>
          <w:rFonts w:cs="Arial"/>
          <w:szCs w:val="22"/>
          <w:lang w:val="es-CL"/>
        </w:rPr>
      </w:pPr>
      <w:r w:rsidRPr="00A4396D">
        <w:rPr>
          <w:rFonts w:cs="Arial"/>
          <w:szCs w:val="22"/>
          <w:lang w:val="es-CL"/>
        </w:rPr>
        <w:t>Compra de derechos de agua</w:t>
      </w:r>
    </w:p>
    <w:p w:rsidR="007C57BD" w:rsidRDefault="007C57BD" w:rsidP="00145762">
      <w:pPr>
        <w:numPr>
          <w:ilvl w:val="0"/>
          <w:numId w:val="29"/>
        </w:numPr>
        <w:rPr>
          <w:rFonts w:cs="Arial"/>
          <w:szCs w:val="22"/>
          <w:lang w:val="es-CL"/>
        </w:rPr>
      </w:pPr>
      <w:r w:rsidRPr="00A4396D">
        <w:rPr>
          <w:rFonts w:cs="Arial"/>
          <w:szCs w:val="22"/>
          <w:lang w:val="es-CL"/>
        </w:rPr>
        <w:t>Mejoramiento d</w:t>
      </w:r>
      <w:r w:rsidRPr="002F4243">
        <w:rPr>
          <w:rFonts w:cs="Arial"/>
          <w:szCs w:val="22"/>
          <w:lang w:val="es-CL"/>
        </w:rPr>
        <w:t xml:space="preserve">e la red </w:t>
      </w:r>
      <w:r>
        <w:rPr>
          <w:rFonts w:cs="Arial"/>
          <w:szCs w:val="22"/>
          <w:lang w:val="es-CL"/>
        </w:rPr>
        <w:t>f</w:t>
      </w:r>
      <w:r w:rsidRPr="002F4243">
        <w:rPr>
          <w:rFonts w:cs="Arial"/>
          <w:szCs w:val="22"/>
          <w:lang w:val="es-CL"/>
        </w:rPr>
        <w:t>luviométrica</w:t>
      </w:r>
      <w:r>
        <w:rPr>
          <w:rFonts w:cs="Arial"/>
          <w:szCs w:val="22"/>
          <w:lang w:val="es-CL"/>
        </w:rPr>
        <w:t xml:space="preserve"> y p</w:t>
      </w:r>
      <w:r w:rsidRPr="002F4243">
        <w:rPr>
          <w:rFonts w:cs="Arial"/>
          <w:szCs w:val="22"/>
          <w:lang w:val="es-CL"/>
        </w:rPr>
        <w:t>luviométrica</w:t>
      </w:r>
    </w:p>
    <w:p w:rsidR="009D6FCC" w:rsidRDefault="009D6FCC" w:rsidP="009D6FCC">
      <w:pPr>
        <w:rPr>
          <w:rFonts w:cs="Arial"/>
          <w:szCs w:val="22"/>
          <w:lang w:val="es-CL"/>
        </w:rPr>
      </w:pPr>
    </w:p>
    <w:p w:rsidR="009D6FCC" w:rsidRPr="00A4396D" w:rsidRDefault="009D6FCC" w:rsidP="009D6FCC">
      <w:pPr>
        <w:rPr>
          <w:rFonts w:cs="Arial"/>
          <w:szCs w:val="22"/>
          <w:lang w:val="es-CL"/>
        </w:rPr>
      </w:pPr>
      <w:r>
        <w:rPr>
          <w:rFonts w:cs="Arial"/>
          <w:szCs w:val="22"/>
          <w:lang w:val="es-CL"/>
        </w:rPr>
        <w:t>La estimación de los costos se encuentra expresada en US$ con un valor equivalente de $480.</w:t>
      </w:r>
    </w:p>
    <w:p w:rsidR="007C57BD" w:rsidRPr="00A4396D" w:rsidRDefault="007C57BD" w:rsidP="007C57BD">
      <w:pPr>
        <w:rPr>
          <w:rFonts w:cs="Arial"/>
          <w:szCs w:val="22"/>
          <w:lang w:val="es-CL"/>
        </w:rPr>
      </w:pPr>
    </w:p>
    <w:p w:rsidR="007C57BD" w:rsidRPr="00A4396D" w:rsidRDefault="007C57BD" w:rsidP="007C57BD">
      <w:pPr>
        <w:rPr>
          <w:rFonts w:cs="Arial"/>
          <w:szCs w:val="22"/>
          <w:lang w:val="es-CL"/>
        </w:rPr>
      </w:pPr>
      <w:r w:rsidRPr="00A4396D">
        <w:rPr>
          <w:rFonts w:cs="Arial"/>
          <w:szCs w:val="22"/>
          <w:lang w:val="es-CL"/>
        </w:rPr>
        <w:t>En lo que sigue se presenta una descripción de las soluciones que han sido propuestas con indicación de sus costos y la subcuenca en la cual es aplicable cada una de ellas.</w:t>
      </w:r>
    </w:p>
    <w:p w:rsidR="007C57BD" w:rsidRPr="00A4396D" w:rsidRDefault="007C57BD" w:rsidP="007C57BD">
      <w:pPr>
        <w:rPr>
          <w:rFonts w:cs="Arial"/>
          <w:szCs w:val="22"/>
          <w:lang w:val="es-CL"/>
        </w:rPr>
      </w:pPr>
    </w:p>
    <w:p w:rsidR="007C57BD" w:rsidRDefault="007C57BD" w:rsidP="007C57BD">
      <w:pPr>
        <w:rPr>
          <w:rFonts w:cs="Arial"/>
          <w:szCs w:val="22"/>
          <w:lang w:val="es-CL"/>
        </w:rPr>
      </w:pPr>
      <w:r w:rsidRPr="00A4396D">
        <w:rPr>
          <w:rFonts w:cs="Arial"/>
          <w:szCs w:val="22"/>
          <w:lang w:val="es-CL"/>
        </w:rPr>
        <w:t>Finalmente también se entrega un resumen de las soluciones propuestas a nivel de subcuenca.</w:t>
      </w:r>
    </w:p>
    <w:p w:rsidR="007C57BD" w:rsidRDefault="007C57BD" w:rsidP="007C57BD">
      <w:pPr>
        <w:rPr>
          <w:rFonts w:cs="Arial"/>
          <w:szCs w:val="22"/>
          <w:lang w:val="es-CL"/>
        </w:rPr>
      </w:pPr>
    </w:p>
    <w:p w:rsidR="007C57BD" w:rsidRPr="007C57BD" w:rsidRDefault="007C57BD" w:rsidP="007C57BD">
      <w:pPr>
        <w:pStyle w:val="Ttulo2"/>
        <w:ind w:left="578" w:hanging="578"/>
      </w:pPr>
      <w:bookmarkStart w:id="443" w:name="_Toc344391855"/>
      <w:r w:rsidRPr="007C57BD">
        <w:t xml:space="preserve">Mejora de </w:t>
      </w:r>
      <w:smartTag w:uri="urn:schemas-microsoft-com:office:smarttags" w:element="PersonName">
        <w:smartTagPr>
          <w:attr w:name="ProductID" w:val="la Eficiencia"/>
        </w:smartTagPr>
        <w:r w:rsidRPr="007C57BD">
          <w:t xml:space="preserve">la </w:t>
        </w:r>
        <w:r>
          <w:t>E</w:t>
        </w:r>
        <w:r w:rsidRPr="007C57BD">
          <w:t>ficiencia</w:t>
        </w:r>
      </w:smartTag>
      <w:r w:rsidRPr="007C57BD">
        <w:t xml:space="preserve"> en </w:t>
      </w:r>
      <w:r>
        <w:t>R</w:t>
      </w:r>
      <w:r w:rsidRPr="007C57BD">
        <w:t>iego</w:t>
      </w:r>
      <w:bookmarkEnd w:id="443"/>
    </w:p>
    <w:p w:rsidR="007C57BD" w:rsidRDefault="007C57BD" w:rsidP="007C57BD">
      <w:pPr>
        <w:rPr>
          <w:rFonts w:cs="Arial"/>
          <w:szCs w:val="22"/>
          <w:lang w:val="es-CL"/>
        </w:rPr>
      </w:pPr>
    </w:p>
    <w:p w:rsidR="007C57BD"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La utilización de los limitados recursos hídricos disponibles, su creciente escasez y la competencia entre los diversos usos harán que el agua de riego cobre especial importancia en relación a </w:t>
      </w:r>
      <w:r w:rsidRPr="00B200E4">
        <w:rPr>
          <w:rFonts w:cs="Arial"/>
          <w:bCs/>
          <w:szCs w:val="22"/>
          <w:lang w:val="es-CL" w:eastAsia="es-CL"/>
        </w:rPr>
        <w:t xml:space="preserve">su empleo eficiente </w:t>
      </w:r>
      <w:r w:rsidRPr="00B200E4">
        <w:rPr>
          <w:rFonts w:cs="Arial"/>
          <w:szCs w:val="22"/>
          <w:lang w:val="es-CL" w:eastAsia="es-CL"/>
        </w:rPr>
        <w:t>y la eficacia de sus mecanismos de gestión.</w:t>
      </w:r>
    </w:p>
    <w:p w:rsidR="007C57BD"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7B3BDE">
        <w:rPr>
          <w:rFonts w:cs="Arial"/>
          <w:szCs w:val="22"/>
          <w:lang w:val="es-CL" w:eastAsia="es-CL"/>
        </w:rPr>
        <w:t>En particular, en las regiones de Valparaíso y Libertador Bernardo O´</w:t>
      </w:r>
      <w:r w:rsidR="00E2088E">
        <w:rPr>
          <w:rFonts w:cs="Arial"/>
          <w:szCs w:val="22"/>
          <w:lang w:val="es-CL" w:eastAsia="es-CL"/>
        </w:rPr>
        <w:t>Higgins, el consumo de agua está</w:t>
      </w:r>
      <w:r w:rsidRPr="007B3BDE">
        <w:rPr>
          <w:rFonts w:cs="Arial"/>
          <w:szCs w:val="22"/>
          <w:lang w:val="es-CL" w:eastAsia="es-CL"/>
        </w:rPr>
        <w:t xml:space="preserve"> dado principa</w:t>
      </w:r>
      <w:r w:rsidR="00E2088E">
        <w:rPr>
          <w:rFonts w:cs="Arial"/>
          <w:szCs w:val="22"/>
          <w:lang w:val="es-CL" w:eastAsia="es-CL"/>
        </w:rPr>
        <w:t>lmente por uso en riego, lo cua</w:t>
      </w:r>
      <w:r w:rsidRPr="007B3BDE">
        <w:rPr>
          <w:rFonts w:cs="Arial"/>
          <w:szCs w:val="22"/>
          <w:lang w:val="es-CL" w:eastAsia="es-CL"/>
        </w:rPr>
        <w:t>l indica que los esfuerzos por solucionar el problema de la escasez hídrica debiesen apuntar principalmente a este sector.</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Es necesario realizar un gran esfuerzo para mejorar los medios y las tecnologías a disposición de los regantes para la distribución y el empleo del agua de riego, mediante una eficiente formación gerencial como el </w:t>
      </w:r>
      <w:r w:rsidRPr="00B200E4">
        <w:rPr>
          <w:rFonts w:cs="Arial"/>
          <w:bCs/>
          <w:szCs w:val="22"/>
          <w:lang w:val="es-CL" w:eastAsia="es-CL"/>
        </w:rPr>
        <w:t>asesoramiento a lo largo de la campaña de riego</w:t>
      </w:r>
      <w:r w:rsidRPr="00B200E4">
        <w:rPr>
          <w:rFonts w:cs="Arial"/>
          <w:szCs w:val="22"/>
          <w:lang w:val="es-CL" w:eastAsia="es-CL"/>
        </w:rPr>
        <w:t>.</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Es imprescindible disponer de estadísticas fiables sobre la distribución nacional, regional y comunal de los sistemas de riego, </w:t>
      </w:r>
      <w:r w:rsidRPr="00B200E4">
        <w:rPr>
          <w:rFonts w:cs="Arial"/>
          <w:bCs/>
          <w:szCs w:val="22"/>
          <w:lang w:val="es-CL" w:eastAsia="es-CL"/>
        </w:rPr>
        <w:t>evaluación de sistemas actuales,</w:t>
      </w:r>
      <w:r w:rsidRPr="00B200E4">
        <w:rPr>
          <w:rFonts w:cs="Arial"/>
          <w:szCs w:val="22"/>
          <w:lang w:val="es-CL" w:eastAsia="es-CL"/>
        </w:rPr>
        <w:t xml:space="preserve"> recomendaciones sobre la elección de los sistemas y métodos de riego y estimación de los consumos energéticos, entre otros.</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Para la mejora de la eficiencia de distribución en los canales, se debe aumentar el revestimiento de los mismos, ya sea con hormigón o con losetas; sustituir los tramos de sección insuficiente; repasar el estado de las acequias distribuidoras que aportan agua a los predios; vigilar el manejo del agua para que no se pierda por la cola de los canales a los desagües y entubar los canales, entre otros.</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Los efectos negativos en los rendimientos de los principales cultivos de la zona  ponen en peligro la sustentabilidad de la producción agrícola por el deterioro en la capacidad productiva de los suelos, ya sea por drenaje deficiente, lixiviación de nutrientes, erosión de los suelos y deficiente funcionamiento de la red de canales secundarios y terciarios.</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Se debe desarrollar un sistema de análisis de reducción de vulnerabilidad de sectores agrícolas de riego frente a variabilidad y cambio climático, para que los agricultores puedan caracterizar la variabilidad de sus rendimientos frente a condiciones climáticas observadas y proyectadas en diversos escenarios futuros. </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Además, es necesario poder cuantificar los impactos del cambio climático sobre los rendimientos de los cultivos y sobre el consumo real de agua. Para esto se deben explorar algunas medidas agronómicas de adaptación a ser aplicadas para minimizar los efectos negativos del cambio climático.</w:t>
      </w: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 </w:t>
      </w: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Según lo anterior, se debe disminuir conflictos de uso de agua entre distintos usuarios e incrementar la superficie bajo riego y su seguridad. Por otra parte, es necesario reducir la vulnerabilidad de los agricultores frente a la variabilidad de la oferta y la demanda hídrica, resultante del cambio climático global. </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Se debe demostrar que una mayor eficiencia de riego puede logar aumentar los rendimientos de los cultivos, aumentar la rentabilidad predial y disminuir el gasto de agua a los regantes.</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Por otra parte, además de aumentar la eficiencia de riego, básicamente a través de la introducción de métodos de riego presurizados, es necesario usar eficientemente el agua de riego disponible. Se debe considerar que existen proyectos en carpeta por parte del Estado, ya sea de embalses, mejoramiento de canales y unificaciones, entre otros, y que a la fecha no existen definiciones concretas en cuanto a la efectiva construcción de estas obras. Es necesario por lo tanto contribuir al uso eficiente de las aguas de riego, por una parte, a través de una adecuada distribución de turnos de riego y, por otra, a la posibilidad de contar con estructuras de acumulación nocturnas. Estas últimas permiten mejorar el riego a través de prácticas diurnas y la acumulación de agua para el uso de métodos presurizados en forma continua.</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Para lograr un manejo eficiente de los recursos y aumentar la superficie de riego efectiva, se tienen que dar cuatro condiciones:</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145762">
      <w:pPr>
        <w:numPr>
          <w:ilvl w:val="0"/>
          <w:numId w:val="29"/>
        </w:numPr>
        <w:rPr>
          <w:rFonts w:cs="Arial"/>
          <w:szCs w:val="22"/>
          <w:lang w:val="es-CL"/>
        </w:rPr>
      </w:pPr>
      <w:r w:rsidRPr="00B200E4">
        <w:rPr>
          <w:rFonts w:cs="Arial"/>
          <w:szCs w:val="22"/>
          <w:lang w:val="es-CL"/>
        </w:rPr>
        <w:t>La disponibilidad de los agricultores al cambio.</w:t>
      </w:r>
    </w:p>
    <w:p w:rsidR="007C57BD" w:rsidRPr="00B200E4" w:rsidRDefault="007C57BD" w:rsidP="00145762">
      <w:pPr>
        <w:numPr>
          <w:ilvl w:val="0"/>
          <w:numId w:val="29"/>
        </w:numPr>
        <w:rPr>
          <w:rFonts w:cs="Arial"/>
          <w:szCs w:val="22"/>
          <w:lang w:val="es-CL"/>
        </w:rPr>
      </w:pPr>
      <w:r w:rsidRPr="00B200E4">
        <w:rPr>
          <w:rFonts w:cs="Arial"/>
          <w:szCs w:val="22"/>
          <w:lang w:val="es-CL"/>
        </w:rPr>
        <w:t>Fuerte inversión por parte del Estado sobre todo en estructuras de regulación en cabeceras de los ríos (embalses).</w:t>
      </w:r>
    </w:p>
    <w:p w:rsidR="007C57BD" w:rsidRPr="00B200E4" w:rsidRDefault="007C57BD" w:rsidP="00145762">
      <w:pPr>
        <w:numPr>
          <w:ilvl w:val="0"/>
          <w:numId w:val="29"/>
        </w:numPr>
        <w:rPr>
          <w:rFonts w:cs="Arial"/>
          <w:szCs w:val="22"/>
          <w:lang w:val="es-CL"/>
        </w:rPr>
      </w:pPr>
      <w:r w:rsidRPr="00B200E4">
        <w:rPr>
          <w:rFonts w:cs="Arial"/>
          <w:szCs w:val="22"/>
          <w:lang w:val="es-CL"/>
        </w:rPr>
        <w:t>El incentivo por parte del Estado en relación al uso de estructuras de regulación, métodos de riego más eficientes y revestimiento de los canales (Ley de Riego 18.450).</w:t>
      </w:r>
    </w:p>
    <w:p w:rsidR="007C57BD" w:rsidRPr="00B200E4" w:rsidRDefault="007C57BD" w:rsidP="00145762">
      <w:pPr>
        <w:numPr>
          <w:ilvl w:val="0"/>
          <w:numId w:val="29"/>
        </w:numPr>
        <w:rPr>
          <w:rFonts w:cs="Arial"/>
          <w:szCs w:val="22"/>
          <w:lang w:val="es-CL"/>
        </w:rPr>
      </w:pPr>
      <w:r w:rsidRPr="00B200E4">
        <w:rPr>
          <w:rFonts w:cs="Arial"/>
          <w:szCs w:val="22"/>
          <w:lang w:val="es-CL"/>
        </w:rPr>
        <w:lastRenderedPageBreak/>
        <w:t>Un apoyo técnico y crediticio acorde a las necesidades de cada zona.</w:t>
      </w:r>
    </w:p>
    <w:p w:rsidR="007C57BD" w:rsidRPr="00B200E4" w:rsidRDefault="007C57BD" w:rsidP="007C57BD">
      <w:pPr>
        <w:autoSpaceDE w:val="0"/>
        <w:autoSpaceDN w:val="0"/>
        <w:adjustRightInd w:val="0"/>
        <w:rPr>
          <w:rFonts w:cs="Arial"/>
          <w:szCs w:val="22"/>
          <w:lang w:val="es-CL" w:eastAsia="es-CL"/>
        </w:rPr>
      </w:pPr>
    </w:p>
    <w:p w:rsidR="007C57BD" w:rsidRPr="00B200E4" w:rsidRDefault="007C57BD" w:rsidP="007C57BD">
      <w:pPr>
        <w:autoSpaceDE w:val="0"/>
        <w:autoSpaceDN w:val="0"/>
        <w:adjustRightInd w:val="0"/>
        <w:rPr>
          <w:rFonts w:cs="Arial"/>
          <w:szCs w:val="22"/>
          <w:lang w:val="es-CL" w:eastAsia="es-CL"/>
        </w:rPr>
      </w:pPr>
      <w:r w:rsidRPr="00B200E4">
        <w:rPr>
          <w:rFonts w:cs="Arial"/>
          <w:szCs w:val="22"/>
          <w:lang w:val="es-CL" w:eastAsia="es-CL"/>
        </w:rPr>
        <w:t xml:space="preserve">Se debe señalar que el logro de disminución de los volúmenes de agua de riego actuales, se debe producir a través de la adopción paulatina de un cambio tecnológico en la eficiencia del uso del recurso hídrico. </w:t>
      </w:r>
    </w:p>
    <w:p w:rsidR="007C57BD" w:rsidRPr="00B200E4" w:rsidRDefault="007C57BD" w:rsidP="007C57BD">
      <w:pPr>
        <w:autoSpaceDE w:val="0"/>
        <w:autoSpaceDN w:val="0"/>
        <w:adjustRightInd w:val="0"/>
        <w:rPr>
          <w:rFonts w:cs="Arial"/>
          <w:szCs w:val="22"/>
          <w:lang w:val="es-CL" w:eastAsia="es-CL"/>
        </w:rPr>
      </w:pPr>
    </w:p>
    <w:p w:rsidR="007C57BD" w:rsidRDefault="007C57BD" w:rsidP="007C57BD">
      <w:pPr>
        <w:autoSpaceDE w:val="0"/>
        <w:autoSpaceDN w:val="0"/>
        <w:adjustRightInd w:val="0"/>
        <w:rPr>
          <w:rFonts w:cs="Arial"/>
          <w:szCs w:val="22"/>
          <w:lang w:val="es-CL" w:eastAsia="es-CL"/>
        </w:rPr>
      </w:pPr>
      <w:r w:rsidRPr="00B200E4">
        <w:rPr>
          <w:rFonts w:cs="Arial"/>
          <w:szCs w:val="22"/>
          <w:lang w:val="es-CL" w:eastAsia="es-CL"/>
        </w:rPr>
        <w:t>Finalmente, se deben adaptar tecnologías modernas de riego superficial y riego presurizado, entrenando a los agricultores en la mejor forma de usar el agua de riego a través de una adecuada frecuencia, cantidad, duración, diseño y operación del riego.</w:t>
      </w:r>
    </w:p>
    <w:p w:rsidR="00E2088E" w:rsidRDefault="00E2088E" w:rsidP="007C57BD">
      <w:pPr>
        <w:autoSpaceDE w:val="0"/>
        <w:autoSpaceDN w:val="0"/>
        <w:adjustRightInd w:val="0"/>
        <w:rPr>
          <w:rFonts w:cs="Arial"/>
          <w:szCs w:val="22"/>
          <w:lang w:val="es-CL" w:eastAsia="es-CL"/>
        </w:rPr>
      </w:pPr>
    </w:p>
    <w:p w:rsidR="00E2088E" w:rsidRDefault="00E2088E" w:rsidP="00E2088E">
      <w:pPr>
        <w:rPr>
          <w:rFonts w:cs="Arial"/>
          <w:szCs w:val="22"/>
          <w:lang w:val="es-CL"/>
        </w:rPr>
      </w:pPr>
      <w:r>
        <w:rPr>
          <w:rFonts w:cs="Arial"/>
          <w:szCs w:val="22"/>
          <w:lang w:val="es-CL"/>
        </w:rPr>
        <w:t>De acuerdo con los resultados del balance hídrico en el escenario actual y condición media, existe la cantidad de recursos hídricos suficientes para la satisfacción total de la demanda en prácticamente la totalidad de las cuencas de la región. Esta demanda corresponde principalmente a recurso hídrico destinado al riego.</w:t>
      </w:r>
    </w:p>
    <w:p w:rsidR="00E2088E" w:rsidRDefault="00E2088E" w:rsidP="00E2088E">
      <w:pPr>
        <w:rPr>
          <w:rFonts w:cs="Arial"/>
          <w:szCs w:val="22"/>
          <w:lang w:val="es-CL"/>
        </w:rPr>
      </w:pPr>
    </w:p>
    <w:p w:rsidR="00E2088E" w:rsidRPr="00435097" w:rsidRDefault="00E2088E" w:rsidP="00E2088E">
      <w:pPr>
        <w:rPr>
          <w:rFonts w:cs="Arial"/>
          <w:szCs w:val="22"/>
          <w:lang w:val="es-CL"/>
        </w:rPr>
      </w:pPr>
      <w:r>
        <w:rPr>
          <w:rFonts w:cs="Arial"/>
          <w:szCs w:val="22"/>
          <w:lang w:val="es-CL"/>
        </w:rPr>
        <w:t>Por esta razón, s</w:t>
      </w:r>
      <w:r w:rsidRPr="00435097">
        <w:rPr>
          <w:rFonts w:cs="Arial"/>
          <w:szCs w:val="22"/>
          <w:lang w:val="es-CL"/>
        </w:rPr>
        <w:t>e consideró</w:t>
      </w:r>
      <w:r>
        <w:rPr>
          <w:rFonts w:cs="Arial"/>
          <w:szCs w:val="22"/>
          <w:lang w:val="es-CL"/>
        </w:rPr>
        <w:t xml:space="preserve"> como criterio conservador</w:t>
      </w:r>
      <w:r w:rsidRPr="00435097">
        <w:rPr>
          <w:rFonts w:cs="Arial"/>
          <w:szCs w:val="22"/>
          <w:lang w:val="es-CL"/>
        </w:rPr>
        <w:t xml:space="preserve"> el mejoramiento de la eficiencia de riego </w:t>
      </w:r>
      <w:r>
        <w:rPr>
          <w:rFonts w:cs="Arial"/>
          <w:szCs w:val="22"/>
          <w:lang w:val="es-CL"/>
        </w:rPr>
        <w:t xml:space="preserve">sólo </w:t>
      </w:r>
      <w:r w:rsidRPr="00435097">
        <w:rPr>
          <w:rFonts w:cs="Arial"/>
          <w:szCs w:val="22"/>
          <w:lang w:val="es-CL"/>
        </w:rPr>
        <w:t>en las nuevas áreas que se integran a la superficie de riego. De acuerdo con este criterio, el área total a tec</w:t>
      </w:r>
      <w:r>
        <w:rPr>
          <w:rFonts w:cs="Arial"/>
          <w:szCs w:val="22"/>
          <w:lang w:val="es-CL"/>
        </w:rPr>
        <w:t>nificar en la región es de 1352</w:t>
      </w:r>
      <w:r w:rsidR="00FC2070">
        <w:rPr>
          <w:rFonts w:cs="Arial"/>
          <w:szCs w:val="22"/>
          <w:lang w:val="es-CL"/>
        </w:rPr>
        <w:t>,8</w:t>
      </w:r>
      <w:r w:rsidRPr="00435097">
        <w:rPr>
          <w:rFonts w:cs="Arial"/>
          <w:szCs w:val="22"/>
          <w:lang w:val="es-CL"/>
        </w:rPr>
        <w:t xml:space="preserve"> km</w:t>
      </w:r>
      <w:r w:rsidRPr="00435097">
        <w:rPr>
          <w:rFonts w:cs="Arial"/>
          <w:szCs w:val="22"/>
          <w:vertAlign w:val="superscript"/>
          <w:lang w:val="es-CL"/>
        </w:rPr>
        <w:t>2</w:t>
      </w:r>
      <w:r w:rsidRPr="00435097">
        <w:rPr>
          <w:rFonts w:cs="Arial"/>
          <w:szCs w:val="22"/>
          <w:lang w:val="es-CL"/>
        </w:rPr>
        <w:t xml:space="preserve">, cuyos costos asociados se muestran en </w:t>
      </w:r>
      <w:smartTag w:uri="urn:schemas-microsoft-com:office:smarttags" w:element="PersonName">
        <w:smartTagPr>
          <w:attr w:name="ProductID" w:val="la ￼￼￼￼￼￼￼￼￼￼￼￼￼￼￼￼￼￼￼￼￼￼￼￼￼￼￼￼￼￼￼￼￼￼￼￼￼￼￼￼￼Tabla"/>
        </w:smartTagPr>
        <w:r w:rsidRPr="00435097">
          <w:rPr>
            <w:rFonts w:cs="Arial"/>
            <w:szCs w:val="22"/>
            <w:lang w:val="es-CL"/>
          </w:rPr>
          <w:t xml:space="preserve">la </w:t>
        </w:r>
        <w:r w:rsidRPr="00435097">
          <w:rPr>
            <w:rFonts w:cs="Arial"/>
            <w:szCs w:val="22"/>
            <w:lang w:val="es-CL"/>
          </w:rPr>
          <w:fldChar w:fldCharType="begin"/>
        </w:r>
        <w:r w:rsidRPr="00435097">
          <w:rPr>
            <w:rFonts w:cs="Arial"/>
            <w:szCs w:val="22"/>
            <w:lang w:val="es-CL"/>
          </w:rPr>
          <w:instrText xml:space="preserve"> REF _Ref344301268 \h </w:instrText>
        </w:r>
        <w:r w:rsidRPr="00435097">
          <w:rPr>
            <w:rFonts w:cs="Arial"/>
            <w:szCs w:val="22"/>
            <w:lang w:val="es-CL"/>
          </w:rPr>
        </w:r>
        <w:r w:rsidRPr="00435097">
          <w:rPr>
            <w:rFonts w:cs="Arial"/>
            <w:szCs w:val="22"/>
            <w:lang w:val="es-CL"/>
          </w:rPr>
          <w:instrText xml:space="preserve"> \* MERGEFORMAT </w:instrText>
        </w:r>
        <w:r w:rsidRPr="00435097">
          <w:rPr>
            <w:rFonts w:cs="Arial"/>
            <w:szCs w:val="22"/>
            <w:lang w:val="es-CL"/>
          </w:rPr>
          <w:fldChar w:fldCharType="separate"/>
        </w:r>
        <w:r w:rsidR="00264070" w:rsidRPr="00435097">
          <w:t>Tabla</w:t>
        </w:r>
      </w:smartTag>
      <w:r w:rsidR="00264070" w:rsidRPr="00435097">
        <w:t xml:space="preserve"> </w:t>
      </w:r>
      <w:r w:rsidR="00264070">
        <w:rPr>
          <w:noProof/>
        </w:rPr>
        <w:t>7.1</w:t>
      </w:r>
      <w:r w:rsidRPr="00435097">
        <w:rPr>
          <w:rFonts w:cs="Arial"/>
          <w:szCs w:val="22"/>
          <w:lang w:val="es-CL"/>
        </w:rPr>
        <w:fldChar w:fldCharType="end"/>
      </w:r>
      <w:r w:rsidRPr="00435097">
        <w:rPr>
          <w:rFonts w:cs="Arial"/>
          <w:szCs w:val="22"/>
          <w:lang w:val="es-CL"/>
        </w:rPr>
        <w:t xml:space="preserve">. </w:t>
      </w:r>
    </w:p>
    <w:p w:rsidR="00E2088E" w:rsidRPr="00435097" w:rsidRDefault="00E2088E" w:rsidP="00E2088E">
      <w:pPr>
        <w:rPr>
          <w:rFonts w:cs="Arial"/>
          <w:szCs w:val="22"/>
          <w:lang w:val="es-CL"/>
        </w:rPr>
      </w:pPr>
    </w:p>
    <w:p w:rsidR="00E2088E" w:rsidRPr="00435097" w:rsidRDefault="00E2088E" w:rsidP="00E2088E">
      <w:pPr>
        <w:pStyle w:val="Epgrafe"/>
        <w:keepNext/>
      </w:pPr>
      <w:bookmarkStart w:id="444" w:name="_Ref344301268"/>
      <w:r w:rsidRPr="00435097">
        <w:t xml:space="preserve">Tabla </w:t>
      </w:r>
      <w:r w:rsidR="007F3102">
        <w:fldChar w:fldCharType="begin"/>
      </w:r>
      <w:r w:rsidR="007F3102">
        <w:instrText xml:space="preserve"> STYLEREF 1 \s </w:instrText>
      </w:r>
      <w:r w:rsidR="007F3102">
        <w:fldChar w:fldCharType="separate"/>
      </w:r>
      <w:r w:rsidR="00264070">
        <w:rPr>
          <w:noProof/>
        </w:rPr>
        <w:t>7</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w:t>
      </w:r>
      <w:r w:rsidR="007F3102">
        <w:fldChar w:fldCharType="end"/>
      </w:r>
      <w:bookmarkEnd w:id="444"/>
      <w:r w:rsidRPr="00435097">
        <w:t xml:space="preserve"> Costos por hectárea asociados a </w:t>
      </w:r>
      <w:smartTag w:uri="urn:schemas-microsoft-com:office:smarttags" w:element="PersonName">
        <w:smartTagPr>
          <w:attr w:name="ProductID" w:val="la Tecnificación"/>
        </w:smartTagPr>
        <w:r w:rsidRPr="00435097">
          <w:t xml:space="preserve">la </w:t>
        </w:r>
        <w:r w:rsidR="00FC2070" w:rsidRPr="00435097">
          <w:t>Tecnificación</w:t>
        </w:r>
      </w:smartTag>
      <w:r w:rsidRPr="00435097">
        <w:t xml:space="preserve"> del Riego</w:t>
      </w:r>
    </w:p>
    <w:tbl>
      <w:tblPr>
        <w:tblW w:w="5232" w:type="dxa"/>
        <w:jc w:val="center"/>
        <w:tblInd w:w="55" w:type="dxa"/>
        <w:tblCellMar>
          <w:left w:w="70" w:type="dxa"/>
          <w:right w:w="70" w:type="dxa"/>
        </w:tblCellMar>
        <w:tblLook w:val="04A0" w:firstRow="1" w:lastRow="0" w:firstColumn="1" w:lastColumn="0" w:noHBand="0" w:noVBand="1"/>
      </w:tblPr>
      <w:tblGrid>
        <w:gridCol w:w="4009"/>
        <w:gridCol w:w="1223"/>
      </w:tblGrid>
      <w:tr w:rsidR="00E2088E" w:rsidRPr="00435097">
        <w:trPr>
          <w:trHeight w:val="255"/>
          <w:jc w:val="center"/>
        </w:trPr>
        <w:tc>
          <w:tcPr>
            <w:tcW w:w="40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Costo de Tecnificación [US$/ha]</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5521</w:t>
            </w:r>
          </w:p>
        </w:tc>
      </w:tr>
      <w:tr w:rsidR="00E2088E" w:rsidRPr="00435097">
        <w:trPr>
          <w:trHeight w:val="255"/>
          <w:jc w:val="center"/>
        </w:trPr>
        <w:tc>
          <w:tcPr>
            <w:tcW w:w="40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Costo Mantención [US$/ha/año]</w:t>
            </w:r>
          </w:p>
        </w:tc>
        <w:tc>
          <w:tcPr>
            <w:tcW w:w="1223" w:type="dxa"/>
            <w:tcBorders>
              <w:top w:val="nil"/>
              <w:left w:val="nil"/>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583</w:t>
            </w:r>
          </w:p>
        </w:tc>
      </w:tr>
      <w:tr w:rsidR="00E2088E" w:rsidRPr="00435097">
        <w:trPr>
          <w:trHeight w:val="255"/>
          <w:jc w:val="center"/>
        </w:trPr>
        <w:tc>
          <w:tcPr>
            <w:tcW w:w="40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Costo Asistencia Técnica [US$/ha/año]</w:t>
            </w:r>
          </w:p>
        </w:tc>
        <w:tc>
          <w:tcPr>
            <w:tcW w:w="1223" w:type="dxa"/>
            <w:tcBorders>
              <w:top w:val="nil"/>
              <w:left w:val="nil"/>
              <w:bottom w:val="single" w:sz="4" w:space="0" w:color="auto"/>
              <w:right w:val="single" w:sz="4" w:space="0" w:color="auto"/>
            </w:tcBorders>
            <w:shd w:val="clear" w:color="auto" w:fill="auto"/>
            <w:noWrap/>
            <w:vAlign w:val="center"/>
          </w:tcPr>
          <w:p w:rsidR="00E2088E" w:rsidRPr="00435097" w:rsidRDefault="00E2088E" w:rsidP="00E2088E">
            <w:pPr>
              <w:jc w:val="center"/>
              <w:rPr>
                <w:rFonts w:cs="Arial"/>
                <w:color w:val="000000"/>
                <w:sz w:val="20"/>
                <w:lang w:val="es-CL" w:eastAsia="es-CL"/>
              </w:rPr>
            </w:pPr>
            <w:r w:rsidRPr="00435097">
              <w:rPr>
                <w:rFonts w:cs="Arial"/>
                <w:color w:val="000000"/>
                <w:sz w:val="20"/>
                <w:lang w:val="es-CL" w:eastAsia="es-CL"/>
              </w:rPr>
              <w:t>9</w:t>
            </w:r>
          </w:p>
        </w:tc>
      </w:tr>
    </w:tbl>
    <w:p w:rsidR="00E2088E" w:rsidRPr="00435097" w:rsidRDefault="00E2088E" w:rsidP="00E2088E">
      <w:pPr>
        <w:rPr>
          <w:rFonts w:cs="Arial"/>
          <w:szCs w:val="22"/>
          <w:lang w:val="es-CL"/>
        </w:rPr>
      </w:pPr>
    </w:p>
    <w:p w:rsidR="00E2088E" w:rsidRPr="00435097" w:rsidRDefault="00E2088E" w:rsidP="00E2088E">
      <w:pPr>
        <w:rPr>
          <w:rFonts w:cs="Arial"/>
          <w:szCs w:val="22"/>
          <w:lang w:val="es-CL"/>
        </w:rPr>
      </w:pPr>
      <w:r w:rsidRPr="00435097">
        <w:rPr>
          <w:rFonts w:cs="Arial"/>
          <w:szCs w:val="22"/>
          <w:lang w:val="es-CL"/>
        </w:rPr>
        <w:t xml:space="preserve">El costo total de esta solución corresponde al indicado en </w:t>
      </w:r>
      <w:smartTag w:uri="urn:schemas-microsoft-com:office:smarttags" w:element="PersonName">
        <w:smartTagPr>
          <w:attr w:name="ProductID" w:val="la ￼￼￼￼￼￼￼￼￼￼￼￼￼￼￼￼￼￼￼￼￼￼￼￼￼￼￼￼￼￼￼￼￼￼￼￼￼￼￼￼￼Tabla"/>
        </w:smartTagPr>
        <w:r w:rsidRPr="00435097">
          <w:rPr>
            <w:rFonts w:cs="Arial"/>
            <w:szCs w:val="22"/>
            <w:lang w:val="es-CL"/>
          </w:rPr>
          <w:t xml:space="preserve">la </w:t>
        </w:r>
        <w:r w:rsidRPr="00435097">
          <w:rPr>
            <w:rFonts w:cs="Arial"/>
            <w:szCs w:val="22"/>
            <w:lang w:val="es-CL"/>
          </w:rPr>
          <w:fldChar w:fldCharType="begin"/>
        </w:r>
        <w:r w:rsidRPr="00435097">
          <w:rPr>
            <w:rFonts w:cs="Arial"/>
            <w:szCs w:val="22"/>
            <w:lang w:val="es-CL"/>
          </w:rPr>
          <w:instrText xml:space="preserve"> REF _Ref344301794 \h </w:instrText>
        </w:r>
        <w:r w:rsidRPr="00435097">
          <w:rPr>
            <w:rFonts w:cs="Arial"/>
            <w:szCs w:val="22"/>
            <w:lang w:val="es-CL"/>
          </w:rPr>
        </w:r>
        <w:r w:rsidRPr="00435097">
          <w:rPr>
            <w:rFonts w:cs="Arial"/>
            <w:szCs w:val="22"/>
            <w:lang w:val="es-CL"/>
          </w:rPr>
          <w:instrText xml:space="preserve"> \* MERGEFORMAT </w:instrText>
        </w:r>
        <w:r w:rsidRPr="00435097">
          <w:rPr>
            <w:rFonts w:cs="Arial"/>
            <w:szCs w:val="22"/>
            <w:lang w:val="es-CL"/>
          </w:rPr>
          <w:fldChar w:fldCharType="separate"/>
        </w:r>
        <w:r w:rsidR="00264070" w:rsidRPr="00435097">
          <w:t>Tabla</w:t>
        </w:r>
      </w:smartTag>
      <w:r w:rsidR="00264070" w:rsidRPr="00435097">
        <w:t xml:space="preserve"> </w:t>
      </w:r>
      <w:r w:rsidR="00264070">
        <w:rPr>
          <w:noProof/>
        </w:rPr>
        <w:t>7.2</w:t>
      </w:r>
      <w:r w:rsidRPr="00435097">
        <w:rPr>
          <w:rFonts w:cs="Arial"/>
          <w:szCs w:val="22"/>
          <w:lang w:val="es-CL"/>
        </w:rPr>
        <w:fldChar w:fldCharType="end"/>
      </w:r>
      <w:r w:rsidRPr="00435097">
        <w:rPr>
          <w:rFonts w:cs="Arial"/>
          <w:szCs w:val="22"/>
          <w:lang w:val="es-CL"/>
        </w:rPr>
        <w:t>. Cabe destacar que un sistema de riego tiene una vida útil promedio de 20 años, luego del cual se debe volver a realizar la inversión (costo de tecnificación). El costo de asistencia técnica en general se aplica en un período no mayor a 10 años.</w:t>
      </w:r>
    </w:p>
    <w:p w:rsidR="00E2088E" w:rsidRPr="00435097" w:rsidRDefault="00E2088E" w:rsidP="00E2088E">
      <w:pPr>
        <w:rPr>
          <w:rFonts w:cs="Arial"/>
          <w:szCs w:val="22"/>
          <w:lang w:val="es-CL"/>
        </w:rPr>
      </w:pPr>
    </w:p>
    <w:p w:rsidR="00E2088E" w:rsidRPr="00435097" w:rsidRDefault="00E2088E" w:rsidP="00E2088E">
      <w:pPr>
        <w:pStyle w:val="Epgrafe"/>
        <w:keepNext/>
      </w:pPr>
      <w:bookmarkStart w:id="445" w:name="_Ref344301794"/>
      <w:r w:rsidRPr="00435097">
        <w:t xml:space="preserve">Tabla </w:t>
      </w:r>
      <w:r w:rsidR="007F3102">
        <w:fldChar w:fldCharType="begin"/>
      </w:r>
      <w:r w:rsidR="007F3102">
        <w:instrText xml:space="preserve"> STYLEREF 1 \s </w:instrText>
      </w:r>
      <w:r w:rsidR="007F3102">
        <w:fldChar w:fldCharType="separate"/>
      </w:r>
      <w:r w:rsidR="00264070">
        <w:rPr>
          <w:noProof/>
        </w:rPr>
        <w:t>7</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bookmarkEnd w:id="445"/>
      <w:r w:rsidRPr="00435097">
        <w:t xml:space="preserve"> Costo a Nivel Regional de </w:t>
      </w:r>
      <w:smartTag w:uri="urn:schemas-microsoft-com:office:smarttags" w:element="PersonName">
        <w:smartTagPr>
          <w:attr w:name="ProductID" w:val="la Tecnificación"/>
        </w:smartTagPr>
        <w:r w:rsidRPr="00435097">
          <w:t xml:space="preserve">la </w:t>
        </w:r>
        <w:r w:rsidR="00FC2070" w:rsidRPr="00435097">
          <w:t>Tecnificación</w:t>
        </w:r>
      </w:smartTag>
      <w:r w:rsidRPr="00435097">
        <w:t xml:space="preserve"> del Riego</w:t>
      </w:r>
    </w:p>
    <w:tbl>
      <w:tblPr>
        <w:tblW w:w="5717"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7"/>
        <w:gridCol w:w="2180"/>
      </w:tblGrid>
      <w:tr w:rsidR="00E2088E" w:rsidRPr="00435097">
        <w:trPr>
          <w:trHeight w:val="255"/>
          <w:jc w:val="center"/>
        </w:trPr>
        <w:tc>
          <w:tcPr>
            <w:tcW w:w="3537" w:type="dxa"/>
            <w:shd w:val="clear" w:color="auto" w:fill="auto"/>
            <w:vAlign w:val="center"/>
          </w:tcPr>
          <w:p w:rsidR="00E2088E" w:rsidRPr="00435097" w:rsidRDefault="00E2088E" w:rsidP="00E2088E">
            <w:pPr>
              <w:jc w:val="left"/>
              <w:rPr>
                <w:rFonts w:cs="Arial"/>
                <w:sz w:val="20"/>
                <w:lang w:val="es-CL" w:eastAsia="es-CL"/>
              </w:rPr>
            </w:pPr>
            <w:r w:rsidRPr="00435097">
              <w:rPr>
                <w:rFonts w:cs="Arial"/>
                <w:sz w:val="20"/>
                <w:lang w:val="es-CL" w:eastAsia="es-CL"/>
              </w:rPr>
              <w:t>Tecnificación [US$]</w:t>
            </w:r>
          </w:p>
        </w:tc>
        <w:tc>
          <w:tcPr>
            <w:tcW w:w="2180" w:type="dxa"/>
            <w:shd w:val="clear" w:color="auto" w:fill="auto"/>
            <w:noWrap/>
            <w:vAlign w:val="center"/>
          </w:tcPr>
          <w:p w:rsidR="00E2088E" w:rsidRPr="00435097" w:rsidRDefault="00FC2070" w:rsidP="00E2088E">
            <w:pPr>
              <w:jc w:val="center"/>
              <w:rPr>
                <w:rFonts w:cs="Arial"/>
                <w:sz w:val="20"/>
                <w:lang w:val="es-CL" w:eastAsia="es-CL"/>
              </w:rPr>
            </w:pPr>
            <w:r>
              <w:rPr>
                <w:rFonts w:cs="Arial"/>
                <w:sz w:val="20"/>
                <w:lang w:val="es-CL" w:eastAsia="es-CL"/>
              </w:rPr>
              <w:t>746.850.604</w:t>
            </w:r>
          </w:p>
        </w:tc>
      </w:tr>
      <w:tr w:rsidR="00E2088E" w:rsidRPr="00435097">
        <w:trPr>
          <w:trHeight w:val="255"/>
          <w:jc w:val="center"/>
        </w:trPr>
        <w:tc>
          <w:tcPr>
            <w:tcW w:w="3537" w:type="dxa"/>
            <w:shd w:val="clear" w:color="auto" w:fill="auto"/>
            <w:vAlign w:val="center"/>
          </w:tcPr>
          <w:p w:rsidR="00E2088E" w:rsidRPr="00435097" w:rsidRDefault="00E2088E" w:rsidP="00E2088E">
            <w:pPr>
              <w:jc w:val="left"/>
              <w:rPr>
                <w:rFonts w:cs="Arial"/>
                <w:sz w:val="20"/>
                <w:lang w:val="es-CL" w:eastAsia="es-CL"/>
              </w:rPr>
            </w:pPr>
            <w:r w:rsidRPr="00435097">
              <w:rPr>
                <w:rFonts w:cs="Arial"/>
                <w:sz w:val="20"/>
                <w:lang w:val="es-CL" w:eastAsia="es-CL"/>
              </w:rPr>
              <w:t>Mantención y Asistencia [US$/año]</w:t>
            </w:r>
          </w:p>
        </w:tc>
        <w:tc>
          <w:tcPr>
            <w:tcW w:w="2180" w:type="dxa"/>
            <w:shd w:val="clear" w:color="auto" w:fill="auto"/>
            <w:noWrap/>
            <w:vAlign w:val="center"/>
          </w:tcPr>
          <w:p w:rsidR="00E2088E" w:rsidRPr="00435097" w:rsidRDefault="00FC2070" w:rsidP="00E2088E">
            <w:pPr>
              <w:jc w:val="center"/>
              <w:rPr>
                <w:rFonts w:cs="Arial"/>
                <w:sz w:val="20"/>
                <w:lang w:val="es-CL" w:eastAsia="es-CL"/>
              </w:rPr>
            </w:pPr>
            <w:r>
              <w:rPr>
                <w:rFonts w:cs="Arial"/>
                <w:sz w:val="20"/>
                <w:lang w:val="es-CL" w:eastAsia="es-CL"/>
              </w:rPr>
              <w:t>80.180.754</w:t>
            </w:r>
          </w:p>
        </w:tc>
      </w:tr>
    </w:tbl>
    <w:p w:rsidR="00E2088E" w:rsidRDefault="00E2088E" w:rsidP="007C57BD">
      <w:pPr>
        <w:rPr>
          <w:rFonts w:cs="Arial"/>
          <w:szCs w:val="22"/>
          <w:lang w:val="es-CL"/>
        </w:rPr>
      </w:pPr>
    </w:p>
    <w:p w:rsidR="007C57BD" w:rsidRPr="007C57BD" w:rsidRDefault="007C57BD" w:rsidP="007C57BD">
      <w:pPr>
        <w:pStyle w:val="Ttulo2"/>
        <w:ind w:left="578" w:hanging="578"/>
        <w:rPr>
          <w:szCs w:val="22"/>
          <w:lang w:val="es-CL"/>
        </w:rPr>
      </w:pPr>
      <w:bookmarkStart w:id="446" w:name="_Toc344391856"/>
      <w:r w:rsidRPr="007C57BD">
        <w:t>Recarga de Acuíferos</w:t>
      </w:r>
      <w:bookmarkEnd w:id="446"/>
    </w:p>
    <w:p w:rsidR="007C57BD" w:rsidRPr="00564FEC" w:rsidRDefault="007C57BD" w:rsidP="007C57BD">
      <w:pPr>
        <w:rPr>
          <w:rFonts w:cs="Arial"/>
          <w:szCs w:val="22"/>
          <w:lang w:val="es-CL"/>
        </w:rPr>
      </w:pPr>
    </w:p>
    <w:p w:rsidR="007C57BD" w:rsidRPr="00564FEC" w:rsidRDefault="007C57BD" w:rsidP="007C57BD">
      <w:pPr>
        <w:rPr>
          <w:rFonts w:cs="Arial"/>
          <w:szCs w:val="22"/>
          <w:lang w:val="es-CL"/>
        </w:rPr>
      </w:pPr>
      <w:r>
        <w:rPr>
          <w:rFonts w:cs="Arial"/>
          <w:szCs w:val="22"/>
          <w:lang w:val="es-CL"/>
        </w:rPr>
        <w:t>Con el fin de aumentar la disponibilidad de agua subterránea, se propone la recarga artificial de los acuíferos. Este tipo de soluciones es factible de implementar en aquellas subcuencas que de acuerdo a los resultados del balance hídrico presentan:</w:t>
      </w:r>
    </w:p>
    <w:p w:rsidR="007C57BD" w:rsidRPr="00564FEC" w:rsidRDefault="007C57BD" w:rsidP="007C57BD">
      <w:pPr>
        <w:rPr>
          <w:rFonts w:cs="Arial"/>
          <w:szCs w:val="22"/>
          <w:lang w:val="es-CL"/>
        </w:rPr>
      </w:pPr>
    </w:p>
    <w:p w:rsidR="007C57BD" w:rsidRDefault="007C57BD" w:rsidP="00145762">
      <w:pPr>
        <w:numPr>
          <w:ilvl w:val="0"/>
          <w:numId w:val="29"/>
        </w:numPr>
        <w:rPr>
          <w:rFonts w:cs="Arial"/>
          <w:szCs w:val="22"/>
          <w:lang w:val="es-CL"/>
        </w:rPr>
      </w:pPr>
      <w:r>
        <w:rPr>
          <w:rFonts w:cs="Arial"/>
          <w:szCs w:val="22"/>
          <w:lang w:val="es-CL"/>
        </w:rPr>
        <w:t>Superávit de agua incluso en años secos en cuencas vecinas.</w:t>
      </w:r>
    </w:p>
    <w:p w:rsidR="007C57BD" w:rsidRDefault="007C57BD" w:rsidP="00145762">
      <w:pPr>
        <w:numPr>
          <w:ilvl w:val="0"/>
          <w:numId w:val="29"/>
        </w:numPr>
        <w:rPr>
          <w:rFonts w:cs="Arial"/>
          <w:szCs w:val="22"/>
          <w:lang w:val="es-CL"/>
        </w:rPr>
      </w:pPr>
      <w:r>
        <w:rPr>
          <w:rFonts w:cs="Arial"/>
          <w:szCs w:val="22"/>
          <w:lang w:val="es-CL"/>
        </w:rPr>
        <w:t>Superávit de agua para años hidrológicos húmedos.</w:t>
      </w:r>
    </w:p>
    <w:p w:rsidR="007C57BD" w:rsidRPr="00564FEC"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Para el primer caso, se propone la recarga artificial del acuífero a través de pozos o sondajes de inyección, utilizando agua de subcuencas vecinas con superávit, o bien por medio de la compra de derechos de agua.</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Para el segundo caso, se propone para la recarga artificial del acuífero lagunas de infiltración, con el objetivo de captar una gran cantidad de agua, en los cortos períodos de </w:t>
      </w:r>
      <w:r>
        <w:rPr>
          <w:rFonts w:cs="Arial"/>
          <w:szCs w:val="22"/>
          <w:lang w:val="es-CL"/>
        </w:rPr>
        <w:lastRenderedPageBreak/>
        <w:t>tiempo en que el recurso es abundante, ya sea en un año hidrológico con una baja probabilidad de ocurrencia o durante los eventos de tormentas.</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Comparando ambos tipos de soluciones, se pueden hacer las siguientes diferencias presentadas en </w:t>
      </w:r>
      <w:smartTag w:uri="urn:schemas-microsoft-com:office:smarttags" w:element="PersonName">
        <w:smartTagPr>
          <w:attr w:name="ProductID" w:val="la ￼￼￼￼￼￼￼￼￼￼￼￼￼￼￼￼￼￼￼￼￼￼￼￼￼￼￼￼￼￼￼￼￼￼￼￼￼￼￼￼￼Tabla"/>
        </w:smartTagPr>
        <w:r>
          <w:rPr>
            <w:rFonts w:cs="Arial"/>
            <w:szCs w:val="22"/>
            <w:lang w:val="es-CL"/>
          </w:rPr>
          <w:t xml:space="preserve">la </w:t>
        </w:r>
        <w:r w:rsidRPr="007C57BD">
          <w:rPr>
            <w:rFonts w:cs="Arial"/>
            <w:b/>
            <w:szCs w:val="22"/>
            <w:lang w:val="es-CL"/>
          </w:rPr>
          <w:fldChar w:fldCharType="begin"/>
        </w:r>
        <w:r w:rsidRPr="007C57BD">
          <w:rPr>
            <w:rFonts w:cs="Arial"/>
            <w:b/>
            <w:szCs w:val="22"/>
            <w:lang w:val="es-CL"/>
          </w:rPr>
          <w:instrText xml:space="preserve"> REF _Ref342040016 \h </w:instrText>
        </w:r>
        <w:r w:rsidRPr="007C57BD">
          <w:rPr>
            <w:rFonts w:cs="Arial"/>
            <w:b/>
            <w:szCs w:val="22"/>
            <w:lang w:val="es-CL"/>
          </w:rPr>
        </w:r>
        <w:r>
          <w:rPr>
            <w:rFonts w:cs="Arial"/>
            <w:b/>
            <w:szCs w:val="22"/>
            <w:lang w:val="es-CL"/>
          </w:rPr>
          <w:instrText xml:space="preserve"> \* MERGEFORMAT </w:instrText>
        </w:r>
        <w:r w:rsidRPr="007C57BD">
          <w:rPr>
            <w:rFonts w:cs="Arial"/>
            <w:b/>
            <w:szCs w:val="22"/>
            <w:lang w:val="es-CL"/>
          </w:rPr>
          <w:fldChar w:fldCharType="separate"/>
        </w:r>
        <w:r w:rsidR="00264070" w:rsidRPr="00264070">
          <w:rPr>
            <w:rStyle w:val="EpgrafeCar"/>
            <w:b w:val="0"/>
          </w:rPr>
          <w:t>Tabla</w:t>
        </w:r>
      </w:smartTag>
      <w:r w:rsidR="00264070" w:rsidRPr="00264070">
        <w:rPr>
          <w:rStyle w:val="EpgrafeCar"/>
          <w:b w:val="0"/>
        </w:rPr>
        <w:t xml:space="preserve"> 7.3</w:t>
      </w:r>
      <w:r w:rsidRPr="007C57BD">
        <w:rPr>
          <w:rFonts w:cs="Arial"/>
          <w:b/>
          <w:szCs w:val="22"/>
          <w:lang w:val="es-CL"/>
        </w:rPr>
        <w:fldChar w:fldCharType="end"/>
      </w:r>
      <w:r w:rsidRPr="007C57BD">
        <w:rPr>
          <w:rFonts w:cs="Arial"/>
          <w:b/>
          <w:szCs w:val="22"/>
          <w:lang w:val="es-CL"/>
        </w:rPr>
        <w:t>.</w:t>
      </w:r>
    </w:p>
    <w:p w:rsidR="007C57BD" w:rsidRDefault="007C57BD" w:rsidP="007C57BD">
      <w:pPr>
        <w:rPr>
          <w:rFonts w:cs="Arial"/>
          <w:szCs w:val="22"/>
          <w:lang w:val="es-CL"/>
        </w:rPr>
      </w:pPr>
    </w:p>
    <w:p w:rsidR="007C57BD" w:rsidRPr="00227799" w:rsidRDefault="007C57BD" w:rsidP="007C57BD">
      <w:pPr>
        <w:jc w:val="center"/>
        <w:rPr>
          <w:rFonts w:cs="Arial"/>
          <w:b/>
          <w:szCs w:val="22"/>
          <w:lang w:val="es-CL"/>
        </w:rPr>
      </w:pPr>
      <w:bookmarkStart w:id="447" w:name="_Ref342040016"/>
      <w:r w:rsidRPr="007C57BD">
        <w:rPr>
          <w:rStyle w:val="EpgrafeCar"/>
        </w:rPr>
        <w:t xml:space="preserve">Tabla </w:t>
      </w:r>
      <w:r w:rsidR="007F3102">
        <w:rPr>
          <w:rStyle w:val="EpgrafeCar"/>
        </w:rPr>
        <w:fldChar w:fldCharType="begin"/>
      </w:r>
      <w:r w:rsidR="007F3102">
        <w:rPr>
          <w:rStyle w:val="EpgrafeCar"/>
        </w:rPr>
        <w:instrText xml:space="preserve"> STYLEREF 1 \s </w:instrText>
      </w:r>
      <w:r w:rsidR="007F3102">
        <w:rPr>
          <w:rStyle w:val="EpgrafeCar"/>
        </w:rPr>
        <w:fldChar w:fldCharType="separate"/>
      </w:r>
      <w:r w:rsidR="00264070">
        <w:rPr>
          <w:rStyle w:val="EpgrafeCar"/>
          <w:noProof/>
        </w:rPr>
        <w:t>7</w:t>
      </w:r>
      <w:r w:rsidR="007F3102">
        <w:rPr>
          <w:rStyle w:val="EpgrafeCar"/>
        </w:rPr>
        <w:fldChar w:fldCharType="end"/>
      </w:r>
      <w:r w:rsidR="007F3102">
        <w:rPr>
          <w:rStyle w:val="EpgrafeCar"/>
        </w:rPr>
        <w:t>.</w:t>
      </w:r>
      <w:r w:rsidR="007F3102">
        <w:rPr>
          <w:rStyle w:val="EpgrafeCar"/>
        </w:rPr>
        <w:fldChar w:fldCharType="begin"/>
      </w:r>
      <w:r w:rsidR="007F3102">
        <w:rPr>
          <w:rStyle w:val="EpgrafeCar"/>
        </w:rPr>
        <w:instrText xml:space="preserve"> SEQ Tabla \* ARABIC \s 1 </w:instrText>
      </w:r>
      <w:r w:rsidR="007F3102">
        <w:rPr>
          <w:rStyle w:val="EpgrafeCar"/>
        </w:rPr>
        <w:fldChar w:fldCharType="separate"/>
      </w:r>
      <w:r w:rsidR="00264070">
        <w:rPr>
          <w:rStyle w:val="EpgrafeCar"/>
          <w:noProof/>
        </w:rPr>
        <w:t>3</w:t>
      </w:r>
      <w:r w:rsidR="007F3102">
        <w:rPr>
          <w:rStyle w:val="EpgrafeCar"/>
        </w:rPr>
        <w:fldChar w:fldCharType="end"/>
      </w:r>
      <w:bookmarkEnd w:id="447"/>
      <w:r w:rsidRPr="007C57BD">
        <w:rPr>
          <w:rStyle w:val="EpgrafeCar"/>
        </w:rPr>
        <w:t xml:space="preserve"> Comparación</w:t>
      </w:r>
      <w:r>
        <w:rPr>
          <w:rFonts w:cs="Arial"/>
          <w:b/>
          <w:szCs w:val="22"/>
          <w:lang w:val="es-CL"/>
        </w:rPr>
        <w:t xml:space="preserve"> de Soluciones Posibles</w:t>
      </w:r>
    </w:p>
    <w:tbl>
      <w:tblPr>
        <w:tblW w:w="8320" w:type="dxa"/>
        <w:jc w:val="center"/>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20"/>
        <w:gridCol w:w="3600"/>
        <w:gridCol w:w="2700"/>
      </w:tblGrid>
      <w:tr w:rsidR="007C57BD">
        <w:trPr>
          <w:trHeight w:val="499"/>
          <w:jc w:val="center"/>
        </w:trPr>
        <w:tc>
          <w:tcPr>
            <w:tcW w:w="2020" w:type="dxa"/>
            <w:shd w:val="clear" w:color="auto" w:fill="auto"/>
            <w:vAlign w:val="center"/>
          </w:tcPr>
          <w:p w:rsidR="007C57BD" w:rsidRPr="007C57BD" w:rsidRDefault="007C57BD" w:rsidP="007C57BD">
            <w:pPr>
              <w:jc w:val="center"/>
              <w:rPr>
                <w:rFonts w:cs="Arial"/>
                <w:bCs/>
                <w:sz w:val="20"/>
                <w:szCs w:val="20"/>
              </w:rPr>
            </w:pPr>
            <w:r w:rsidRPr="007C57BD">
              <w:rPr>
                <w:rFonts w:cs="Arial"/>
                <w:bCs/>
                <w:sz w:val="20"/>
                <w:szCs w:val="20"/>
              </w:rPr>
              <w:t>Ítem</w:t>
            </w:r>
          </w:p>
        </w:tc>
        <w:tc>
          <w:tcPr>
            <w:tcW w:w="3600" w:type="dxa"/>
            <w:shd w:val="clear" w:color="auto" w:fill="auto"/>
            <w:vAlign w:val="center"/>
          </w:tcPr>
          <w:p w:rsidR="007C57BD" w:rsidRPr="007C57BD" w:rsidRDefault="007C57BD" w:rsidP="007C57BD">
            <w:pPr>
              <w:jc w:val="center"/>
              <w:rPr>
                <w:rFonts w:cs="Arial"/>
                <w:bCs/>
                <w:sz w:val="20"/>
                <w:szCs w:val="20"/>
              </w:rPr>
            </w:pPr>
            <w:r w:rsidRPr="007C57BD">
              <w:rPr>
                <w:rFonts w:cs="Arial"/>
                <w:bCs/>
                <w:sz w:val="20"/>
                <w:szCs w:val="20"/>
              </w:rPr>
              <w:t>Laguna de Infiltración</w:t>
            </w:r>
          </w:p>
        </w:tc>
        <w:tc>
          <w:tcPr>
            <w:tcW w:w="2700" w:type="dxa"/>
            <w:shd w:val="clear" w:color="auto" w:fill="auto"/>
            <w:vAlign w:val="center"/>
          </w:tcPr>
          <w:p w:rsidR="007C57BD" w:rsidRPr="007C57BD" w:rsidRDefault="007C57BD" w:rsidP="007C57BD">
            <w:pPr>
              <w:jc w:val="center"/>
              <w:rPr>
                <w:rFonts w:cs="Arial"/>
                <w:bCs/>
                <w:sz w:val="20"/>
                <w:szCs w:val="20"/>
              </w:rPr>
            </w:pPr>
            <w:r w:rsidRPr="007C57BD">
              <w:rPr>
                <w:rFonts w:cs="Arial"/>
                <w:bCs/>
                <w:sz w:val="20"/>
                <w:szCs w:val="20"/>
              </w:rPr>
              <w:t>Pozo de Inyección</w:t>
            </w:r>
          </w:p>
        </w:tc>
      </w:tr>
      <w:tr w:rsidR="007C57BD">
        <w:trPr>
          <w:trHeight w:val="739"/>
          <w:jc w:val="center"/>
        </w:trPr>
        <w:tc>
          <w:tcPr>
            <w:tcW w:w="2020" w:type="dxa"/>
            <w:shd w:val="clear" w:color="auto" w:fill="auto"/>
            <w:vAlign w:val="center"/>
          </w:tcPr>
          <w:p w:rsidR="007C57BD" w:rsidRDefault="007C57BD" w:rsidP="007C57BD">
            <w:pPr>
              <w:jc w:val="center"/>
              <w:rPr>
                <w:rFonts w:cs="Arial"/>
                <w:sz w:val="20"/>
                <w:szCs w:val="20"/>
              </w:rPr>
            </w:pPr>
            <w:r>
              <w:rPr>
                <w:rFonts w:cs="Arial"/>
                <w:sz w:val="20"/>
                <w:szCs w:val="20"/>
              </w:rPr>
              <w:t>Cantidad de Caudal Infiltrado</w:t>
            </w:r>
          </w:p>
        </w:tc>
        <w:tc>
          <w:tcPr>
            <w:tcW w:w="3600" w:type="dxa"/>
            <w:shd w:val="clear" w:color="auto" w:fill="auto"/>
            <w:vAlign w:val="center"/>
          </w:tcPr>
          <w:p w:rsidR="007C57BD" w:rsidRDefault="007C57BD" w:rsidP="007C57BD">
            <w:pPr>
              <w:jc w:val="center"/>
              <w:rPr>
                <w:rFonts w:cs="Arial"/>
                <w:sz w:val="20"/>
                <w:szCs w:val="20"/>
              </w:rPr>
            </w:pPr>
            <w:r>
              <w:rPr>
                <w:rFonts w:cs="Arial"/>
                <w:sz w:val="20"/>
                <w:szCs w:val="20"/>
              </w:rPr>
              <w:t>Grandes cantidades</w:t>
            </w:r>
          </w:p>
        </w:tc>
        <w:tc>
          <w:tcPr>
            <w:tcW w:w="2700" w:type="dxa"/>
            <w:shd w:val="clear" w:color="auto" w:fill="auto"/>
            <w:vAlign w:val="center"/>
          </w:tcPr>
          <w:p w:rsidR="007C57BD" w:rsidRDefault="007C57BD" w:rsidP="007C57BD">
            <w:pPr>
              <w:jc w:val="center"/>
              <w:rPr>
                <w:rFonts w:cs="Arial"/>
                <w:sz w:val="20"/>
                <w:szCs w:val="20"/>
              </w:rPr>
            </w:pPr>
            <w:r>
              <w:rPr>
                <w:rFonts w:cs="Arial"/>
                <w:sz w:val="20"/>
                <w:szCs w:val="20"/>
              </w:rPr>
              <w:t>Monto menor</w:t>
            </w:r>
          </w:p>
        </w:tc>
      </w:tr>
      <w:tr w:rsidR="007C57BD">
        <w:trPr>
          <w:trHeight w:val="739"/>
          <w:jc w:val="center"/>
        </w:trPr>
        <w:tc>
          <w:tcPr>
            <w:tcW w:w="2020" w:type="dxa"/>
            <w:shd w:val="clear" w:color="auto" w:fill="auto"/>
            <w:vAlign w:val="center"/>
          </w:tcPr>
          <w:p w:rsidR="007C57BD" w:rsidRDefault="007C57BD" w:rsidP="007C57BD">
            <w:pPr>
              <w:jc w:val="center"/>
              <w:rPr>
                <w:rFonts w:cs="Arial"/>
                <w:sz w:val="20"/>
                <w:szCs w:val="20"/>
              </w:rPr>
            </w:pPr>
            <w:r>
              <w:rPr>
                <w:rFonts w:cs="Arial"/>
                <w:sz w:val="20"/>
                <w:szCs w:val="20"/>
              </w:rPr>
              <w:t>Requisitos de Calidad de Agua</w:t>
            </w:r>
          </w:p>
        </w:tc>
        <w:tc>
          <w:tcPr>
            <w:tcW w:w="3600" w:type="dxa"/>
            <w:shd w:val="clear" w:color="auto" w:fill="auto"/>
            <w:vAlign w:val="center"/>
          </w:tcPr>
          <w:p w:rsidR="007C57BD" w:rsidRDefault="007C57BD" w:rsidP="007C57BD">
            <w:pPr>
              <w:jc w:val="center"/>
              <w:rPr>
                <w:rFonts w:cs="Arial"/>
                <w:sz w:val="20"/>
                <w:szCs w:val="20"/>
              </w:rPr>
            </w:pPr>
            <w:r>
              <w:rPr>
                <w:rFonts w:cs="Arial"/>
                <w:sz w:val="20"/>
                <w:szCs w:val="20"/>
              </w:rPr>
              <w:t>Prácticamente nulo</w:t>
            </w:r>
          </w:p>
        </w:tc>
        <w:tc>
          <w:tcPr>
            <w:tcW w:w="2700" w:type="dxa"/>
            <w:shd w:val="clear" w:color="auto" w:fill="auto"/>
            <w:vAlign w:val="center"/>
          </w:tcPr>
          <w:p w:rsidR="007C57BD" w:rsidRDefault="007C57BD" w:rsidP="007C57BD">
            <w:pPr>
              <w:jc w:val="center"/>
              <w:rPr>
                <w:rFonts w:cs="Arial"/>
                <w:sz w:val="20"/>
                <w:szCs w:val="20"/>
              </w:rPr>
            </w:pPr>
            <w:r>
              <w:rPr>
                <w:rFonts w:cs="Arial"/>
                <w:sz w:val="20"/>
                <w:szCs w:val="20"/>
              </w:rPr>
              <w:t>Importante, puede implicar costos adicionales</w:t>
            </w:r>
          </w:p>
        </w:tc>
      </w:tr>
      <w:tr w:rsidR="007C57BD">
        <w:trPr>
          <w:trHeight w:val="739"/>
          <w:jc w:val="center"/>
        </w:trPr>
        <w:tc>
          <w:tcPr>
            <w:tcW w:w="2020" w:type="dxa"/>
            <w:shd w:val="clear" w:color="auto" w:fill="auto"/>
            <w:vAlign w:val="center"/>
          </w:tcPr>
          <w:p w:rsidR="007C57BD" w:rsidRDefault="007C57BD" w:rsidP="007C57BD">
            <w:pPr>
              <w:jc w:val="center"/>
              <w:rPr>
                <w:rFonts w:cs="Arial"/>
                <w:sz w:val="20"/>
                <w:szCs w:val="20"/>
              </w:rPr>
            </w:pPr>
            <w:r>
              <w:rPr>
                <w:rFonts w:cs="Arial"/>
                <w:sz w:val="20"/>
                <w:szCs w:val="20"/>
              </w:rPr>
              <w:t>Colmatación</w:t>
            </w:r>
          </w:p>
        </w:tc>
        <w:tc>
          <w:tcPr>
            <w:tcW w:w="3600" w:type="dxa"/>
            <w:shd w:val="clear" w:color="auto" w:fill="auto"/>
            <w:vAlign w:val="center"/>
          </w:tcPr>
          <w:p w:rsidR="007C57BD" w:rsidRDefault="007C57BD" w:rsidP="007C57BD">
            <w:pPr>
              <w:jc w:val="center"/>
              <w:rPr>
                <w:rFonts w:cs="Arial"/>
                <w:sz w:val="20"/>
                <w:szCs w:val="20"/>
              </w:rPr>
            </w:pPr>
            <w:r>
              <w:rPr>
                <w:rFonts w:cs="Arial"/>
                <w:sz w:val="20"/>
                <w:szCs w:val="20"/>
              </w:rPr>
              <w:t>Problemas pequeños</w:t>
            </w:r>
          </w:p>
        </w:tc>
        <w:tc>
          <w:tcPr>
            <w:tcW w:w="2700" w:type="dxa"/>
            <w:shd w:val="clear" w:color="auto" w:fill="auto"/>
            <w:vAlign w:val="center"/>
          </w:tcPr>
          <w:p w:rsidR="007C57BD" w:rsidRDefault="007C57BD" w:rsidP="007C57BD">
            <w:pPr>
              <w:jc w:val="center"/>
              <w:rPr>
                <w:rFonts w:cs="Arial"/>
                <w:sz w:val="20"/>
                <w:szCs w:val="20"/>
              </w:rPr>
            </w:pPr>
            <w:r>
              <w:rPr>
                <w:rFonts w:cs="Arial"/>
                <w:sz w:val="20"/>
                <w:szCs w:val="20"/>
              </w:rPr>
              <w:t>Muy susceptible a la colmatación</w:t>
            </w:r>
          </w:p>
        </w:tc>
      </w:tr>
      <w:tr w:rsidR="007C57BD">
        <w:trPr>
          <w:trHeight w:val="739"/>
          <w:jc w:val="center"/>
        </w:trPr>
        <w:tc>
          <w:tcPr>
            <w:tcW w:w="2020" w:type="dxa"/>
            <w:shd w:val="clear" w:color="auto" w:fill="auto"/>
            <w:vAlign w:val="center"/>
          </w:tcPr>
          <w:p w:rsidR="007C57BD" w:rsidRDefault="007C57BD" w:rsidP="007C57BD">
            <w:pPr>
              <w:jc w:val="center"/>
              <w:rPr>
                <w:rFonts w:cs="Arial"/>
                <w:sz w:val="20"/>
                <w:szCs w:val="20"/>
              </w:rPr>
            </w:pPr>
            <w:r>
              <w:rPr>
                <w:rFonts w:cs="Arial"/>
                <w:sz w:val="20"/>
                <w:szCs w:val="20"/>
              </w:rPr>
              <w:t>Grado Depuración del Agua</w:t>
            </w:r>
          </w:p>
        </w:tc>
        <w:tc>
          <w:tcPr>
            <w:tcW w:w="3600" w:type="dxa"/>
            <w:shd w:val="clear" w:color="auto" w:fill="auto"/>
            <w:vAlign w:val="center"/>
          </w:tcPr>
          <w:p w:rsidR="007C57BD" w:rsidRDefault="007C57BD" w:rsidP="007C57BD">
            <w:pPr>
              <w:jc w:val="center"/>
              <w:rPr>
                <w:rFonts w:cs="Arial"/>
                <w:sz w:val="20"/>
                <w:szCs w:val="20"/>
              </w:rPr>
            </w:pPr>
            <w:r>
              <w:rPr>
                <w:rFonts w:cs="Arial"/>
                <w:sz w:val="20"/>
                <w:szCs w:val="20"/>
              </w:rPr>
              <w:t>Grande</w:t>
            </w:r>
          </w:p>
        </w:tc>
        <w:tc>
          <w:tcPr>
            <w:tcW w:w="2700" w:type="dxa"/>
            <w:shd w:val="clear" w:color="auto" w:fill="auto"/>
            <w:vAlign w:val="center"/>
          </w:tcPr>
          <w:p w:rsidR="007C57BD" w:rsidRDefault="007C57BD" w:rsidP="007C57BD">
            <w:pPr>
              <w:jc w:val="center"/>
              <w:rPr>
                <w:rFonts w:cs="Arial"/>
                <w:sz w:val="20"/>
                <w:szCs w:val="20"/>
              </w:rPr>
            </w:pPr>
            <w:r>
              <w:rPr>
                <w:rFonts w:cs="Arial"/>
                <w:sz w:val="20"/>
                <w:szCs w:val="20"/>
              </w:rPr>
              <w:t>Pequeño o nulo</w:t>
            </w:r>
          </w:p>
        </w:tc>
      </w:tr>
      <w:tr w:rsidR="009D6FCC">
        <w:trPr>
          <w:trHeight w:val="739"/>
          <w:jc w:val="center"/>
        </w:trPr>
        <w:tc>
          <w:tcPr>
            <w:tcW w:w="2020" w:type="dxa"/>
            <w:shd w:val="clear" w:color="auto" w:fill="auto"/>
            <w:vAlign w:val="center"/>
          </w:tcPr>
          <w:p w:rsidR="009D6FCC" w:rsidRDefault="009D6FCC" w:rsidP="00145762">
            <w:pPr>
              <w:jc w:val="center"/>
              <w:rPr>
                <w:rFonts w:cs="Arial"/>
                <w:sz w:val="20"/>
                <w:szCs w:val="20"/>
              </w:rPr>
            </w:pPr>
            <w:r>
              <w:rPr>
                <w:rFonts w:cs="Arial"/>
                <w:sz w:val="20"/>
                <w:szCs w:val="20"/>
              </w:rPr>
              <w:t>Factores Estéticos Ambientales</w:t>
            </w:r>
          </w:p>
        </w:tc>
        <w:tc>
          <w:tcPr>
            <w:tcW w:w="3600" w:type="dxa"/>
            <w:shd w:val="clear" w:color="auto" w:fill="auto"/>
            <w:vAlign w:val="center"/>
          </w:tcPr>
          <w:p w:rsidR="009D6FCC" w:rsidRDefault="009D6FCC" w:rsidP="00145762">
            <w:pPr>
              <w:jc w:val="center"/>
              <w:rPr>
                <w:rFonts w:cs="Arial"/>
                <w:sz w:val="20"/>
                <w:szCs w:val="20"/>
              </w:rPr>
            </w:pPr>
            <w:r>
              <w:rPr>
                <w:rFonts w:cs="Arial"/>
                <w:sz w:val="20"/>
                <w:szCs w:val="20"/>
              </w:rPr>
              <w:t>Se requiere de cercos para protección de animales y personas. Proliferación de insectos y roedores</w:t>
            </w:r>
          </w:p>
        </w:tc>
        <w:tc>
          <w:tcPr>
            <w:tcW w:w="2700" w:type="dxa"/>
            <w:shd w:val="clear" w:color="auto" w:fill="auto"/>
            <w:vAlign w:val="center"/>
          </w:tcPr>
          <w:p w:rsidR="009D6FCC" w:rsidRDefault="009D6FCC" w:rsidP="00145762">
            <w:pPr>
              <w:jc w:val="center"/>
              <w:rPr>
                <w:rFonts w:cs="Arial"/>
                <w:sz w:val="20"/>
                <w:szCs w:val="20"/>
              </w:rPr>
            </w:pPr>
            <w:r>
              <w:rPr>
                <w:rFonts w:cs="Arial"/>
                <w:sz w:val="20"/>
                <w:szCs w:val="20"/>
              </w:rPr>
              <w:t>Mínimos</w:t>
            </w:r>
          </w:p>
        </w:tc>
      </w:tr>
      <w:tr w:rsidR="009D6FCC">
        <w:trPr>
          <w:trHeight w:val="739"/>
          <w:jc w:val="center"/>
        </w:trPr>
        <w:tc>
          <w:tcPr>
            <w:tcW w:w="2020" w:type="dxa"/>
            <w:shd w:val="clear" w:color="auto" w:fill="auto"/>
            <w:vAlign w:val="center"/>
          </w:tcPr>
          <w:p w:rsidR="009D6FCC" w:rsidRDefault="009D6FCC" w:rsidP="00145762">
            <w:pPr>
              <w:jc w:val="center"/>
              <w:rPr>
                <w:rFonts w:cs="Arial"/>
                <w:sz w:val="20"/>
                <w:szCs w:val="20"/>
              </w:rPr>
            </w:pPr>
            <w:r>
              <w:rPr>
                <w:rFonts w:cs="Arial"/>
                <w:sz w:val="20"/>
                <w:szCs w:val="20"/>
              </w:rPr>
              <w:t>Disponibilidad de Terreno</w:t>
            </w:r>
          </w:p>
        </w:tc>
        <w:tc>
          <w:tcPr>
            <w:tcW w:w="3600" w:type="dxa"/>
            <w:shd w:val="clear" w:color="auto" w:fill="auto"/>
            <w:vAlign w:val="center"/>
          </w:tcPr>
          <w:p w:rsidR="009D6FCC" w:rsidRDefault="009D6FCC" w:rsidP="00145762">
            <w:pPr>
              <w:jc w:val="center"/>
              <w:rPr>
                <w:rFonts w:cs="Arial"/>
                <w:sz w:val="20"/>
                <w:szCs w:val="20"/>
              </w:rPr>
            </w:pPr>
            <w:r>
              <w:rPr>
                <w:rFonts w:cs="Arial"/>
                <w:sz w:val="20"/>
                <w:szCs w:val="20"/>
              </w:rPr>
              <w:t>Difícil en zonas pobladas o cultivadas</w:t>
            </w:r>
          </w:p>
        </w:tc>
        <w:tc>
          <w:tcPr>
            <w:tcW w:w="2700" w:type="dxa"/>
            <w:shd w:val="clear" w:color="auto" w:fill="auto"/>
            <w:vAlign w:val="center"/>
          </w:tcPr>
          <w:p w:rsidR="009D6FCC" w:rsidRDefault="009D6FCC" w:rsidP="00145762">
            <w:pPr>
              <w:jc w:val="center"/>
              <w:rPr>
                <w:rFonts w:cs="Arial"/>
                <w:sz w:val="20"/>
                <w:szCs w:val="20"/>
              </w:rPr>
            </w:pPr>
            <w:r>
              <w:rPr>
                <w:rFonts w:cs="Arial"/>
                <w:sz w:val="20"/>
                <w:szCs w:val="20"/>
              </w:rPr>
              <w:t>Requieren de poco espacio</w:t>
            </w:r>
          </w:p>
        </w:tc>
      </w:tr>
      <w:tr w:rsidR="009D6FCC">
        <w:trPr>
          <w:trHeight w:val="739"/>
          <w:jc w:val="center"/>
        </w:trPr>
        <w:tc>
          <w:tcPr>
            <w:tcW w:w="2020" w:type="dxa"/>
            <w:shd w:val="clear" w:color="auto" w:fill="auto"/>
            <w:vAlign w:val="center"/>
          </w:tcPr>
          <w:p w:rsidR="009D6FCC" w:rsidRDefault="009D6FCC" w:rsidP="00145762">
            <w:pPr>
              <w:jc w:val="center"/>
              <w:rPr>
                <w:rFonts w:cs="Arial"/>
                <w:sz w:val="20"/>
                <w:szCs w:val="20"/>
              </w:rPr>
            </w:pPr>
            <w:r>
              <w:rPr>
                <w:rFonts w:cs="Arial"/>
                <w:sz w:val="20"/>
                <w:szCs w:val="20"/>
              </w:rPr>
              <w:t>Construcción e Instalaciones</w:t>
            </w:r>
          </w:p>
        </w:tc>
        <w:tc>
          <w:tcPr>
            <w:tcW w:w="3600" w:type="dxa"/>
            <w:shd w:val="clear" w:color="auto" w:fill="auto"/>
            <w:vAlign w:val="center"/>
          </w:tcPr>
          <w:p w:rsidR="009D6FCC" w:rsidRDefault="009D6FCC" w:rsidP="00145762">
            <w:pPr>
              <w:jc w:val="center"/>
              <w:rPr>
                <w:rFonts w:cs="Arial"/>
                <w:sz w:val="20"/>
                <w:szCs w:val="20"/>
              </w:rPr>
            </w:pPr>
            <w:r>
              <w:rPr>
                <w:rFonts w:cs="Arial"/>
                <w:sz w:val="20"/>
                <w:szCs w:val="20"/>
              </w:rPr>
              <w:t>Requiere de acondicionamiento previo del terreno y obras adicionales para conducción del agua</w:t>
            </w:r>
          </w:p>
        </w:tc>
        <w:tc>
          <w:tcPr>
            <w:tcW w:w="2700" w:type="dxa"/>
            <w:shd w:val="clear" w:color="auto" w:fill="auto"/>
            <w:vAlign w:val="center"/>
          </w:tcPr>
          <w:p w:rsidR="009D6FCC" w:rsidRDefault="009D6FCC" w:rsidP="00145762">
            <w:pPr>
              <w:jc w:val="center"/>
              <w:rPr>
                <w:rFonts w:cs="Arial"/>
                <w:sz w:val="20"/>
                <w:szCs w:val="20"/>
              </w:rPr>
            </w:pPr>
            <w:r>
              <w:rPr>
                <w:rFonts w:cs="Arial"/>
                <w:sz w:val="20"/>
                <w:szCs w:val="20"/>
              </w:rPr>
              <w:t>Complicada, tanto de pretratamiento e inyección</w:t>
            </w:r>
          </w:p>
        </w:tc>
      </w:tr>
    </w:tbl>
    <w:p w:rsidR="007C57BD" w:rsidRPr="00EB43D4" w:rsidRDefault="007C57BD" w:rsidP="007C57BD">
      <w:pPr>
        <w:rPr>
          <w:rFonts w:cs="Arial"/>
          <w:szCs w:val="22"/>
        </w:rPr>
      </w:pPr>
    </w:p>
    <w:p w:rsidR="007C57BD" w:rsidRDefault="006216DB" w:rsidP="007C57BD">
      <w:pPr>
        <w:rPr>
          <w:rFonts w:cs="Arial"/>
          <w:szCs w:val="22"/>
          <w:lang w:val="es-CL"/>
        </w:rPr>
      </w:pPr>
      <w:r>
        <w:rPr>
          <w:rFonts w:cs="Arial"/>
          <w:szCs w:val="22"/>
          <w:lang w:val="es-CL"/>
        </w:rPr>
        <w:t>El principal problema</w:t>
      </w:r>
      <w:r w:rsidR="007C57BD">
        <w:rPr>
          <w:rFonts w:cs="Arial"/>
          <w:szCs w:val="22"/>
          <w:lang w:val="es-CL"/>
        </w:rPr>
        <w:t xml:space="preserve"> de la recarga artificial es el de la colmatación, que es la acumulación de material en la superficie de entrada de agua, lo cual provoca la reducción de la capacidad de infiltración.</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Del documento “Antecedentes de Política de Riego” de </w:t>
      </w:r>
      <w:smartTag w:uri="urn:schemas-microsoft-com:office:smarttags" w:element="PersonName">
        <w:smartTagPr>
          <w:attr w:name="ProductID" w:val="la Comisión Nacional"/>
        </w:smartTagPr>
        <w:r>
          <w:rPr>
            <w:rFonts w:cs="Arial"/>
            <w:szCs w:val="22"/>
            <w:lang w:val="es-CL"/>
          </w:rPr>
          <w:t>la Comisión Nacional</w:t>
        </w:r>
      </w:smartTag>
      <w:r>
        <w:rPr>
          <w:rFonts w:cs="Arial"/>
          <w:szCs w:val="22"/>
          <w:lang w:val="es-CL"/>
        </w:rPr>
        <w:t xml:space="preserve"> de Riego, estima un costo de las soluciones planteadas. Un pozo de inyección tiene un costo asociado del orden US$/m</w:t>
      </w:r>
      <w:r w:rsidRPr="000E299A">
        <w:rPr>
          <w:rFonts w:cs="Arial"/>
          <w:szCs w:val="22"/>
          <w:vertAlign w:val="superscript"/>
          <w:lang w:val="es-CL"/>
        </w:rPr>
        <w:t>3</w:t>
      </w:r>
      <w:r>
        <w:rPr>
          <w:rFonts w:cs="Arial"/>
          <w:szCs w:val="22"/>
          <w:lang w:val="es-CL"/>
        </w:rPr>
        <w:t xml:space="preserve"> 1,3, mientras que una laguna de infiltración tiene un costo que varía entre US$/m</w:t>
      </w:r>
      <w:r w:rsidRPr="000E299A">
        <w:rPr>
          <w:rFonts w:cs="Arial"/>
          <w:szCs w:val="22"/>
          <w:vertAlign w:val="superscript"/>
          <w:lang w:val="es-CL"/>
        </w:rPr>
        <w:t>3</w:t>
      </w:r>
      <w:r>
        <w:rPr>
          <w:rFonts w:cs="Arial"/>
          <w:szCs w:val="22"/>
          <w:lang w:val="es-CL"/>
        </w:rPr>
        <w:t xml:space="preserve"> 0,05 y US$/m</w:t>
      </w:r>
      <w:r w:rsidRPr="000E299A">
        <w:rPr>
          <w:rFonts w:cs="Arial"/>
          <w:szCs w:val="22"/>
          <w:vertAlign w:val="superscript"/>
          <w:lang w:val="es-CL"/>
        </w:rPr>
        <w:t>3</w:t>
      </w:r>
      <w:r>
        <w:rPr>
          <w:rFonts w:cs="Arial"/>
          <w:szCs w:val="22"/>
          <w:lang w:val="es-CL"/>
        </w:rPr>
        <w:t xml:space="preserve"> 0,3.</w:t>
      </w:r>
    </w:p>
    <w:p w:rsidR="007C57BD" w:rsidRDefault="007C57BD" w:rsidP="007C57BD">
      <w:pPr>
        <w:rPr>
          <w:rFonts w:cs="Arial"/>
          <w:szCs w:val="22"/>
          <w:lang w:val="es-CL"/>
        </w:rPr>
      </w:pPr>
    </w:p>
    <w:p w:rsidR="007C57BD" w:rsidRDefault="006216DB" w:rsidP="007C57BD">
      <w:pPr>
        <w:rPr>
          <w:rFonts w:cs="Arial"/>
          <w:szCs w:val="22"/>
          <w:lang w:val="es-CL"/>
        </w:rPr>
      </w:pPr>
      <w:r>
        <w:rPr>
          <w:rFonts w:cs="Arial"/>
          <w:szCs w:val="22"/>
          <w:lang w:val="es-CL"/>
        </w:rPr>
        <w:t>Considerando los costos asociado</w:t>
      </w:r>
      <w:r w:rsidR="007C57BD">
        <w:rPr>
          <w:rFonts w:cs="Arial"/>
          <w:szCs w:val="22"/>
          <w:lang w:val="es-CL"/>
        </w:rPr>
        <w:t xml:space="preserve">s a cada solución y las ventajas y desventajas presentadas en </w:t>
      </w:r>
      <w:smartTag w:uri="urn:schemas-microsoft-com:office:smarttags" w:element="PersonName">
        <w:smartTagPr>
          <w:attr w:name="ProductID" w:val="la ￼￼￼￼￼￼￼￼￼￼￼￼￼￼￼￼￼￼￼￼￼￼￼￼￼￼￼￼￼￼￼￼￼￼￼￼￼￼￼￼￼Tabla"/>
        </w:smartTagPr>
        <w:r w:rsidR="007C57BD">
          <w:rPr>
            <w:rFonts w:cs="Arial"/>
            <w:szCs w:val="22"/>
            <w:lang w:val="es-CL"/>
          </w:rPr>
          <w:t xml:space="preserve">la </w:t>
        </w:r>
        <w:r w:rsidR="008373F2" w:rsidRPr="008373F2">
          <w:rPr>
            <w:rFonts w:cs="Arial"/>
            <w:b/>
            <w:szCs w:val="22"/>
            <w:lang w:val="es-CL"/>
          </w:rPr>
          <w:fldChar w:fldCharType="begin"/>
        </w:r>
        <w:r w:rsidR="008373F2" w:rsidRPr="008373F2">
          <w:rPr>
            <w:rFonts w:cs="Arial"/>
            <w:b/>
            <w:szCs w:val="22"/>
            <w:lang w:val="es-CL"/>
          </w:rPr>
          <w:instrText xml:space="preserve"> REF _Ref342040016 \h </w:instrText>
        </w:r>
        <w:r w:rsidR="00276A04" w:rsidRPr="008373F2">
          <w:rPr>
            <w:rFonts w:cs="Arial"/>
            <w:b/>
            <w:szCs w:val="22"/>
            <w:lang w:val="es-CL"/>
          </w:rPr>
        </w:r>
        <w:r w:rsidR="008373F2">
          <w:rPr>
            <w:rFonts w:cs="Arial"/>
            <w:b/>
            <w:szCs w:val="22"/>
            <w:lang w:val="es-CL"/>
          </w:rPr>
          <w:instrText xml:space="preserve"> \* MERGEFORMAT </w:instrText>
        </w:r>
        <w:r w:rsidR="008373F2" w:rsidRPr="008373F2">
          <w:rPr>
            <w:rFonts w:cs="Arial"/>
            <w:b/>
            <w:szCs w:val="22"/>
            <w:lang w:val="es-CL"/>
          </w:rPr>
          <w:fldChar w:fldCharType="separate"/>
        </w:r>
        <w:r w:rsidR="00264070" w:rsidRPr="00264070">
          <w:rPr>
            <w:rStyle w:val="EpgrafeCar"/>
            <w:b w:val="0"/>
          </w:rPr>
          <w:t>Tabla</w:t>
        </w:r>
      </w:smartTag>
      <w:r w:rsidR="00264070" w:rsidRPr="00264070">
        <w:rPr>
          <w:rStyle w:val="EpgrafeCar"/>
          <w:b w:val="0"/>
        </w:rPr>
        <w:t xml:space="preserve"> 7.3</w:t>
      </w:r>
      <w:r w:rsidR="008373F2" w:rsidRPr="008373F2">
        <w:rPr>
          <w:rFonts w:cs="Arial"/>
          <w:b/>
          <w:szCs w:val="22"/>
          <w:lang w:val="es-CL"/>
        </w:rPr>
        <w:fldChar w:fldCharType="end"/>
      </w:r>
      <w:r w:rsidR="007C57BD" w:rsidRPr="008373F2">
        <w:rPr>
          <w:rFonts w:cs="Arial"/>
          <w:b/>
          <w:szCs w:val="22"/>
          <w:lang w:val="es-CL"/>
        </w:rPr>
        <w:t xml:space="preserve">, </w:t>
      </w:r>
      <w:r w:rsidR="007C57BD" w:rsidRPr="008373F2">
        <w:rPr>
          <w:rFonts w:cs="Arial"/>
          <w:szCs w:val="22"/>
          <w:lang w:val="es-CL"/>
        </w:rPr>
        <w:t>se propone</w:t>
      </w:r>
      <w:r w:rsidR="007C57BD">
        <w:rPr>
          <w:rFonts w:cs="Arial"/>
          <w:szCs w:val="22"/>
          <w:lang w:val="es-CL"/>
        </w:rPr>
        <w:t xml:space="preserve"> priorizar la solución de laguna de infiltración según corresponda el caso. Esta solución se describe y se estiman sus costos, de manera general, a continuación.</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Las lagunas de infiltración se componen de tres obras importantes, la obra de toma, el canal de aducción, que debe cumplir a la vez la función de sedimentador primario, y la misma laguna.</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lastRenderedPageBreak/>
        <w:t>A modo de referencia, e</w:t>
      </w:r>
      <w:r w:rsidRPr="00787F3D">
        <w:rPr>
          <w:rFonts w:cs="Arial"/>
          <w:szCs w:val="22"/>
          <w:lang w:val="es-CL"/>
        </w:rPr>
        <w:t>n</w:t>
      </w:r>
      <w:r w:rsidR="00810941">
        <w:rPr>
          <w:rFonts w:cs="Arial"/>
          <w:szCs w:val="22"/>
          <w:lang w:val="es-CL"/>
        </w:rPr>
        <w:t xml:space="preserve"> el</w:t>
      </w:r>
      <w:r w:rsidRPr="00787F3D">
        <w:rPr>
          <w:rFonts w:cs="Arial"/>
          <w:szCs w:val="22"/>
          <w:lang w:val="es-CL"/>
        </w:rPr>
        <w:t xml:space="preserve"> estudio realizado por el Ingeniero Civil Ernesto Brown Fernández “</w:t>
      </w:r>
      <w:r>
        <w:rPr>
          <w:rFonts w:cs="Arial"/>
          <w:szCs w:val="22"/>
          <w:lang w:val="es-CL"/>
        </w:rPr>
        <w:t xml:space="preserve">Estudio recarga artificial al acuífero de la primera sección del valle del Aconcagua, con aguas reguladas desde Puntilla del Viento” </w:t>
      </w:r>
      <w:r w:rsidRPr="00787F3D">
        <w:rPr>
          <w:rFonts w:cs="Arial"/>
          <w:szCs w:val="22"/>
          <w:lang w:val="es-CL"/>
        </w:rPr>
        <w:t xml:space="preserve">a </w:t>
      </w:r>
      <w:smartTag w:uri="urn:schemas-microsoft-com:office:smarttags" w:element="PersonName">
        <w:smartTagPr>
          <w:attr w:name="ProductID" w:val="la Dirección"/>
        </w:smartTagPr>
        <w:r w:rsidRPr="00787F3D">
          <w:rPr>
            <w:rFonts w:cs="Arial"/>
            <w:szCs w:val="22"/>
            <w:lang w:val="es-CL"/>
          </w:rPr>
          <w:t>la Dirección</w:t>
        </w:r>
      </w:smartTag>
      <w:r w:rsidRPr="00787F3D">
        <w:rPr>
          <w:rFonts w:cs="Arial"/>
          <w:szCs w:val="22"/>
          <w:lang w:val="es-CL"/>
        </w:rPr>
        <w:t xml:space="preserve"> de Obras </w:t>
      </w:r>
      <w:r>
        <w:rPr>
          <w:rFonts w:cs="Arial"/>
          <w:szCs w:val="22"/>
          <w:lang w:val="es-CL"/>
        </w:rPr>
        <w:t>Hidráulicas del Ministerio  de Obras Públicas</w:t>
      </w:r>
      <w:r w:rsidRPr="00787F3D">
        <w:rPr>
          <w:rFonts w:cs="Arial"/>
          <w:szCs w:val="22"/>
          <w:lang w:val="es-CL"/>
        </w:rPr>
        <w:t xml:space="preserve">, se indica que la construcción de lagunas de infiltración, que considera </w:t>
      </w:r>
      <w:smartTag w:uri="urn:schemas-microsoft-com:office:smarttags" w:element="metricconverter">
        <w:smartTagPr>
          <w:attr w:name="ProductID" w:val="20 ha"/>
        </w:smartTagPr>
        <w:r w:rsidRPr="00787F3D">
          <w:rPr>
            <w:rFonts w:cs="Arial"/>
            <w:szCs w:val="22"/>
            <w:lang w:val="es-CL"/>
          </w:rPr>
          <w:t>20 ha</w:t>
        </w:r>
      </w:smartTag>
      <w:r w:rsidRPr="00787F3D">
        <w:rPr>
          <w:rFonts w:cs="Arial"/>
          <w:szCs w:val="22"/>
          <w:lang w:val="es-CL"/>
        </w:rPr>
        <w:t xml:space="preserve"> y un caudal </w:t>
      </w:r>
      <w:r>
        <w:rPr>
          <w:rFonts w:cs="Arial"/>
          <w:szCs w:val="22"/>
          <w:lang w:val="es-CL"/>
        </w:rPr>
        <w:t xml:space="preserve">máximo </w:t>
      </w:r>
      <w:r w:rsidRPr="00787F3D">
        <w:rPr>
          <w:rFonts w:cs="Arial"/>
          <w:szCs w:val="22"/>
          <w:lang w:val="es-CL"/>
        </w:rPr>
        <w:t>efectivo de infiltración de 10 m</w:t>
      </w:r>
      <w:r w:rsidRPr="00787F3D">
        <w:rPr>
          <w:rFonts w:cs="Arial"/>
          <w:szCs w:val="22"/>
          <w:vertAlign w:val="superscript"/>
          <w:lang w:val="es-CL"/>
        </w:rPr>
        <w:t>3</w:t>
      </w:r>
      <w:r w:rsidRPr="00787F3D">
        <w:rPr>
          <w:rFonts w:cs="Arial"/>
          <w:szCs w:val="22"/>
          <w:lang w:val="es-CL"/>
        </w:rPr>
        <w:t>/s,</w:t>
      </w:r>
      <w:r>
        <w:rPr>
          <w:rFonts w:cs="Arial"/>
          <w:szCs w:val="22"/>
          <w:lang w:val="es-CL"/>
        </w:rPr>
        <w:t xml:space="preserve"> tiene un costo asociado de 141 mil UF, es decir, cerca de 3.200 millones de pesos. Con un costo de mantención anual promedio de 12 mil UF, aproximadamente 275 millones de pesos.</w:t>
      </w:r>
    </w:p>
    <w:p w:rsidR="007C57BD" w:rsidRPr="00564FEC" w:rsidRDefault="007C57BD" w:rsidP="007C57BD">
      <w:pPr>
        <w:rPr>
          <w:rFonts w:cs="Arial"/>
          <w:szCs w:val="22"/>
          <w:lang w:val="es-CL"/>
        </w:rPr>
      </w:pPr>
    </w:p>
    <w:p w:rsidR="007C57BD" w:rsidRPr="007C57BD" w:rsidRDefault="007C57BD" w:rsidP="007C57BD">
      <w:pPr>
        <w:pStyle w:val="Ttulo2"/>
        <w:ind w:left="578" w:hanging="578"/>
        <w:rPr>
          <w:szCs w:val="22"/>
          <w:lang w:val="es-CL"/>
        </w:rPr>
      </w:pPr>
      <w:bookmarkStart w:id="448" w:name="_Toc344391857"/>
      <w:r w:rsidRPr="007C57BD">
        <w:t>Compra de Derechos de Aguas</w:t>
      </w:r>
      <w:bookmarkEnd w:id="448"/>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Este tipo de solución considera la compra de derechos de aguas </w:t>
      </w:r>
      <w:r w:rsidR="007F3102">
        <w:rPr>
          <w:rFonts w:cs="Arial"/>
          <w:szCs w:val="22"/>
          <w:lang w:val="es-CL"/>
        </w:rPr>
        <w:t>la cual ha sido concebida como una propuesta de tipo general aplicable a cualquiera de las subcuencas de la región.</w:t>
      </w:r>
    </w:p>
    <w:p w:rsidR="007F3102" w:rsidRDefault="007F3102"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De información obtenida de </w:t>
      </w:r>
      <w:smartTag w:uri="urn:schemas-microsoft-com:office:smarttags" w:element="PersonName">
        <w:smartTagPr>
          <w:attr w:name="ProductID" w:val="la Dirección General"/>
        </w:smartTagPr>
        <w:r>
          <w:rPr>
            <w:rFonts w:cs="Arial"/>
            <w:szCs w:val="22"/>
            <w:lang w:val="es-CL"/>
          </w:rPr>
          <w:t>la Dirección General</w:t>
        </w:r>
      </w:smartTag>
      <w:r>
        <w:rPr>
          <w:rFonts w:cs="Arial"/>
          <w:szCs w:val="22"/>
          <w:lang w:val="es-CL"/>
        </w:rPr>
        <w:t xml:space="preserve"> de Aguas y junto a antecedentes de este consultor, se realizó un estudio de la compra-venta de derechos de agua de los últimos años en la región, considerando derechos consuntivos, tanto de naturaleza superficial como subterráneo. Se calculó un valor promedio del costo de compra-venta de un caudal de un litro por segundo del recurso hídrico.</w:t>
      </w:r>
    </w:p>
    <w:p w:rsidR="007C57BD" w:rsidRDefault="007C57BD" w:rsidP="007C57BD">
      <w:pPr>
        <w:rPr>
          <w:rFonts w:cs="Arial"/>
          <w:szCs w:val="22"/>
          <w:lang w:val="es-CL"/>
        </w:rPr>
      </w:pPr>
    </w:p>
    <w:p w:rsidR="007C57BD" w:rsidRPr="008373F2" w:rsidRDefault="007C57BD" w:rsidP="007C57BD">
      <w:pPr>
        <w:rPr>
          <w:rFonts w:cs="Arial"/>
          <w:szCs w:val="22"/>
          <w:lang w:val="es-CL"/>
        </w:rPr>
      </w:pPr>
      <w:r w:rsidRPr="008373F2">
        <w:rPr>
          <w:rFonts w:cs="Arial"/>
          <w:szCs w:val="22"/>
          <w:lang w:val="es-CL"/>
        </w:rPr>
        <w:t xml:space="preserve">Los resultados del análisis realizado se presentan en </w:t>
      </w:r>
      <w:smartTag w:uri="urn:schemas-microsoft-com:office:smarttags" w:element="PersonName">
        <w:smartTagPr>
          <w:attr w:name="ProductID" w:val="la ￼￼￼￼￼￼￼￼￼￼￼￼￼￼￼￼￼￼￼￼￼￼￼￼￼￼￼￼￼￼￼￼￼￼￼￼￼￼￼￼￼Tabla"/>
        </w:smartTagPr>
        <w:r w:rsidRPr="008373F2">
          <w:rPr>
            <w:rFonts w:cs="Arial"/>
            <w:szCs w:val="22"/>
            <w:lang w:val="es-CL"/>
          </w:rPr>
          <w:t>la</w:t>
        </w:r>
        <w:r w:rsidRPr="008373F2">
          <w:rPr>
            <w:rFonts w:cs="Arial"/>
            <w:b/>
            <w:szCs w:val="22"/>
            <w:lang w:val="es-CL"/>
          </w:rPr>
          <w:t xml:space="preserve"> </w:t>
        </w:r>
        <w:r w:rsidR="008373F2" w:rsidRPr="008373F2">
          <w:rPr>
            <w:rFonts w:cs="Arial"/>
            <w:b/>
            <w:szCs w:val="22"/>
            <w:lang w:val="es-CL"/>
          </w:rPr>
          <w:fldChar w:fldCharType="begin"/>
        </w:r>
        <w:r w:rsidR="008373F2" w:rsidRPr="008373F2">
          <w:rPr>
            <w:rFonts w:cs="Arial"/>
            <w:b/>
            <w:szCs w:val="22"/>
            <w:lang w:val="es-CL"/>
          </w:rPr>
          <w:instrText xml:space="preserve"> REF _Ref342040179 \h </w:instrText>
        </w:r>
        <w:r w:rsidR="00276A04" w:rsidRPr="008373F2">
          <w:rPr>
            <w:rFonts w:cs="Arial"/>
            <w:b/>
            <w:szCs w:val="22"/>
            <w:lang w:val="es-CL"/>
          </w:rPr>
        </w:r>
        <w:r w:rsidR="008373F2" w:rsidRPr="008373F2">
          <w:rPr>
            <w:rFonts w:cs="Arial"/>
            <w:b/>
            <w:szCs w:val="22"/>
            <w:lang w:val="es-CL"/>
          </w:rPr>
          <w:instrText xml:space="preserve"> \* MERGEFORMAT </w:instrText>
        </w:r>
        <w:r w:rsidR="008373F2" w:rsidRPr="008373F2">
          <w:rPr>
            <w:rFonts w:cs="Arial"/>
            <w:b/>
            <w:szCs w:val="22"/>
            <w:lang w:val="es-CL"/>
          </w:rPr>
          <w:fldChar w:fldCharType="separate"/>
        </w:r>
        <w:r w:rsidR="00264070" w:rsidRPr="00264070">
          <w:rPr>
            <w:rStyle w:val="EpgrafeCar"/>
            <w:b w:val="0"/>
          </w:rPr>
          <w:t>Tabla</w:t>
        </w:r>
      </w:smartTag>
      <w:r w:rsidR="00264070" w:rsidRPr="00264070">
        <w:rPr>
          <w:rStyle w:val="EpgrafeCar"/>
          <w:b w:val="0"/>
        </w:rPr>
        <w:t xml:space="preserve"> </w:t>
      </w:r>
      <w:r w:rsidR="00264070" w:rsidRPr="00264070">
        <w:rPr>
          <w:rStyle w:val="EpgrafeCar"/>
          <w:b w:val="0"/>
          <w:noProof/>
        </w:rPr>
        <w:t>7.4</w:t>
      </w:r>
      <w:r w:rsidR="008373F2" w:rsidRPr="008373F2">
        <w:rPr>
          <w:rFonts w:cs="Arial"/>
          <w:b/>
          <w:szCs w:val="22"/>
          <w:lang w:val="es-CL"/>
        </w:rPr>
        <w:fldChar w:fldCharType="end"/>
      </w:r>
      <w:r w:rsidRPr="008373F2">
        <w:rPr>
          <w:rFonts w:cs="Arial"/>
          <w:szCs w:val="22"/>
          <w:lang w:val="es-CL"/>
        </w:rPr>
        <w:t>.</w:t>
      </w:r>
    </w:p>
    <w:p w:rsidR="007C57BD" w:rsidRDefault="007C57BD" w:rsidP="007C57BD">
      <w:pPr>
        <w:rPr>
          <w:rFonts w:cs="Arial"/>
          <w:szCs w:val="22"/>
          <w:lang w:val="es-CL"/>
        </w:rPr>
      </w:pPr>
    </w:p>
    <w:p w:rsidR="007C57BD" w:rsidRPr="00227799" w:rsidRDefault="008373F2" w:rsidP="008373F2">
      <w:pPr>
        <w:pStyle w:val="Epgrafe"/>
        <w:rPr>
          <w:rFonts w:cs="Arial"/>
          <w:lang w:val="es-CL"/>
        </w:rPr>
      </w:pPr>
      <w:bookmarkStart w:id="449" w:name="_Ref342040179"/>
      <w:r w:rsidRPr="007C57BD">
        <w:rPr>
          <w:rStyle w:val="EpgrafeCar"/>
        </w:rPr>
        <w:t xml:space="preserve">Tabla </w:t>
      </w:r>
      <w:r w:rsidR="007F3102">
        <w:rPr>
          <w:rStyle w:val="EpgrafeCar"/>
        </w:rPr>
        <w:fldChar w:fldCharType="begin"/>
      </w:r>
      <w:r w:rsidR="007F3102">
        <w:rPr>
          <w:rStyle w:val="EpgrafeCar"/>
        </w:rPr>
        <w:instrText xml:space="preserve"> STYLEREF 1 \s </w:instrText>
      </w:r>
      <w:r w:rsidR="007F3102">
        <w:rPr>
          <w:rStyle w:val="EpgrafeCar"/>
        </w:rPr>
        <w:fldChar w:fldCharType="separate"/>
      </w:r>
      <w:r w:rsidR="00264070">
        <w:rPr>
          <w:rStyle w:val="EpgrafeCar"/>
          <w:noProof/>
        </w:rPr>
        <w:t>7</w:t>
      </w:r>
      <w:r w:rsidR="007F3102">
        <w:rPr>
          <w:rStyle w:val="EpgrafeCar"/>
        </w:rPr>
        <w:fldChar w:fldCharType="end"/>
      </w:r>
      <w:r w:rsidR="007F3102">
        <w:rPr>
          <w:rStyle w:val="EpgrafeCar"/>
        </w:rPr>
        <w:t>.</w:t>
      </w:r>
      <w:r w:rsidR="007F3102">
        <w:rPr>
          <w:rStyle w:val="EpgrafeCar"/>
        </w:rPr>
        <w:fldChar w:fldCharType="begin"/>
      </w:r>
      <w:r w:rsidR="007F3102">
        <w:rPr>
          <w:rStyle w:val="EpgrafeCar"/>
        </w:rPr>
        <w:instrText xml:space="preserve"> SEQ Tabla \* ARABIC \s 1 </w:instrText>
      </w:r>
      <w:r w:rsidR="007F3102">
        <w:rPr>
          <w:rStyle w:val="EpgrafeCar"/>
        </w:rPr>
        <w:fldChar w:fldCharType="separate"/>
      </w:r>
      <w:r w:rsidR="00264070">
        <w:rPr>
          <w:rStyle w:val="EpgrafeCar"/>
          <w:noProof/>
        </w:rPr>
        <w:t>4</w:t>
      </w:r>
      <w:r w:rsidR="007F3102">
        <w:rPr>
          <w:rStyle w:val="EpgrafeCar"/>
        </w:rPr>
        <w:fldChar w:fldCharType="end"/>
      </w:r>
      <w:bookmarkEnd w:id="449"/>
      <w:r w:rsidR="006216DB">
        <w:rPr>
          <w:rStyle w:val="EpgrafeCar"/>
        </w:rPr>
        <w:t xml:space="preserve"> </w:t>
      </w:r>
      <w:r w:rsidR="007C57BD">
        <w:rPr>
          <w:rFonts w:cs="Arial"/>
          <w:lang w:val="es-CL"/>
        </w:rPr>
        <w:t>Precio de un Litro por Segundo de Agua</w:t>
      </w:r>
    </w:p>
    <w:tbl>
      <w:tblPr>
        <w:tblW w:w="2760" w:type="dxa"/>
        <w:jc w:val="center"/>
        <w:tblInd w:w="65" w:type="dxa"/>
        <w:tblCellMar>
          <w:left w:w="70" w:type="dxa"/>
          <w:right w:w="70" w:type="dxa"/>
        </w:tblCellMar>
        <w:tblLook w:val="0000" w:firstRow="0" w:lastRow="0" w:firstColumn="0" w:lastColumn="0" w:noHBand="0" w:noVBand="0"/>
      </w:tblPr>
      <w:tblGrid>
        <w:gridCol w:w="1560"/>
        <w:gridCol w:w="1200"/>
      </w:tblGrid>
      <w:tr w:rsidR="007C57BD" w:rsidRPr="008373F2">
        <w:trPr>
          <w:trHeight w:val="300"/>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C57BD" w:rsidRPr="008373F2" w:rsidRDefault="007C57BD" w:rsidP="007C57BD">
            <w:pPr>
              <w:jc w:val="center"/>
              <w:rPr>
                <w:rFonts w:cs="Arial"/>
                <w:bCs/>
                <w:sz w:val="20"/>
                <w:szCs w:val="20"/>
              </w:rPr>
            </w:pPr>
            <w:r w:rsidRPr="008373F2">
              <w:rPr>
                <w:rFonts w:cs="Arial"/>
                <w:bCs/>
                <w:sz w:val="20"/>
                <w:szCs w:val="20"/>
              </w:rPr>
              <w:t>Naturaleza</w:t>
            </w:r>
          </w:p>
        </w:tc>
        <w:tc>
          <w:tcPr>
            <w:tcW w:w="1200" w:type="dxa"/>
            <w:tcBorders>
              <w:top w:val="single" w:sz="4" w:space="0" w:color="auto"/>
              <w:left w:val="nil"/>
              <w:bottom w:val="single" w:sz="4" w:space="0" w:color="auto"/>
              <w:right w:val="single" w:sz="4" w:space="0" w:color="auto"/>
            </w:tcBorders>
            <w:shd w:val="clear" w:color="auto" w:fill="auto"/>
            <w:vAlign w:val="center"/>
          </w:tcPr>
          <w:p w:rsidR="007C57BD" w:rsidRPr="008373F2" w:rsidRDefault="007C57BD" w:rsidP="007C57BD">
            <w:pPr>
              <w:jc w:val="center"/>
              <w:rPr>
                <w:rFonts w:cs="Arial"/>
                <w:bCs/>
                <w:sz w:val="20"/>
                <w:szCs w:val="20"/>
              </w:rPr>
            </w:pPr>
            <w:r w:rsidRPr="008373F2">
              <w:rPr>
                <w:rFonts w:cs="Arial"/>
                <w:bCs/>
                <w:sz w:val="20"/>
                <w:szCs w:val="20"/>
              </w:rPr>
              <w:t>Costo</w:t>
            </w:r>
          </w:p>
        </w:tc>
      </w:tr>
      <w:tr w:rsidR="007C57BD" w:rsidRPr="008373F2">
        <w:trPr>
          <w:trHeight w:val="300"/>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7C57BD" w:rsidRPr="008373F2" w:rsidRDefault="007C57BD" w:rsidP="007C57BD">
            <w:pPr>
              <w:rPr>
                <w:rFonts w:cs="Arial"/>
                <w:bCs/>
                <w:sz w:val="20"/>
                <w:szCs w:val="20"/>
              </w:rPr>
            </w:pPr>
          </w:p>
        </w:tc>
        <w:tc>
          <w:tcPr>
            <w:tcW w:w="1200" w:type="dxa"/>
            <w:tcBorders>
              <w:top w:val="nil"/>
              <w:left w:val="nil"/>
              <w:bottom w:val="single" w:sz="4" w:space="0" w:color="auto"/>
              <w:right w:val="single" w:sz="4" w:space="0" w:color="auto"/>
            </w:tcBorders>
            <w:shd w:val="clear" w:color="auto" w:fill="auto"/>
            <w:vAlign w:val="center"/>
          </w:tcPr>
          <w:p w:rsidR="007C57BD" w:rsidRPr="008373F2" w:rsidRDefault="007C57BD" w:rsidP="007C57BD">
            <w:pPr>
              <w:jc w:val="center"/>
              <w:rPr>
                <w:rFonts w:cs="Arial"/>
                <w:bCs/>
                <w:sz w:val="20"/>
                <w:szCs w:val="20"/>
              </w:rPr>
            </w:pPr>
            <w:r w:rsidRPr="008373F2">
              <w:rPr>
                <w:rFonts w:cs="Arial"/>
                <w:bCs/>
                <w:sz w:val="20"/>
                <w:szCs w:val="20"/>
              </w:rPr>
              <w:t>Pesos/l/s</w:t>
            </w:r>
          </w:p>
        </w:tc>
      </w:tr>
      <w:tr w:rsidR="007C57BD" w:rsidRPr="008373F2">
        <w:trPr>
          <w:trHeight w:val="285"/>
          <w:jc w:val="center"/>
        </w:trPr>
        <w:tc>
          <w:tcPr>
            <w:tcW w:w="1560" w:type="dxa"/>
            <w:tcBorders>
              <w:top w:val="nil"/>
              <w:left w:val="single" w:sz="4" w:space="0" w:color="auto"/>
              <w:bottom w:val="single" w:sz="4" w:space="0" w:color="auto"/>
              <w:right w:val="single" w:sz="4" w:space="0" w:color="auto"/>
            </w:tcBorders>
            <w:shd w:val="clear" w:color="auto" w:fill="auto"/>
            <w:noWrap/>
            <w:vAlign w:val="bottom"/>
          </w:tcPr>
          <w:p w:rsidR="007C57BD" w:rsidRPr="008373F2" w:rsidRDefault="007C57BD" w:rsidP="007C57BD">
            <w:pPr>
              <w:rPr>
                <w:rFonts w:cs="Arial"/>
                <w:sz w:val="20"/>
                <w:szCs w:val="20"/>
              </w:rPr>
            </w:pPr>
            <w:r w:rsidRPr="008373F2">
              <w:rPr>
                <w:rFonts w:cs="Arial"/>
                <w:sz w:val="20"/>
                <w:szCs w:val="20"/>
              </w:rPr>
              <w:t>Superficial</w:t>
            </w:r>
          </w:p>
        </w:tc>
        <w:tc>
          <w:tcPr>
            <w:tcW w:w="1200" w:type="dxa"/>
            <w:tcBorders>
              <w:top w:val="nil"/>
              <w:left w:val="nil"/>
              <w:bottom w:val="single" w:sz="4" w:space="0" w:color="auto"/>
              <w:right w:val="single" w:sz="4" w:space="0" w:color="auto"/>
            </w:tcBorders>
            <w:shd w:val="clear" w:color="auto" w:fill="auto"/>
            <w:noWrap/>
            <w:vAlign w:val="bottom"/>
          </w:tcPr>
          <w:p w:rsidR="007C57BD" w:rsidRPr="008373F2" w:rsidRDefault="007C57BD" w:rsidP="007C57BD">
            <w:pPr>
              <w:jc w:val="center"/>
              <w:rPr>
                <w:rFonts w:cs="Arial"/>
                <w:sz w:val="20"/>
                <w:szCs w:val="20"/>
              </w:rPr>
            </w:pPr>
            <w:r w:rsidRPr="008373F2">
              <w:rPr>
                <w:rFonts w:cs="Arial"/>
                <w:sz w:val="20"/>
                <w:szCs w:val="20"/>
              </w:rPr>
              <w:t>2.000.000</w:t>
            </w:r>
          </w:p>
        </w:tc>
      </w:tr>
      <w:tr w:rsidR="007C57BD" w:rsidRPr="008373F2">
        <w:trPr>
          <w:trHeight w:val="285"/>
          <w:jc w:val="center"/>
        </w:trPr>
        <w:tc>
          <w:tcPr>
            <w:tcW w:w="1560" w:type="dxa"/>
            <w:tcBorders>
              <w:top w:val="nil"/>
              <w:left w:val="single" w:sz="4" w:space="0" w:color="auto"/>
              <w:bottom w:val="single" w:sz="4" w:space="0" w:color="auto"/>
              <w:right w:val="single" w:sz="4" w:space="0" w:color="auto"/>
            </w:tcBorders>
            <w:shd w:val="clear" w:color="auto" w:fill="auto"/>
            <w:noWrap/>
            <w:vAlign w:val="bottom"/>
          </w:tcPr>
          <w:p w:rsidR="007C57BD" w:rsidRPr="008373F2" w:rsidRDefault="007C57BD" w:rsidP="007C57BD">
            <w:pPr>
              <w:rPr>
                <w:rFonts w:cs="Arial"/>
                <w:sz w:val="20"/>
                <w:szCs w:val="20"/>
              </w:rPr>
            </w:pPr>
            <w:r w:rsidRPr="008373F2">
              <w:rPr>
                <w:rFonts w:cs="Arial"/>
                <w:sz w:val="20"/>
                <w:szCs w:val="20"/>
              </w:rPr>
              <w:t>Subterráneo</w:t>
            </w:r>
          </w:p>
        </w:tc>
        <w:tc>
          <w:tcPr>
            <w:tcW w:w="1200" w:type="dxa"/>
            <w:tcBorders>
              <w:top w:val="nil"/>
              <w:left w:val="nil"/>
              <w:bottom w:val="single" w:sz="4" w:space="0" w:color="auto"/>
              <w:right w:val="single" w:sz="4" w:space="0" w:color="auto"/>
            </w:tcBorders>
            <w:shd w:val="clear" w:color="auto" w:fill="auto"/>
            <w:noWrap/>
            <w:vAlign w:val="bottom"/>
          </w:tcPr>
          <w:p w:rsidR="007C57BD" w:rsidRPr="008373F2" w:rsidRDefault="007C57BD" w:rsidP="007C57BD">
            <w:pPr>
              <w:jc w:val="center"/>
              <w:rPr>
                <w:rFonts w:cs="Arial"/>
                <w:sz w:val="20"/>
                <w:szCs w:val="20"/>
              </w:rPr>
            </w:pPr>
            <w:r w:rsidRPr="008373F2">
              <w:rPr>
                <w:rFonts w:cs="Arial"/>
                <w:sz w:val="20"/>
                <w:szCs w:val="20"/>
              </w:rPr>
              <w:t>3.000.000</w:t>
            </w:r>
          </w:p>
        </w:tc>
      </w:tr>
    </w:tbl>
    <w:p w:rsidR="007C57BD" w:rsidRDefault="007C57BD" w:rsidP="007C57BD">
      <w:pPr>
        <w:rPr>
          <w:rFonts w:cs="Arial"/>
          <w:b/>
          <w:szCs w:val="22"/>
          <w:lang w:val="es-CL"/>
        </w:rPr>
      </w:pPr>
    </w:p>
    <w:p w:rsidR="007C57BD" w:rsidRPr="007C57BD" w:rsidRDefault="007C57BD" w:rsidP="007C57BD">
      <w:pPr>
        <w:pStyle w:val="Ttulo2"/>
        <w:ind w:left="578" w:hanging="578"/>
        <w:rPr>
          <w:szCs w:val="22"/>
          <w:lang w:val="es-CL"/>
        </w:rPr>
      </w:pPr>
      <w:bookmarkStart w:id="450" w:name="_Toc344391858"/>
      <w:r w:rsidRPr="007C57BD">
        <w:t xml:space="preserve">Mejoramiento de </w:t>
      </w:r>
      <w:smartTag w:uri="urn:schemas-microsoft-com:office:smarttags" w:element="PersonName">
        <w:smartTagPr>
          <w:attr w:name="ProductID" w:val="la Red Fluviométrica"/>
        </w:smartTagPr>
        <w:r w:rsidRPr="007C57BD">
          <w:t xml:space="preserve">la </w:t>
        </w:r>
        <w:r w:rsidR="008373F2">
          <w:t>R</w:t>
        </w:r>
        <w:r w:rsidRPr="007C57BD">
          <w:t xml:space="preserve">ed </w:t>
        </w:r>
        <w:r w:rsidR="008373F2">
          <w:t>F</w:t>
        </w:r>
        <w:r w:rsidRPr="007C57BD">
          <w:t>luviométrica</w:t>
        </w:r>
      </w:smartTag>
      <w:r w:rsidRPr="007C57BD">
        <w:t xml:space="preserve"> y </w:t>
      </w:r>
      <w:r w:rsidR="008373F2">
        <w:t>P</w:t>
      </w:r>
      <w:r w:rsidRPr="007C57BD">
        <w:t>luviométrica</w:t>
      </w:r>
      <w:bookmarkEnd w:id="450"/>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El desarrollo del presente estudio ha permitido detectar falencias en parte de la información base utilizada lo que genera un grado de incertidumbre en los resultados obtenidos.</w:t>
      </w:r>
    </w:p>
    <w:p w:rsidR="007C57BD" w:rsidRDefault="007C57BD" w:rsidP="007C57BD">
      <w:pPr>
        <w:rPr>
          <w:rFonts w:cs="Arial"/>
          <w:szCs w:val="22"/>
          <w:lang w:val="es-CL"/>
        </w:rPr>
      </w:pPr>
    </w:p>
    <w:p w:rsidR="00732C91" w:rsidRPr="00435097" w:rsidRDefault="00732C91" w:rsidP="00732C91">
      <w:pPr>
        <w:rPr>
          <w:rFonts w:cs="Arial"/>
          <w:szCs w:val="22"/>
          <w:lang w:val="es-CL"/>
        </w:rPr>
      </w:pPr>
      <w:r w:rsidRPr="00435097">
        <w:rPr>
          <w:rFonts w:cs="Arial"/>
          <w:szCs w:val="22"/>
          <w:lang w:val="es-CL"/>
        </w:rPr>
        <w:t xml:space="preserve">En este contexto uno de los puntos relevantes de destacar tiene relación con la red de control hidrometeorológica que opera actualmente en </w:t>
      </w:r>
      <w:smartTag w:uri="urn:schemas-microsoft-com:office:smarttags" w:element="PersonName">
        <w:smartTagPr>
          <w:attr w:name="ProductID" w:val="la Región"/>
        </w:smartTagPr>
        <w:r w:rsidRPr="00435097">
          <w:rPr>
            <w:rFonts w:cs="Arial"/>
            <w:szCs w:val="22"/>
            <w:lang w:val="es-CL"/>
          </w:rPr>
          <w:t>la Región</w:t>
        </w:r>
      </w:smartTag>
      <w:r>
        <w:rPr>
          <w:rFonts w:cs="Arial"/>
          <w:szCs w:val="22"/>
          <w:lang w:val="es-CL"/>
        </w:rPr>
        <w:t xml:space="preserve"> del Libertador Bernardo O’Higgins</w:t>
      </w:r>
      <w:r w:rsidRPr="00435097">
        <w:rPr>
          <w:rFonts w:cs="Arial"/>
          <w:szCs w:val="22"/>
          <w:lang w:val="es-CL"/>
        </w:rPr>
        <w:t>. Existen subcuencas que carecen de estaciones de control y por otra parte la calidad de los registros medidos no siempre es la óptima.</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Para ello se propone la realización un estudio conducente al diagnóstico y mejoramiento de la red de monitoreo del recurso hídrico, con el objetivo de optimizar el manejo y aprovechamiento del agua en la zona de estudio, a través de un mejor control, cuantificación y evaluación del recurso hídrico. El proyecto aumentaría la cantidad de registros y mejoraría la frecuencia de medición, permitiendo realizar una evaluación técnica de proyectos de mayor confiabilidad y con mayor eficiencia.</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Lo anterior considera aspectos como fluviometría y pluviometría en puntos de la zona de estudio</w:t>
      </w:r>
      <w:r w:rsidR="00103D2D">
        <w:rPr>
          <w:rFonts w:cs="Arial"/>
          <w:szCs w:val="22"/>
          <w:lang w:val="es-CL"/>
        </w:rPr>
        <w:t>,</w:t>
      </w:r>
      <w:r>
        <w:rPr>
          <w:rFonts w:cs="Arial"/>
          <w:szCs w:val="22"/>
          <w:lang w:val="es-CL"/>
        </w:rPr>
        <w:t xml:space="preserve"> con el propósito de obtener una mejor distribución espacial de medición y control de la información.</w:t>
      </w:r>
    </w:p>
    <w:p w:rsidR="007C57BD" w:rsidRDefault="007C57BD" w:rsidP="007C57BD">
      <w:pPr>
        <w:rPr>
          <w:rFonts w:cs="Arial"/>
          <w:b/>
          <w:szCs w:val="22"/>
          <w:lang w:val="es-CL"/>
        </w:rPr>
      </w:pPr>
    </w:p>
    <w:p w:rsidR="007C57BD" w:rsidRDefault="007C57BD" w:rsidP="007C57BD">
      <w:pPr>
        <w:rPr>
          <w:rFonts w:cs="Arial"/>
          <w:szCs w:val="22"/>
          <w:lang w:val="es-CL"/>
        </w:rPr>
      </w:pPr>
      <w:r>
        <w:rPr>
          <w:rFonts w:cs="Arial"/>
          <w:szCs w:val="22"/>
          <w:lang w:val="es-CL"/>
        </w:rPr>
        <w:lastRenderedPageBreak/>
        <w:t xml:space="preserve">La institución responsable del mejoramiento de </w:t>
      </w:r>
      <w:smartTag w:uri="urn:schemas-microsoft-com:office:smarttags" w:element="PersonName">
        <w:smartTagPr>
          <w:attr w:name="ProductID" w:val="la Red"/>
        </w:smartTagPr>
        <w:r>
          <w:rPr>
            <w:rFonts w:cs="Arial"/>
            <w:szCs w:val="22"/>
            <w:lang w:val="es-CL"/>
          </w:rPr>
          <w:t>la Red</w:t>
        </w:r>
      </w:smartTag>
      <w:r>
        <w:rPr>
          <w:rFonts w:cs="Arial"/>
          <w:szCs w:val="22"/>
          <w:lang w:val="es-CL"/>
        </w:rPr>
        <w:t xml:space="preserve"> de Monitoreo del Recurso Hídrico es </w:t>
      </w:r>
      <w:smartTag w:uri="urn:schemas-microsoft-com:office:smarttags" w:element="PersonName">
        <w:smartTagPr>
          <w:attr w:name="ProductID" w:val="la Dirección General"/>
        </w:smartTagPr>
        <w:r>
          <w:rPr>
            <w:rFonts w:cs="Arial"/>
            <w:szCs w:val="22"/>
            <w:lang w:val="es-CL"/>
          </w:rPr>
          <w:t>la Dirección General</w:t>
        </w:r>
      </w:smartTag>
      <w:r>
        <w:rPr>
          <w:rFonts w:cs="Arial"/>
          <w:szCs w:val="22"/>
          <w:lang w:val="es-CL"/>
        </w:rPr>
        <w:t xml:space="preserve"> de Aguas (DGA) del Ministerio de Obras Públicas (MOP).</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Se propone complementar la red existente, considerando la instalación de nuevas estaciones fluviométricas y/o pluviométricas en áreas no </w:t>
      </w:r>
      <w:r w:rsidRPr="00EC3008">
        <w:rPr>
          <w:rFonts w:cs="Arial"/>
          <w:szCs w:val="22"/>
          <w:lang w:val="es-CL"/>
        </w:rPr>
        <w:t>controladas de la zona en estudio</w:t>
      </w:r>
      <w:r>
        <w:rPr>
          <w:rFonts w:cs="Arial"/>
          <w:szCs w:val="22"/>
          <w:lang w:val="es-CL"/>
        </w:rPr>
        <w:t>.</w:t>
      </w:r>
    </w:p>
    <w:p w:rsidR="00103D2D" w:rsidRDefault="00103D2D" w:rsidP="007C57BD">
      <w:pPr>
        <w:rPr>
          <w:rFonts w:cs="Arial"/>
          <w:szCs w:val="22"/>
          <w:lang w:val="es-CL"/>
        </w:rPr>
      </w:pPr>
    </w:p>
    <w:p w:rsidR="007C57BD" w:rsidRDefault="007C57BD" w:rsidP="007C57BD">
      <w:pPr>
        <w:rPr>
          <w:rFonts w:cs="Arial"/>
          <w:szCs w:val="22"/>
          <w:lang w:val="es-CL"/>
        </w:rPr>
      </w:pPr>
      <w:r w:rsidRPr="00EC3008">
        <w:rPr>
          <w:rFonts w:cs="Arial"/>
          <w:szCs w:val="22"/>
          <w:lang w:val="es-CL"/>
        </w:rPr>
        <w:t xml:space="preserve">Se proponen las siguientes mejoras para la </w:t>
      </w:r>
      <w:r>
        <w:rPr>
          <w:rFonts w:cs="Arial"/>
          <w:szCs w:val="22"/>
          <w:lang w:val="es-CL"/>
        </w:rPr>
        <w:t>sex</w:t>
      </w:r>
      <w:r w:rsidRPr="00EC3008">
        <w:rPr>
          <w:rFonts w:cs="Arial"/>
          <w:szCs w:val="22"/>
          <w:lang w:val="es-CL"/>
        </w:rPr>
        <w:t>ta región:</w:t>
      </w:r>
    </w:p>
    <w:p w:rsidR="007C57BD" w:rsidRDefault="007C57BD" w:rsidP="007C57BD">
      <w:pPr>
        <w:rPr>
          <w:rFonts w:cs="Arial"/>
          <w:szCs w:val="22"/>
          <w:lang w:val="es-CL"/>
        </w:rPr>
      </w:pPr>
    </w:p>
    <w:p w:rsidR="00732C91" w:rsidRDefault="007C57BD" w:rsidP="00145762">
      <w:pPr>
        <w:numPr>
          <w:ilvl w:val="0"/>
          <w:numId w:val="29"/>
        </w:numPr>
        <w:rPr>
          <w:rFonts w:cs="Arial"/>
          <w:szCs w:val="22"/>
          <w:lang w:val="es-CL"/>
        </w:rPr>
      </w:pPr>
      <w:r w:rsidRPr="00732C91">
        <w:rPr>
          <w:rFonts w:cs="Arial"/>
          <w:szCs w:val="22"/>
          <w:lang w:val="es-CL"/>
        </w:rPr>
        <w:t xml:space="preserve">Instalar estación pluviométrica en el sector medio de la subcuenca </w:t>
      </w:r>
      <w:r w:rsidR="00732C91">
        <w:rPr>
          <w:rFonts w:cs="Arial"/>
          <w:szCs w:val="22"/>
          <w:lang w:val="es-CL"/>
        </w:rPr>
        <w:t>del Río Angostura (0571)</w:t>
      </w:r>
    </w:p>
    <w:p w:rsidR="007C57BD" w:rsidRDefault="007C57BD" w:rsidP="00145762">
      <w:pPr>
        <w:numPr>
          <w:ilvl w:val="0"/>
          <w:numId w:val="29"/>
        </w:numPr>
        <w:rPr>
          <w:rFonts w:cs="Arial"/>
          <w:szCs w:val="22"/>
          <w:lang w:val="es-CL"/>
        </w:rPr>
      </w:pPr>
      <w:r w:rsidRPr="00732C91">
        <w:rPr>
          <w:rFonts w:cs="Arial"/>
          <w:szCs w:val="22"/>
          <w:lang w:val="es-CL"/>
        </w:rPr>
        <w:t>Instalar estación pluviométrica en el sector medio de la subcuenca 0602-Río Tinguiririca Alto.</w:t>
      </w:r>
    </w:p>
    <w:p w:rsidR="00732C91" w:rsidRPr="00732C91" w:rsidRDefault="00732C91" w:rsidP="00145762">
      <w:pPr>
        <w:numPr>
          <w:ilvl w:val="0"/>
          <w:numId w:val="29"/>
        </w:numPr>
        <w:rPr>
          <w:rFonts w:cs="Arial"/>
          <w:szCs w:val="22"/>
          <w:lang w:val="es-CL"/>
        </w:rPr>
      </w:pPr>
      <w:r>
        <w:rPr>
          <w:rFonts w:cs="Arial"/>
          <w:szCs w:val="22"/>
          <w:lang w:val="es-CL"/>
        </w:rPr>
        <w:t>Instalar estación pluviométrica en la zona alta de la cuenca del río Alhué (0604).</w:t>
      </w:r>
    </w:p>
    <w:p w:rsidR="007C57BD" w:rsidRDefault="007C57BD" w:rsidP="00145762">
      <w:pPr>
        <w:numPr>
          <w:ilvl w:val="0"/>
          <w:numId w:val="29"/>
        </w:numPr>
        <w:rPr>
          <w:rFonts w:cs="Arial"/>
          <w:szCs w:val="22"/>
          <w:lang w:val="es-CL"/>
        </w:rPr>
      </w:pPr>
      <w:r>
        <w:rPr>
          <w:rFonts w:cs="Arial"/>
          <w:szCs w:val="22"/>
          <w:lang w:val="es-CL"/>
        </w:rPr>
        <w:t>Instalar estación pluviométrica en el sector medio de la subcuenca 0605-Río Rapel. Se propone control fluviomét</w:t>
      </w:r>
      <w:r w:rsidR="00732C91">
        <w:rPr>
          <w:rFonts w:cs="Arial"/>
          <w:szCs w:val="22"/>
          <w:lang w:val="es-CL"/>
        </w:rPr>
        <w:t>rico que cuantifique los aportes provenientes de la zona sur de esta subcuenca</w:t>
      </w:r>
      <w:r>
        <w:rPr>
          <w:rFonts w:cs="Arial"/>
          <w:szCs w:val="22"/>
          <w:lang w:val="es-CL"/>
        </w:rPr>
        <w:t>.</w:t>
      </w:r>
    </w:p>
    <w:p w:rsidR="007C57BD" w:rsidRDefault="007C57BD" w:rsidP="00145762">
      <w:pPr>
        <w:numPr>
          <w:ilvl w:val="0"/>
          <w:numId w:val="29"/>
        </w:numPr>
        <w:rPr>
          <w:rFonts w:cs="Arial"/>
          <w:szCs w:val="22"/>
          <w:lang w:val="es-CL"/>
        </w:rPr>
      </w:pPr>
      <w:r>
        <w:rPr>
          <w:rFonts w:cs="Arial"/>
          <w:szCs w:val="22"/>
          <w:lang w:val="es-CL"/>
        </w:rPr>
        <w:t>Se proponen estaciones pluviométricas en las zonas medias de las subcuencas costeras 0610-Costeras entre Río Rapel y Estero Topocalma, 0611-Estero Topocalma y 0614-Costeras entre Estero Nilahue y Límite Región. Además, se proponen controles fluviométricos en todas las subcuencas costeras con excepción de la subcuenca 0613-Estero Nilahue.</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Los costos asociados a la instalación o construcción y  operación de una estación pluviométrica o fluviométrica, considera, según corresponda, aspectos tales como el despeje de terreno, construcción de cercos, compra e instalación de instrumentos, especialistas para toma del registro, operación y mantención.</w:t>
      </w:r>
    </w:p>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A modo de referencia en el estudio “Plan Director para la gestión de los recursos hídricos en la cuenca del río Aconcagua” del Ministerio de Obras Públicas, se estiman los costos de inversión de  las soluciones presentadas, los cuales se muestran actualizados, en </w:t>
      </w:r>
      <w:smartTag w:uri="urn:schemas-microsoft-com:office:smarttags" w:element="PersonName">
        <w:smartTagPr>
          <w:attr w:name="ProductID" w:val="la ￼￼￼￼￼￼￼￼￼￼￼￼￼￼￼￼￼￼￼￼￼￼￼￼￼￼￼￼￼￼￼￼￼￼￼￼￼￼￼￼￼Tabla"/>
        </w:smartTagPr>
        <w:r>
          <w:rPr>
            <w:rFonts w:cs="Arial"/>
            <w:szCs w:val="22"/>
            <w:lang w:val="es-CL"/>
          </w:rPr>
          <w:t xml:space="preserve">la </w:t>
        </w:r>
        <w:r w:rsidR="00616A7F" w:rsidRPr="00616A7F">
          <w:rPr>
            <w:rFonts w:cs="Arial"/>
            <w:b/>
            <w:szCs w:val="22"/>
            <w:highlight w:val="red"/>
            <w:lang w:val="es-CL"/>
          </w:rPr>
          <w:fldChar w:fldCharType="begin"/>
        </w:r>
        <w:r w:rsidR="00616A7F" w:rsidRPr="00616A7F">
          <w:rPr>
            <w:rFonts w:cs="Arial"/>
            <w:b/>
            <w:szCs w:val="22"/>
            <w:lang w:val="es-CL"/>
          </w:rPr>
          <w:instrText xml:space="preserve"> REF _Ref342040319 \h </w:instrText>
        </w:r>
        <w:r w:rsidR="00276A04" w:rsidRPr="00616A7F">
          <w:rPr>
            <w:rFonts w:cs="Arial"/>
            <w:b/>
            <w:szCs w:val="22"/>
            <w:highlight w:val="red"/>
            <w:lang w:val="es-CL"/>
          </w:rPr>
        </w:r>
        <w:r w:rsidR="00616A7F">
          <w:rPr>
            <w:rFonts w:cs="Arial"/>
            <w:b/>
            <w:szCs w:val="22"/>
            <w:highlight w:val="red"/>
            <w:lang w:val="es-CL"/>
          </w:rPr>
          <w:instrText xml:space="preserve"> \* MERGEFORMAT </w:instrText>
        </w:r>
        <w:r w:rsidR="00616A7F" w:rsidRPr="00616A7F">
          <w:rPr>
            <w:rFonts w:cs="Arial"/>
            <w:b/>
            <w:szCs w:val="22"/>
            <w:highlight w:val="red"/>
            <w:lang w:val="es-CL"/>
          </w:rPr>
          <w:fldChar w:fldCharType="separate"/>
        </w:r>
        <w:r w:rsidR="00264070" w:rsidRPr="00264070">
          <w:rPr>
            <w:rStyle w:val="EpgrafeCar"/>
            <w:b w:val="0"/>
          </w:rPr>
          <w:t>Tabla</w:t>
        </w:r>
      </w:smartTag>
      <w:r w:rsidR="00264070" w:rsidRPr="00264070">
        <w:rPr>
          <w:rStyle w:val="EpgrafeCar"/>
          <w:b w:val="0"/>
        </w:rPr>
        <w:t xml:space="preserve"> </w:t>
      </w:r>
      <w:r w:rsidR="00264070" w:rsidRPr="00264070">
        <w:rPr>
          <w:rStyle w:val="EpgrafeCar"/>
          <w:b w:val="0"/>
          <w:noProof/>
        </w:rPr>
        <w:t>7.5</w:t>
      </w:r>
      <w:r w:rsidR="00616A7F" w:rsidRPr="00616A7F">
        <w:rPr>
          <w:rFonts w:cs="Arial"/>
          <w:b/>
          <w:szCs w:val="22"/>
          <w:highlight w:val="red"/>
          <w:lang w:val="es-CL"/>
        </w:rPr>
        <w:fldChar w:fldCharType="end"/>
      </w:r>
      <w:r>
        <w:rPr>
          <w:rFonts w:cs="Arial"/>
          <w:szCs w:val="22"/>
          <w:lang w:val="es-CL"/>
        </w:rPr>
        <w:t xml:space="preserve"> según </w:t>
      </w:r>
      <w:smartTag w:uri="urn:schemas-microsoft-com:office:smarttags" w:element="PersonName">
        <w:smartTagPr>
          <w:attr w:name="ProductID" w:val="la Unidad"/>
        </w:smartTagPr>
        <w:r>
          <w:rPr>
            <w:rFonts w:cs="Arial"/>
            <w:szCs w:val="22"/>
            <w:lang w:val="es-CL"/>
          </w:rPr>
          <w:t>la Unidad</w:t>
        </w:r>
      </w:smartTag>
      <w:r>
        <w:rPr>
          <w:rFonts w:cs="Arial"/>
          <w:szCs w:val="22"/>
          <w:lang w:val="es-CL"/>
        </w:rPr>
        <w:t xml:space="preserve"> de Fomento del día 30 de noviembre del presente año.</w:t>
      </w:r>
    </w:p>
    <w:p w:rsidR="008373F2" w:rsidRPr="008373F2" w:rsidRDefault="008373F2" w:rsidP="007C57BD">
      <w:pPr>
        <w:jc w:val="center"/>
        <w:rPr>
          <w:rStyle w:val="EpgrafeCar"/>
        </w:rPr>
      </w:pPr>
    </w:p>
    <w:p w:rsidR="007C57BD" w:rsidRPr="008373F2" w:rsidRDefault="008373F2" w:rsidP="007C57BD">
      <w:pPr>
        <w:jc w:val="center"/>
        <w:rPr>
          <w:rStyle w:val="EpgrafeCar"/>
        </w:rPr>
      </w:pPr>
      <w:bookmarkStart w:id="451" w:name="_Ref342040319"/>
      <w:r w:rsidRPr="007C57BD">
        <w:rPr>
          <w:rStyle w:val="EpgrafeCar"/>
        </w:rPr>
        <w:t xml:space="preserve">Tabla </w:t>
      </w:r>
      <w:r w:rsidR="007F3102">
        <w:rPr>
          <w:rStyle w:val="EpgrafeCar"/>
        </w:rPr>
        <w:fldChar w:fldCharType="begin"/>
      </w:r>
      <w:r w:rsidR="007F3102">
        <w:rPr>
          <w:rStyle w:val="EpgrafeCar"/>
        </w:rPr>
        <w:instrText xml:space="preserve"> STYLEREF 1 \s </w:instrText>
      </w:r>
      <w:r w:rsidR="007F3102">
        <w:rPr>
          <w:rStyle w:val="EpgrafeCar"/>
        </w:rPr>
        <w:fldChar w:fldCharType="separate"/>
      </w:r>
      <w:r w:rsidR="00264070">
        <w:rPr>
          <w:rStyle w:val="EpgrafeCar"/>
          <w:noProof/>
        </w:rPr>
        <w:t>7</w:t>
      </w:r>
      <w:r w:rsidR="007F3102">
        <w:rPr>
          <w:rStyle w:val="EpgrafeCar"/>
        </w:rPr>
        <w:fldChar w:fldCharType="end"/>
      </w:r>
      <w:r w:rsidR="007F3102">
        <w:rPr>
          <w:rStyle w:val="EpgrafeCar"/>
        </w:rPr>
        <w:t>.</w:t>
      </w:r>
      <w:r w:rsidR="007F3102">
        <w:rPr>
          <w:rStyle w:val="EpgrafeCar"/>
        </w:rPr>
        <w:fldChar w:fldCharType="begin"/>
      </w:r>
      <w:r w:rsidR="007F3102">
        <w:rPr>
          <w:rStyle w:val="EpgrafeCar"/>
        </w:rPr>
        <w:instrText xml:space="preserve"> SEQ Tabla \* ARABIC \s 1 </w:instrText>
      </w:r>
      <w:r w:rsidR="007F3102">
        <w:rPr>
          <w:rStyle w:val="EpgrafeCar"/>
        </w:rPr>
        <w:fldChar w:fldCharType="separate"/>
      </w:r>
      <w:r w:rsidR="00264070">
        <w:rPr>
          <w:rStyle w:val="EpgrafeCar"/>
          <w:noProof/>
        </w:rPr>
        <w:t>5</w:t>
      </w:r>
      <w:r w:rsidR="007F3102">
        <w:rPr>
          <w:rStyle w:val="EpgrafeCar"/>
        </w:rPr>
        <w:fldChar w:fldCharType="end"/>
      </w:r>
      <w:bookmarkEnd w:id="451"/>
      <w:r>
        <w:rPr>
          <w:rStyle w:val="EpgrafeCar"/>
        </w:rPr>
        <w:t xml:space="preserve"> </w:t>
      </w:r>
      <w:r w:rsidR="007C57BD" w:rsidRPr="008373F2">
        <w:rPr>
          <w:rStyle w:val="EpgrafeCar"/>
        </w:rPr>
        <w:t>Costos de Inversión</w:t>
      </w:r>
    </w:p>
    <w:tbl>
      <w:tblPr>
        <w:tblW w:w="7400" w:type="dxa"/>
        <w:jc w:val="center"/>
        <w:tblInd w:w="55" w:type="dxa"/>
        <w:tblCellMar>
          <w:left w:w="70" w:type="dxa"/>
          <w:right w:w="70" w:type="dxa"/>
        </w:tblCellMar>
        <w:tblLook w:val="04A0" w:firstRow="1" w:lastRow="0" w:firstColumn="1" w:lastColumn="0" w:noHBand="0" w:noVBand="1"/>
      </w:tblPr>
      <w:tblGrid>
        <w:gridCol w:w="1252"/>
        <w:gridCol w:w="829"/>
        <w:gridCol w:w="3220"/>
        <w:gridCol w:w="1274"/>
        <w:gridCol w:w="966"/>
      </w:tblGrid>
      <w:tr w:rsidR="00141332" w:rsidRPr="00435097">
        <w:trPr>
          <w:trHeight w:val="255"/>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Ítem</w:t>
            </w:r>
          </w:p>
        </w:tc>
        <w:tc>
          <w:tcPr>
            <w:tcW w:w="7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Opción</w:t>
            </w:r>
          </w:p>
        </w:tc>
        <w:tc>
          <w:tcPr>
            <w:tcW w:w="32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Descripción</w:t>
            </w:r>
          </w:p>
        </w:tc>
        <w:tc>
          <w:tcPr>
            <w:tcW w:w="2240" w:type="dxa"/>
            <w:gridSpan w:val="2"/>
            <w:tcBorders>
              <w:top w:val="single" w:sz="4" w:space="0" w:color="auto"/>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Costo</w:t>
            </w:r>
          </w:p>
        </w:tc>
      </w:tr>
      <w:tr w:rsidR="00141332" w:rsidRPr="00435097">
        <w:trPr>
          <w:trHeight w:val="255"/>
          <w:jc w:val="center"/>
        </w:trPr>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78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322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1274"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Pesos</w:t>
            </w:r>
          </w:p>
        </w:tc>
        <w:tc>
          <w:tcPr>
            <w:tcW w:w="966"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US$</w:t>
            </w:r>
          </w:p>
        </w:tc>
      </w:tr>
      <w:tr w:rsidR="00141332" w:rsidRPr="00435097">
        <w:trPr>
          <w:trHeight w:val="255"/>
          <w:jc w:val="center"/>
        </w:trPr>
        <w:tc>
          <w:tcPr>
            <w:tcW w:w="1160" w:type="dxa"/>
            <w:vMerge w:val="restart"/>
            <w:tcBorders>
              <w:top w:val="nil"/>
              <w:left w:val="single" w:sz="4" w:space="0" w:color="auto"/>
              <w:bottom w:val="single" w:sz="4" w:space="0" w:color="auto"/>
              <w:right w:val="single" w:sz="4" w:space="0" w:color="auto"/>
            </w:tcBorders>
            <w:shd w:val="clear" w:color="auto" w:fill="auto"/>
            <w:vAlign w:val="center"/>
          </w:tcPr>
          <w:p w:rsidR="00141332" w:rsidRPr="00435097" w:rsidRDefault="00141332" w:rsidP="00141332">
            <w:pPr>
              <w:jc w:val="center"/>
              <w:rPr>
                <w:rFonts w:cs="Arial"/>
                <w:sz w:val="20"/>
                <w:lang w:val="es-CL" w:eastAsia="es-CL"/>
              </w:rPr>
            </w:pPr>
            <w:r w:rsidRPr="00435097">
              <w:rPr>
                <w:rFonts w:cs="Arial"/>
                <w:sz w:val="20"/>
                <w:lang w:val="es-CL" w:eastAsia="es-CL"/>
              </w:rPr>
              <w:t>Fluviometría</w:t>
            </w: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A:</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Limnigráfica mediana</w:t>
            </w:r>
          </w:p>
        </w:tc>
        <w:tc>
          <w:tcPr>
            <w:tcW w:w="1274"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46500000</w:t>
            </w:r>
          </w:p>
        </w:tc>
        <w:tc>
          <w:tcPr>
            <w:tcW w:w="966"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96875</w:t>
            </w:r>
          </w:p>
        </w:tc>
      </w:tr>
      <w:tr w:rsidR="00141332" w:rsidRPr="00435097">
        <w:trPr>
          <w:trHeight w:val="255"/>
          <w:jc w:val="center"/>
        </w:trPr>
        <w:tc>
          <w:tcPr>
            <w:tcW w:w="1160" w:type="dxa"/>
            <w:vMerge/>
            <w:tcBorders>
              <w:top w:val="nil"/>
              <w:left w:val="single" w:sz="4" w:space="0" w:color="auto"/>
              <w:bottom w:val="single" w:sz="4" w:space="0" w:color="auto"/>
              <w:right w:val="single" w:sz="4" w:space="0" w:color="auto"/>
            </w:tcBorders>
            <w:vAlign w:val="center"/>
          </w:tcPr>
          <w:p w:rsidR="00141332" w:rsidRPr="00435097" w:rsidRDefault="00141332" w:rsidP="00141332">
            <w:pPr>
              <w:jc w:val="left"/>
              <w:rPr>
                <w:rFonts w:cs="Arial"/>
                <w:sz w:val="20"/>
                <w:lang w:val="es-CL" w:eastAsia="es-CL"/>
              </w:rPr>
            </w:pP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B:</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Limnigráfica mayor</w:t>
            </w:r>
          </w:p>
        </w:tc>
        <w:tc>
          <w:tcPr>
            <w:tcW w:w="1274"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59500000</w:t>
            </w:r>
          </w:p>
        </w:tc>
        <w:tc>
          <w:tcPr>
            <w:tcW w:w="966"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123958</w:t>
            </w:r>
          </w:p>
        </w:tc>
      </w:tr>
      <w:tr w:rsidR="00141332" w:rsidRPr="00435097">
        <w:trPr>
          <w:trHeight w:val="255"/>
          <w:jc w:val="center"/>
        </w:trPr>
        <w:tc>
          <w:tcPr>
            <w:tcW w:w="1160" w:type="dxa"/>
            <w:vMerge w:val="restart"/>
            <w:tcBorders>
              <w:top w:val="nil"/>
              <w:left w:val="single" w:sz="4" w:space="0" w:color="auto"/>
              <w:bottom w:val="single" w:sz="4" w:space="0" w:color="auto"/>
              <w:right w:val="single" w:sz="4" w:space="0" w:color="auto"/>
            </w:tcBorders>
            <w:shd w:val="clear" w:color="auto" w:fill="auto"/>
            <w:vAlign w:val="center"/>
          </w:tcPr>
          <w:p w:rsidR="00141332" w:rsidRPr="00435097" w:rsidRDefault="00141332" w:rsidP="00141332">
            <w:pPr>
              <w:jc w:val="center"/>
              <w:rPr>
                <w:rFonts w:cs="Arial"/>
                <w:sz w:val="20"/>
                <w:lang w:val="es-CL" w:eastAsia="es-CL"/>
              </w:rPr>
            </w:pPr>
            <w:r w:rsidRPr="00435097">
              <w:rPr>
                <w:rFonts w:cs="Arial"/>
                <w:sz w:val="20"/>
                <w:lang w:val="es-CL" w:eastAsia="es-CL"/>
              </w:rPr>
              <w:t>Pluviometría</w:t>
            </w: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A:</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tipo D</w:t>
            </w:r>
          </w:p>
        </w:tc>
        <w:tc>
          <w:tcPr>
            <w:tcW w:w="1274"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1400000</w:t>
            </w:r>
          </w:p>
        </w:tc>
        <w:tc>
          <w:tcPr>
            <w:tcW w:w="966"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2917</w:t>
            </w:r>
          </w:p>
        </w:tc>
      </w:tr>
      <w:tr w:rsidR="00141332" w:rsidRPr="00435097">
        <w:trPr>
          <w:trHeight w:val="255"/>
          <w:jc w:val="center"/>
        </w:trPr>
        <w:tc>
          <w:tcPr>
            <w:tcW w:w="1160" w:type="dxa"/>
            <w:vMerge/>
            <w:tcBorders>
              <w:top w:val="nil"/>
              <w:left w:val="single" w:sz="4" w:space="0" w:color="auto"/>
              <w:bottom w:val="single" w:sz="4" w:space="0" w:color="auto"/>
              <w:right w:val="single" w:sz="4" w:space="0" w:color="auto"/>
            </w:tcBorders>
            <w:vAlign w:val="center"/>
          </w:tcPr>
          <w:p w:rsidR="00141332" w:rsidRPr="00435097" w:rsidRDefault="00141332" w:rsidP="00141332">
            <w:pPr>
              <w:jc w:val="left"/>
              <w:rPr>
                <w:rFonts w:cs="Arial"/>
                <w:sz w:val="20"/>
                <w:lang w:val="es-CL" w:eastAsia="es-CL"/>
              </w:rPr>
            </w:pP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B:</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Pluviógrafo (incluye instalación)</w:t>
            </w:r>
          </w:p>
        </w:tc>
        <w:tc>
          <w:tcPr>
            <w:tcW w:w="1274"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1700000</w:t>
            </w:r>
          </w:p>
        </w:tc>
        <w:tc>
          <w:tcPr>
            <w:tcW w:w="966"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3542</w:t>
            </w:r>
          </w:p>
        </w:tc>
      </w:tr>
    </w:tbl>
    <w:p w:rsidR="007C57BD" w:rsidRDefault="007C57BD" w:rsidP="007C57BD">
      <w:pPr>
        <w:rPr>
          <w:rFonts w:cs="Arial"/>
          <w:szCs w:val="22"/>
          <w:lang w:val="es-CL"/>
        </w:rPr>
      </w:pPr>
    </w:p>
    <w:p w:rsidR="007C57BD" w:rsidRDefault="007C57BD" w:rsidP="007C57BD">
      <w:pPr>
        <w:rPr>
          <w:rFonts w:cs="Arial"/>
          <w:szCs w:val="22"/>
          <w:lang w:val="es-CL"/>
        </w:rPr>
      </w:pPr>
      <w:r>
        <w:rPr>
          <w:rFonts w:cs="Arial"/>
          <w:szCs w:val="22"/>
          <w:lang w:val="es-CL"/>
        </w:rPr>
        <w:t xml:space="preserve">En </w:t>
      </w:r>
      <w:smartTag w:uri="urn:schemas-microsoft-com:office:smarttags" w:element="PersonName">
        <w:smartTagPr>
          <w:attr w:name="ProductID" w:val="la ￼￼￼￼￼￼￼￼￼￼￼￼￼￼￼￼￼￼￼￼￼￼￼￼￼￼￼￼￼￼￼￼￼￼￼￼￼￼￼￼￼Tabla"/>
        </w:smartTagPr>
        <w:r>
          <w:rPr>
            <w:rFonts w:cs="Arial"/>
            <w:szCs w:val="22"/>
            <w:lang w:val="es-CL"/>
          </w:rPr>
          <w:t>la Tabla</w:t>
        </w:r>
      </w:smartTag>
      <w:r>
        <w:rPr>
          <w:rFonts w:cs="Arial"/>
          <w:szCs w:val="22"/>
          <w:lang w:val="es-CL"/>
        </w:rPr>
        <w:t xml:space="preserve"> </w:t>
      </w:r>
      <w:r w:rsidR="00616A7F">
        <w:rPr>
          <w:rFonts w:cs="Arial"/>
          <w:szCs w:val="22"/>
          <w:lang w:val="es-CL"/>
        </w:rPr>
        <w:t>siguiente</w:t>
      </w:r>
      <w:r>
        <w:rPr>
          <w:rFonts w:cs="Arial"/>
          <w:szCs w:val="22"/>
          <w:lang w:val="es-CL"/>
        </w:rPr>
        <w:t xml:space="preserve"> se presentan los costos de operación anual de los elementos  presentados </w:t>
      </w:r>
      <w:r w:rsidR="00616A7F">
        <w:rPr>
          <w:rFonts w:cs="Arial"/>
          <w:szCs w:val="22"/>
          <w:lang w:val="es-CL"/>
        </w:rPr>
        <w:t>anteriormente.</w:t>
      </w:r>
    </w:p>
    <w:p w:rsidR="00BA678B" w:rsidRDefault="00BA678B" w:rsidP="007C57BD">
      <w:pPr>
        <w:rPr>
          <w:rFonts w:cs="Arial"/>
          <w:szCs w:val="22"/>
          <w:lang w:val="es-CL"/>
        </w:rPr>
      </w:pPr>
    </w:p>
    <w:p w:rsidR="00BA678B" w:rsidRDefault="00BA678B" w:rsidP="007C57BD">
      <w:pPr>
        <w:rPr>
          <w:rFonts w:cs="Arial"/>
          <w:szCs w:val="22"/>
          <w:lang w:val="es-CL"/>
        </w:rPr>
      </w:pPr>
    </w:p>
    <w:p w:rsidR="00BA678B" w:rsidRDefault="00BA678B" w:rsidP="007C57BD">
      <w:pPr>
        <w:rPr>
          <w:rFonts w:cs="Arial"/>
          <w:szCs w:val="22"/>
          <w:lang w:val="es-CL"/>
        </w:rPr>
      </w:pPr>
    </w:p>
    <w:p w:rsidR="00BA678B" w:rsidRDefault="00BA678B" w:rsidP="007C57BD">
      <w:pPr>
        <w:rPr>
          <w:rFonts w:cs="Arial"/>
          <w:szCs w:val="22"/>
          <w:lang w:val="es-CL"/>
        </w:rPr>
      </w:pPr>
    </w:p>
    <w:p w:rsidR="00BA678B" w:rsidRDefault="00BA678B" w:rsidP="007C57BD">
      <w:pPr>
        <w:rPr>
          <w:rFonts w:cs="Arial"/>
          <w:szCs w:val="22"/>
          <w:lang w:val="es-CL"/>
        </w:rPr>
      </w:pPr>
    </w:p>
    <w:p w:rsidR="00BA678B" w:rsidRDefault="00BA678B" w:rsidP="007C57BD">
      <w:pPr>
        <w:rPr>
          <w:rFonts w:cs="Arial"/>
          <w:szCs w:val="22"/>
          <w:lang w:val="es-CL"/>
        </w:rPr>
      </w:pPr>
    </w:p>
    <w:p w:rsidR="007C57BD" w:rsidRDefault="007C57BD" w:rsidP="007C57BD">
      <w:pPr>
        <w:rPr>
          <w:rFonts w:cs="Arial"/>
          <w:szCs w:val="22"/>
          <w:lang w:val="es-CL"/>
        </w:rPr>
      </w:pPr>
    </w:p>
    <w:p w:rsidR="007C57BD" w:rsidRPr="00227799" w:rsidRDefault="00616A7F" w:rsidP="007C57BD">
      <w:pPr>
        <w:jc w:val="center"/>
        <w:rPr>
          <w:rFonts w:cs="Arial"/>
          <w:b/>
          <w:szCs w:val="22"/>
          <w:lang w:val="es-CL"/>
        </w:rPr>
      </w:pPr>
      <w:r w:rsidRPr="007C57BD">
        <w:rPr>
          <w:rStyle w:val="EpgrafeCar"/>
        </w:rPr>
        <w:lastRenderedPageBreak/>
        <w:t xml:space="preserve">Tabla </w:t>
      </w:r>
      <w:r w:rsidR="007F3102">
        <w:rPr>
          <w:rStyle w:val="EpgrafeCar"/>
        </w:rPr>
        <w:fldChar w:fldCharType="begin"/>
      </w:r>
      <w:r w:rsidR="007F3102">
        <w:rPr>
          <w:rStyle w:val="EpgrafeCar"/>
        </w:rPr>
        <w:instrText xml:space="preserve"> STYLEREF 1 \s </w:instrText>
      </w:r>
      <w:r w:rsidR="007F3102">
        <w:rPr>
          <w:rStyle w:val="EpgrafeCar"/>
        </w:rPr>
        <w:fldChar w:fldCharType="separate"/>
      </w:r>
      <w:r w:rsidR="00264070">
        <w:rPr>
          <w:rStyle w:val="EpgrafeCar"/>
          <w:noProof/>
        </w:rPr>
        <w:t>7</w:t>
      </w:r>
      <w:r w:rsidR="007F3102">
        <w:rPr>
          <w:rStyle w:val="EpgrafeCar"/>
        </w:rPr>
        <w:fldChar w:fldCharType="end"/>
      </w:r>
      <w:r w:rsidR="007F3102">
        <w:rPr>
          <w:rStyle w:val="EpgrafeCar"/>
        </w:rPr>
        <w:t>.</w:t>
      </w:r>
      <w:r w:rsidR="007F3102">
        <w:rPr>
          <w:rStyle w:val="EpgrafeCar"/>
        </w:rPr>
        <w:fldChar w:fldCharType="begin"/>
      </w:r>
      <w:r w:rsidR="007F3102">
        <w:rPr>
          <w:rStyle w:val="EpgrafeCar"/>
        </w:rPr>
        <w:instrText xml:space="preserve"> SEQ Tabla \* ARABIC \s 1 </w:instrText>
      </w:r>
      <w:r w:rsidR="007F3102">
        <w:rPr>
          <w:rStyle w:val="EpgrafeCar"/>
        </w:rPr>
        <w:fldChar w:fldCharType="separate"/>
      </w:r>
      <w:r w:rsidR="00264070">
        <w:rPr>
          <w:rStyle w:val="EpgrafeCar"/>
          <w:noProof/>
        </w:rPr>
        <w:t>6</w:t>
      </w:r>
      <w:r w:rsidR="007F3102">
        <w:rPr>
          <w:rStyle w:val="EpgrafeCar"/>
        </w:rPr>
        <w:fldChar w:fldCharType="end"/>
      </w:r>
      <w:r>
        <w:rPr>
          <w:rStyle w:val="EpgrafeCar"/>
        </w:rPr>
        <w:t xml:space="preserve"> </w:t>
      </w:r>
      <w:r w:rsidR="007C57BD" w:rsidRPr="00616A7F">
        <w:rPr>
          <w:rStyle w:val="EpgrafeCar"/>
        </w:rPr>
        <w:t>Costos de Operación y Mantención Anual</w:t>
      </w:r>
    </w:p>
    <w:tbl>
      <w:tblPr>
        <w:tblW w:w="7400" w:type="dxa"/>
        <w:jc w:val="center"/>
        <w:tblInd w:w="55" w:type="dxa"/>
        <w:tblCellMar>
          <w:left w:w="70" w:type="dxa"/>
          <w:right w:w="70" w:type="dxa"/>
        </w:tblCellMar>
        <w:tblLook w:val="04A0" w:firstRow="1" w:lastRow="0" w:firstColumn="1" w:lastColumn="0" w:noHBand="0" w:noVBand="1"/>
      </w:tblPr>
      <w:tblGrid>
        <w:gridCol w:w="1252"/>
        <w:gridCol w:w="829"/>
        <w:gridCol w:w="3220"/>
        <w:gridCol w:w="1411"/>
        <w:gridCol w:w="829"/>
      </w:tblGrid>
      <w:tr w:rsidR="00141332" w:rsidRPr="00435097">
        <w:trPr>
          <w:trHeight w:val="255"/>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Ítem</w:t>
            </w:r>
          </w:p>
        </w:tc>
        <w:tc>
          <w:tcPr>
            <w:tcW w:w="7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Opción</w:t>
            </w:r>
          </w:p>
        </w:tc>
        <w:tc>
          <w:tcPr>
            <w:tcW w:w="32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Descripción</w:t>
            </w:r>
          </w:p>
        </w:tc>
        <w:tc>
          <w:tcPr>
            <w:tcW w:w="2240" w:type="dxa"/>
            <w:gridSpan w:val="2"/>
            <w:tcBorders>
              <w:top w:val="single" w:sz="4" w:space="0" w:color="auto"/>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Costo</w:t>
            </w:r>
          </w:p>
        </w:tc>
      </w:tr>
      <w:tr w:rsidR="00141332" w:rsidRPr="00435097">
        <w:trPr>
          <w:trHeight w:val="255"/>
          <w:jc w:val="center"/>
        </w:trPr>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78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3220" w:type="dxa"/>
            <w:vMerge/>
            <w:tcBorders>
              <w:top w:val="single" w:sz="4" w:space="0" w:color="auto"/>
              <w:left w:val="single" w:sz="4" w:space="0" w:color="auto"/>
              <w:bottom w:val="single" w:sz="4" w:space="0" w:color="auto"/>
              <w:right w:val="single" w:sz="4" w:space="0" w:color="auto"/>
            </w:tcBorders>
            <w:vAlign w:val="center"/>
          </w:tcPr>
          <w:p w:rsidR="00141332" w:rsidRPr="00435097" w:rsidRDefault="00141332" w:rsidP="00141332">
            <w:pPr>
              <w:jc w:val="left"/>
              <w:rPr>
                <w:rFonts w:cs="Arial"/>
                <w:b/>
                <w:bCs/>
                <w:sz w:val="20"/>
                <w:lang w:val="es-CL" w:eastAsia="es-CL"/>
              </w:rPr>
            </w:pPr>
          </w:p>
        </w:tc>
        <w:tc>
          <w:tcPr>
            <w:tcW w:w="1411"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Pesos</w:t>
            </w:r>
          </w:p>
        </w:tc>
        <w:tc>
          <w:tcPr>
            <w:tcW w:w="829"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b/>
                <w:bCs/>
                <w:sz w:val="20"/>
                <w:lang w:val="es-CL" w:eastAsia="es-CL"/>
              </w:rPr>
            </w:pPr>
            <w:r w:rsidRPr="00435097">
              <w:rPr>
                <w:rFonts w:cs="Arial"/>
                <w:b/>
                <w:bCs/>
                <w:sz w:val="20"/>
                <w:lang w:val="es-CL" w:eastAsia="es-CL"/>
              </w:rPr>
              <w:t>US$</w:t>
            </w:r>
          </w:p>
        </w:tc>
      </w:tr>
      <w:tr w:rsidR="00141332" w:rsidRPr="00435097">
        <w:trPr>
          <w:trHeight w:val="255"/>
          <w:jc w:val="center"/>
        </w:trPr>
        <w:tc>
          <w:tcPr>
            <w:tcW w:w="1160" w:type="dxa"/>
            <w:vMerge w:val="restart"/>
            <w:tcBorders>
              <w:top w:val="nil"/>
              <w:left w:val="single" w:sz="4" w:space="0" w:color="auto"/>
              <w:bottom w:val="single" w:sz="4" w:space="0" w:color="auto"/>
              <w:right w:val="single" w:sz="4" w:space="0" w:color="auto"/>
            </w:tcBorders>
            <w:shd w:val="clear" w:color="auto" w:fill="auto"/>
            <w:vAlign w:val="center"/>
          </w:tcPr>
          <w:p w:rsidR="00141332" w:rsidRPr="00435097" w:rsidRDefault="00141332" w:rsidP="00141332">
            <w:pPr>
              <w:jc w:val="center"/>
              <w:rPr>
                <w:rFonts w:cs="Arial"/>
                <w:sz w:val="20"/>
                <w:lang w:val="es-CL" w:eastAsia="es-CL"/>
              </w:rPr>
            </w:pPr>
            <w:r w:rsidRPr="00435097">
              <w:rPr>
                <w:rFonts w:cs="Arial"/>
                <w:sz w:val="20"/>
                <w:lang w:val="es-CL" w:eastAsia="es-CL"/>
              </w:rPr>
              <w:t>Fluviometría</w:t>
            </w: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A:</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Limnigráfica mediana</w:t>
            </w:r>
          </w:p>
        </w:tc>
        <w:tc>
          <w:tcPr>
            <w:tcW w:w="1411"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3300000</w:t>
            </w:r>
          </w:p>
        </w:tc>
        <w:tc>
          <w:tcPr>
            <w:tcW w:w="829"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6875</w:t>
            </w:r>
          </w:p>
        </w:tc>
      </w:tr>
      <w:tr w:rsidR="00141332" w:rsidRPr="00435097">
        <w:trPr>
          <w:trHeight w:val="255"/>
          <w:jc w:val="center"/>
        </w:trPr>
        <w:tc>
          <w:tcPr>
            <w:tcW w:w="1160" w:type="dxa"/>
            <w:vMerge/>
            <w:tcBorders>
              <w:top w:val="nil"/>
              <w:left w:val="single" w:sz="4" w:space="0" w:color="auto"/>
              <w:bottom w:val="single" w:sz="4" w:space="0" w:color="auto"/>
              <w:right w:val="single" w:sz="4" w:space="0" w:color="auto"/>
            </w:tcBorders>
            <w:vAlign w:val="center"/>
          </w:tcPr>
          <w:p w:rsidR="00141332" w:rsidRPr="00435097" w:rsidRDefault="00141332" w:rsidP="00141332">
            <w:pPr>
              <w:jc w:val="left"/>
              <w:rPr>
                <w:rFonts w:cs="Arial"/>
                <w:sz w:val="20"/>
                <w:lang w:val="es-CL" w:eastAsia="es-CL"/>
              </w:rPr>
            </w:pP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B:</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Limnigráfica mayor</w:t>
            </w:r>
          </w:p>
        </w:tc>
        <w:tc>
          <w:tcPr>
            <w:tcW w:w="1411"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4100000</w:t>
            </w:r>
          </w:p>
        </w:tc>
        <w:tc>
          <w:tcPr>
            <w:tcW w:w="829"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8542</w:t>
            </w:r>
          </w:p>
        </w:tc>
      </w:tr>
      <w:tr w:rsidR="00141332" w:rsidRPr="00435097">
        <w:trPr>
          <w:trHeight w:val="255"/>
          <w:jc w:val="center"/>
        </w:trPr>
        <w:tc>
          <w:tcPr>
            <w:tcW w:w="1160" w:type="dxa"/>
            <w:vMerge w:val="restart"/>
            <w:tcBorders>
              <w:top w:val="nil"/>
              <w:left w:val="single" w:sz="4" w:space="0" w:color="auto"/>
              <w:bottom w:val="single" w:sz="4" w:space="0" w:color="auto"/>
              <w:right w:val="single" w:sz="4" w:space="0" w:color="auto"/>
            </w:tcBorders>
            <w:shd w:val="clear" w:color="auto" w:fill="auto"/>
            <w:vAlign w:val="center"/>
          </w:tcPr>
          <w:p w:rsidR="00141332" w:rsidRPr="00435097" w:rsidRDefault="00141332" w:rsidP="00141332">
            <w:pPr>
              <w:jc w:val="center"/>
              <w:rPr>
                <w:rFonts w:cs="Arial"/>
                <w:sz w:val="20"/>
                <w:lang w:val="es-CL" w:eastAsia="es-CL"/>
              </w:rPr>
            </w:pPr>
            <w:r w:rsidRPr="00435097">
              <w:rPr>
                <w:rFonts w:cs="Arial"/>
                <w:sz w:val="20"/>
                <w:lang w:val="es-CL" w:eastAsia="es-CL"/>
              </w:rPr>
              <w:t>Pluviometría</w:t>
            </w: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A:</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Estación tipo D</w:t>
            </w:r>
          </w:p>
        </w:tc>
        <w:tc>
          <w:tcPr>
            <w:tcW w:w="1411"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440000</w:t>
            </w:r>
          </w:p>
        </w:tc>
        <w:tc>
          <w:tcPr>
            <w:tcW w:w="829"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917</w:t>
            </w:r>
          </w:p>
        </w:tc>
      </w:tr>
      <w:tr w:rsidR="00141332" w:rsidRPr="0036236B">
        <w:trPr>
          <w:trHeight w:val="255"/>
          <w:jc w:val="center"/>
        </w:trPr>
        <w:tc>
          <w:tcPr>
            <w:tcW w:w="1160" w:type="dxa"/>
            <w:vMerge/>
            <w:tcBorders>
              <w:top w:val="nil"/>
              <w:left w:val="single" w:sz="4" w:space="0" w:color="auto"/>
              <w:bottom w:val="single" w:sz="4" w:space="0" w:color="auto"/>
              <w:right w:val="single" w:sz="4" w:space="0" w:color="auto"/>
            </w:tcBorders>
            <w:vAlign w:val="center"/>
          </w:tcPr>
          <w:p w:rsidR="00141332" w:rsidRPr="00435097" w:rsidRDefault="00141332" w:rsidP="00141332">
            <w:pPr>
              <w:jc w:val="left"/>
              <w:rPr>
                <w:rFonts w:cs="Arial"/>
                <w:sz w:val="20"/>
                <w:lang w:val="es-CL" w:eastAsia="es-CL"/>
              </w:rPr>
            </w:pPr>
          </w:p>
        </w:tc>
        <w:tc>
          <w:tcPr>
            <w:tcW w:w="78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B:</w:t>
            </w:r>
          </w:p>
        </w:tc>
        <w:tc>
          <w:tcPr>
            <w:tcW w:w="3220" w:type="dxa"/>
            <w:tcBorders>
              <w:top w:val="nil"/>
              <w:left w:val="nil"/>
              <w:bottom w:val="single" w:sz="4" w:space="0" w:color="auto"/>
              <w:right w:val="single" w:sz="4" w:space="0" w:color="auto"/>
            </w:tcBorders>
            <w:shd w:val="clear" w:color="auto" w:fill="auto"/>
            <w:noWrap/>
            <w:vAlign w:val="center"/>
          </w:tcPr>
          <w:p w:rsidR="00141332" w:rsidRPr="00435097" w:rsidRDefault="00141332" w:rsidP="00141332">
            <w:pPr>
              <w:jc w:val="center"/>
              <w:rPr>
                <w:rFonts w:cs="Arial"/>
                <w:sz w:val="20"/>
                <w:lang w:val="es-CL" w:eastAsia="es-CL"/>
              </w:rPr>
            </w:pPr>
            <w:r w:rsidRPr="00435097">
              <w:rPr>
                <w:rFonts w:cs="Arial"/>
                <w:sz w:val="20"/>
                <w:lang w:val="es-CL" w:eastAsia="es-CL"/>
              </w:rPr>
              <w:t>Pluviógrafo (incluye instalación)</w:t>
            </w:r>
          </w:p>
        </w:tc>
        <w:tc>
          <w:tcPr>
            <w:tcW w:w="1411" w:type="dxa"/>
            <w:tcBorders>
              <w:top w:val="nil"/>
              <w:left w:val="nil"/>
              <w:bottom w:val="single" w:sz="4" w:space="0" w:color="auto"/>
              <w:right w:val="single" w:sz="4" w:space="0" w:color="auto"/>
            </w:tcBorders>
            <w:shd w:val="clear" w:color="auto" w:fill="auto"/>
            <w:noWrap/>
            <w:vAlign w:val="bottom"/>
          </w:tcPr>
          <w:p w:rsidR="00141332" w:rsidRPr="00435097" w:rsidRDefault="00141332" w:rsidP="00141332">
            <w:pPr>
              <w:jc w:val="center"/>
              <w:rPr>
                <w:rFonts w:cs="Arial"/>
                <w:sz w:val="20"/>
                <w:lang w:val="es-CL" w:eastAsia="es-CL"/>
              </w:rPr>
            </w:pPr>
            <w:r w:rsidRPr="00435097">
              <w:rPr>
                <w:rFonts w:cs="Arial"/>
                <w:sz w:val="20"/>
                <w:lang w:val="es-CL" w:eastAsia="es-CL"/>
              </w:rPr>
              <w:t>170000</w:t>
            </w:r>
          </w:p>
        </w:tc>
        <w:tc>
          <w:tcPr>
            <w:tcW w:w="829" w:type="dxa"/>
            <w:tcBorders>
              <w:top w:val="nil"/>
              <w:left w:val="nil"/>
              <w:bottom w:val="single" w:sz="4" w:space="0" w:color="auto"/>
              <w:right w:val="single" w:sz="4" w:space="0" w:color="auto"/>
            </w:tcBorders>
            <w:shd w:val="clear" w:color="auto" w:fill="auto"/>
            <w:noWrap/>
            <w:vAlign w:val="bottom"/>
          </w:tcPr>
          <w:p w:rsidR="00141332" w:rsidRPr="0036236B" w:rsidRDefault="00141332" w:rsidP="00141332">
            <w:pPr>
              <w:jc w:val="center"/>
              <w:rPr>
                <w:rFonts w:cs="Arial"/>
                <w:sz w:val="20"/>
                <w:lang w:val="es-CL" w:eastAsia="es-CL"/>
              </w:rPr>
            </w:pPr>
            <w:r w:rsidRPr="00435097">
              <w:rPr>
                <w:rFonts w:cs="Arial"/>
                <w:sz w:val="20"/>
                <w:lang w:val="es-CL" w:eastAsia="es-CL"/>
              </w:rPr>
              <w:t>354</w:t>
            </w:r>
          </w:p>
        </w:tc>
      </w:tr>
    </w:tbl>
    <w:p w:rsidR="007C57BD" w:rsidRDefault="007C57BD" w:rsidP="007C57BD">
      <w:pPr>
        <w:rPr>
          <w:rFonts w:cs="Arial"/>
          <w:szCs w:val="22"/>
          <w:lang w:val="es-CL"/>
        </w:rPr>
      </w:pPr>
    </w:p>
    <w:p w:rsidR="00141332" w:rsidRPr="00141332" w:rsidRDefault="00141332" w:rsidP="007C57BD">
      <w:pPr>
        <w:rPr>
          <w:lang w:val="es-CL"/>
        </w:rPr>
      </w:pPr>
      <w:r>
        <w:rPr>
          <w:lang w:val="es-CL"/>
        </w:rPr>
        <w:t>De acuerdo a lo señalado anteriormente se requiere de al menos 5 estaciones limnigráficas medianas y de 7 pluviógrafos, lo que entrega un costo de inversión total del 509.167 US$ y un costo de operación y mantención anual de 36.854 US$/año.</w:t>
      </w:r>
    </w:p>
    <w:p w:rsidR="00141332" w:rsidRDefault="00141332" w:rsidP="007C57BD">
      <w:pPr>
        <w:rPr>
          <w:rFonts w:cs="Arial"/>
          <w:szCs w:val="22"/>
          <w:lang w:val="es-CL"/>
        </w:rPr>
      </w:pPr>
    </w:p>
    <w:p w:rsidR="0058516E" w:rsidRPr="0058516E" w:rsidRDefault="0058516E" w:rsidP="0058516E">
      <w:pPr>
        <w:pStyle w:val="Ttulo2"/>
        <w:keepNext w:val="0"/>
        <w:spacing w:after="220"/>
        <w:rPr>
          <w:szCs w:val="22"/>
          <w:lang w:val="es-CL"/>
        </w:rPr>
      </w:pPr>
      <w:bookmarkStart w:id="452" w:name="_Toc342037960"/>
      <w:bookmarkStart w:id="453" w:name="_Toc344391859"/>
      <w:r w:rsidRPr="0058516E">
        <w:t>Resumen de Soluciones</w:t>
      </w:r>
      <w:bookmarkEnd w:id="452"/>
      <w:bookmarkEnd w:id="453"/>
    </w:p>
    <w:p w:rsidR="0058516E" w:rsidRDefault="0058516E" w:rsidP="0058516E">
      <w:pPr>
        <w:rPr>
          <w:rFonts w:cs="Arial"/>
          <w:szCs w:val="22"/>
        </w:rPr>
      </w:pPr>
      <w:r>
        <w:rPr>
          <w:rFonts w:cs="Arial"/>
          <w:szCs w:val="22"/>
        </w:rPr>
        <w:t xml:space="preserve">A continuación se presenta en </w:t>
      </w:r>
      <w:smartTag w:uri="urn:schemas-microsoft-com:office:smarttags" w:element="PersonName">
        <w:smartTagPr>
          <w:attr w:name="ProductID" w:val="la ￼￼￼￼￼￼￼￼￼￼￼￼￼￼￼￼￼￼￼￼￼￼￼￼￼￼￼￼￼￼￼￼￼￼￼￼￼￼￼￼￼Tabla"/>
        </w:smartTagPr>
        <w:r>
          <w:rPr>
            <w:rFonts w:cs="Arial"/>
            <w:szCs w:val="22"/>
          </w:rPr>
          <w:t xml:space="preserve">la </w:t>
        </w:r>
        <w:r>
          <w:rPr>
            <w:rFonts w:cs="Arial"/>
            <w:szCs w:val="22"/>
          </w:rPr>
          <w:fldChar w:fldCharType="begin"/>
        </w:r>
        <w:r>
          <w:rPr>
            <w:rFonts w:cs="Arial"/>
            <w:szCs w:val="22"/>
          </w:rPr>
          <w:instrText xml:space="preserve"> REF _Ref342040484 \h </w:instrText>
        </w:r>
        <w:r w:rsidR="00276A04" w:rsidRPr="0058516E">
          <w:rPr>
            <w:rFonts w:cs="Arial"/>
            <w:szCs w:val="22"/>
          </w:rPr>
        </w:r>
        <w:r>
          <w:rPr>
            <w:rFonts w:cs="Arial"/>
            <w:szCs w:val="22"/>
          </w:rPr>
          <w:fldChar w:fldCharType="separate"/>
        </w:r>
        <w:r w:rsidR="00264070" w:rsidRPr="007E29B0">
          <w:t>Tabla</w:t>
        </w:r>
      </w:smartTag>
      <w:r w:rsidR="00264070" w:rsidRPr="007E29B0">
        <w:t xml:space="preserve"> </w:t>
      </w:r>
      <w:r w:rsidR="00264070">
        <w:rPr>
          <w:noProof/>
        </w:rPr>
        <w:t>7</w:t>
      </w:r>
      <w:r w:rsidR="00264070">
        <w:t>.</w:t>
      </w:r>
      <w:r w:rsidR="00264070">
        <w:rPr>
          <w:noProof/>
        </w:rPr>
        <w:t>7</w:t>
      </w:r>
      <w:r>
        <w:rPr>
          <w:rFonts w:cs="Arial"/>
          <w:szCs w:val="22"/>
        </w:rPr>
        <w:fldChar w:fldCharType="end"/>
      </w:r>
      <w:r>
        <w:rPr>
          <w:rFonts w:cs="Arial"/>
          <w:szCs w:val="22"/>
        </w:rPr>
        <w:t xml:space="preserve"> el resumen de soluciones propuestas en el presente capítulo para las distintas subcuencas analizadas.</w:t>
      </w:r>
    </w:p>
    <w:p w:rsidR="0058516E" w:rsidRDefault="0058516E" w:rsidP="0058516E">
      <w:pPr>
        <w:pStyle w:val="Epgrafe"/>
      </w:pPr>
      <w:bookmarkStart w:id="454" w:name="_Ref342036803"/>
    </w:p>
    <w:p w:rsidR="0058516E" w:rsidRPr="007E29B0" w:rsidRDefault="0058516E" w:rsidP="0058516E">
      <w:pPr>
        <w:pStyle w:val="Epgrafe"/>
      </w:pPr>
      <w:bookmarkStart w:id="455" w:name="_Ref342040484"/>
      <w:r w:rsidRPr="007E29B0">
        <w:t xml:space="preserve">Tabla </w:t>
      </w:r>
      <w:r w:rsidR="007F3102">
        <w:fldChar w:fldCharType="begin"/>
      </w:r>
      <w:r w:rsidR="007F3102">
        <w:instrText xml:space="preserve"> STYLEREF 1 \s </w:instrText>
      </w:r>
      <w:r w:rsidR="007F3102">
        <w:fldChar w:fldCharType="separate"/>
      </w:r>
      <w:r w:rsidR="00264070">
        <w:rPr>
          <w:noProof/>
        </w:rPr>
        <w:t>7</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bookmarkEnd w:id="454"/>
      <w:bookmarkEnd w:id="455"/>
      <w:r w:rsidRPr="007E29B0">
        <w:t xml:space="preserve"> Resumen de Soluciones, Región de </w:t>
      </w:r>
      <w:r>
        <w:t>O´Higgins</w:t>
      </w:r>
    </w:p>
    <w:tbl>
      <w:tblPr>
        <w:tblW w:w="9160" w:type="dxa"/>
        <w:jc w:val="center"/>
        <w:tblInd w:w="55" w:type="dxa"/>
        <w:tblCellMar>
          <w:left w:w="70" w:type="dxa"/>
          <w:right w:w="70" w:type="dxa"/>
        </w:tblCellMar>
        <w:tblLook w:val="04A0" w:firstRow="1" w:lastRow="0" w:firstColumn="1" w:lastColumn="0" w:noHBand="0" w:noVBand="1"/>
      </w:tblPr>
      <w:tblGrid>
        <w:gridCol w:w="1560"/>
        <w:gridCol w:w="1160"/>
        <w:gridCol w:w="3704"/>
        <w:gridCol w:w="2736"/>
      </w:tblGrid>
      <w:tr w:rsidR="00141332"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b/>
                <w:bCs/>
                <w:sz w:val="16"/>
                <w:szCs w:val="16"/>
                <w:lang w:val="es-CL" w:eastAsia="es-CL"/>
              </w:rPr>
            </w:pPr>
            <w:r w:rsidRPr="003459F7">
              <w:rPr>
                <w:rFonts w:cs="Arial"/>
                <w:b/>
                <w:bCs/>
                <w:sz w:val="16"/>
                <w:szCs w:val="16"/>
                <w:lang w:eastAsia="es-CL"/>
              </w:rPr>
              <w:t>Nombre de La Cuenca</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b/>
                <w:bCs/>
                <w:sz w:val="16"/>
                <w:szCs w:val="16"/>
                <w:lang w:val="es-CL" w:eastAsia="es-CL"/>
              </w:rPr>
            </w:pPr>
            <w:r w:rsidRPr="003459F7">
              <w:rPr>
                <w:rFonts w:cs="Arial"/>
                <w:b/>
                <w:bCs/>
                <w:sz w:val="16"/>
                <w:szCs w:val="16"/>
                <w:lang w:eastAsia="es-CL"/>
              </w:rPr>
              <w:t>Código Subcuenca</w:t>
            </w:r>
          </w:p>
        </w:tc>
        <w:tc>
          <w:tcPr>
            <w:tcW w:w="37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b/>
                <w:bCs/>
                <w:sz w:val="16"/>
                <w:szCs w:val="16"/>
                <w:lang w:val="es-CL" w:eastAsia="es-CL"/>
              </w:rPr>
            </w:pPr>
            <w:r w:rsidRPr="003459F7">
              <w:rPr>
                <w:rFonts w:cs="Arial"/>
                <w:b/>
                <w:bCs/>
                <w:sz w:val="16"/>
                <w:szCs w:val="16"/>
                <w:lang w:eastAsia="es-CL"/>
              </w:rPr>
              <w:t>Nombre Subcuenca</w:t>
            </w:r>
          </w:p>
        </w:tc>
        <w:tc>
          <w:tcPr>
            <w:tcW w:w="27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b/>
                <w:bCs/>
                <w:sz w:val="16"/>
                <w:szCs w:val="16"/>
                <w:lang w:val="es-CL" w:eastAsia="es-CL"/>
              </w:rPr>
            </w:pPr>
            <w:r w:rsidRPr="003459F7">
              <w:rPr>
                <w:rFonts w:cs="Arial"/>
                <w:b/>
                <w:bCs/>
                <w:sz w:val="16"/>
                <w:szCs w:val="16"/>
                <w:lang w:eastAsia="es-CL"/>
              </w:rPr>
              <w:t>Soluciones Propuestas</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b/>
                <w:bCs/>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b/>
                <w:bCs/>
                <w:sz w:val="16"/>
                <w:szCs w:val="16"/>
                <w:lang w:val="es-CL" w:eastAsia="es-CL"/>
              </w:rPr>
            </w:pPr>
          </w:p>
        </w:tc>
        <w:tc>
          <w:tcPr>
            <w:tcW w:w="3704"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b/>
                <w:bCs/>
                <w:sz w:val="16"/>
                <w:szCs w:val="16"/>
                <w:lang w:val="es-CL" w:eastAsia="es-CL"/>
              </w:rPr>
            </w:pPr>
          </w:p>
        </w:tc>
        <w:tc>
          <w:tcPr>
            <w:tcW w:w="2736"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b/>
                <w:bCs/>
                <w:sz w:val="16"/>
                <w:szCs w:val="16"/>
                <w:lang w:val="es-CL" w:eastAsia="es-CL"/>
              </w:rPr>
            </w:pPr>
          </w:p>
        </w:tc>
      </w:tr>
      <w:tr w:rsidR="00141332"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Río Maipo (057)</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0571</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 xml:space="preserve">Forma Parte de </w:t>
            </w:r>
            <w:smartTag w:uri="urn:schemas-microsoft-com:office:smarttags" w:element="PersonName">
              <w:smartTagPr>
                <w:attr w:name="ProductID" w:val="La Subcuenca Del"/>
              </w:smartTagPr>
              <w:r w:rsidRPr="003459F7">
                <w:rPr>
                  <w:rFonts w:cs="Arial"/>
                  <w:sz w:val="16"/>
                  <w:szCs w:val="16"/>
                  <w:lang w:eastAsia="es-CL"/>
                </w:rPr>
                <w:t>La Subcuenca Del</w:t>
              </w:r>
            </w:smartTag>
            <w:r w:rsidRPr="003459F7">
              <w:rPr>
                <w:rFonts w:cs="Arial"/>
                <w:sz w:val="16"/>
                <w:szCs w:val="16"/>
                <w:lang w:eastAsia="es-CL"/>
              </w:rPr>
              <w:t xml:space="preserve"> Río Maipo Medio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141332" w:rsidRPr="003459F7" w:rsidRDefault="00141332" w:rsidP="00141332">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Río Rapel (060)</w:t>
            </w: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0600</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Río Cachapoal Alto (Hasta Bajo Junta Río Claro)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0601</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Cachapoal Bajo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0602</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Río Tinguiriríca Alto (Hasta Bajo Junta Río Claro)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141332" w:rsidRPr="003459F7" w:rsidRDefault="00141332" w:rsidP="00141332">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0603</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Tinguiririca Bajo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val="es-CL" w:eastAsia="es-CL"/>
              </w:rPr>
              <w:t>0604</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val="es-CL" w:eastAsia="es-CL"/>
              </w:rPr>
              <w:t>Estero Alhué</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0605</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Río Rapel</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141332" w:rsidRPr="003459F7" w:rsidRDefault="00141332" w:rsidP="00141332">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Costeras Rapel-E. Nilahue (061)</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0610</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Costeras Entre Río Rapel y Estero Topocalma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141332" w:rsidRPr="003459F7" w:rsidRDefault="00141332" w:rsidP="00141332">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0611</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Estero Topocalma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141332" w:rsidRPr="003459F7" w:rsidRDefault="00141332" w:rsidP="00141332">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0612</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Costeras Entre E. Topocalma y E. Nilahue</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0613</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Estero Nilahue</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Eficiencia de Riego</w:t>
            </w:r>
          </w:p>
        </w:tc>
      </w:tr>
      <w:tr w:rsidR="00141332"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141332" w:rsidRPr="003459F7" w:rsidRDefault="00141332" w:rsidP="00141332">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0614</w:t>
            </w:r>
          </w:p>
        </w:tc>
        <w:tc>
          <w:tcPr>
            <w:tcW w:w="3704" w:type="dxa"/>
            <w:tcBorders>
              <w:top w:val="single" w:sz="4" w:space="0" w:color="auto"/>
              <w:left w:val="nil"/>
              <w:bottom w:val="single" w:sz="4" w:space="0" w:color="auto"/>
              <w:right w:val="nil"/>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Costeras Entre Estero Nilahue y Límite Región</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141332" w:rsidRPr="003459F7" w:rsidRDefault="00141332" w:rsidP="00141332">
            <w:pPr>
              <w:jc w:val="center"/>
              <w:rPr>
                <w:rFonts w:cs="Arial"/>
                <w:sz w:val="16"/>
                <w:szCs w:val="16"/>
                <w:lang w:val="es-CL" w:eastAsia="es-CL"/>
              </w:rPr>
            </w:pPr>
            <w:r w:rsidRPr="003459F7">
              <w:rPr>
                <w:rFonts w:cs="Arial"/>
                <w:sz w:val="16"/>
                <w:szCs w:val="16"/>
                <w:lang w:eastAsia="es-CL"/>
              </w:rPr>
              <w:t>Mejoramiento de Red de Monitoreo</w:t>
            </w:r>
          </w:p>
        </w:tc>
      </w:tr>
      <w:tr w:rsidR="00141332" w:rsidRPr="003459F7">
        <w:trPr>
          <w:trHeight w:val="255"/>
          <w:jc w:val="center"/>
        </w:trPr>
        <w:tc>
          <w:tcPr>
            <w:tcW w:w="9160" w:type="dxa"/>
            <w:gridSpan w:val="4"/>
            <w:vMerge w:val="restart"/>
            <w:tcBorders>
              <w:top w:val="single" w:sz="4" w:space="0" w:color="auto"/>
              <w:left w:val="nil"/>
              <w:bottom w:val="nil"/>
              <w:right w:val="nil"/>
            </w:tcBorders>
            <w:vAlign w:val="center"/>
          </w:tcPr>
          <w:p w:rsidR="00141332" w:rsidRPr="003459F7" w:rsidRDefault="00141332" w:rsidP="00141332">
            <w:pPr>
              <w:rPr>
                <w:rFonts w:cs="Arial"/>
                <w:sz w:val="16"/>
                <w:szCs w:val="16"/>
                <w:lang w:val="es-CL" w:eastAsia="es-CL"/>
              </w:rPr>
            </w:pPr>
          </w:p>
        </w:tc>
      </w:tr>
      <w:tr w:rsidR="00141332" w:rsidRPr="003459F7">
        <w:trPr>
          <w:trHeight w:val="255"/>
          <w:jc w:val="center"/>
        </w:trPr>
        <w:tc>
          <w:tcPr>
            <w:tcW w:w="9160" w:type="dxa"/>
            <w:gridSpan w:val="4"/>
            <w:vMerge/>
            <w:tcBorders>
              <w:top w:val="nil"/>
              <w:left w:val="nil"/>
              <w:bottom w:val="nil"/>
              <w:right w:val="nil"/>
            </w:tcBorders>
            <w:vAlign w:val="center"/>
          </w:tcPr>
          <w:p w:rsidR="00141332" w:rsidRPr="003459F7" w:rsidRDefault="00141332" w:rsidP="00141332">
            <w:pPr>
              <w:rPr>
                <w:rFonts w:cs="Arial"/>
                <w:sz w:val="16"/>
                <w:szCs w:val="16"/>
                <w:lang w:val="es-CL" w:eastAsia="es-CL"/>
              </w:rPr>
            </w:pPr>
          </w:p>
        </w:tc>
      </w:tr>
    </w:tbl>
    <w:p w:rsidR="007C57BD" w:rsidRPr="00141332" w:rsidRDefault="007C57BD" w:rsidP="007C57BD">
      <w:pPr>
        <w:rPr>
          <w:rFonts w:cs="Arial"/>
          <w:szCs w:val="22"/>
          <w:lang w:val="es-CL"/>
        </w:rPr>
      </w:pPr>
    </w:p>
    <w:p w:rsidR="007C57BD" w:rsidRPr="00B80D44" w:rsidRDefault="007C57BD" w:rsidP="007C57BD">
      <w:pPr>
        <w:rPr>
          <w:rFonts w:cs="Arial"/>
          <w:szCs w:val="22"/>
        </w:rPr>
      </w:pPr>
    </w:p>
    <w:p w:rsidR="007C57BD" w:rsidRDefault="007C57BD" w:rsidP="00C45E03"/>
    <w:p w:rsidR="0062586B" w:rsidRDefault="0062586B" w:rsidP="00C45E03"/>
    <w:p w:rsidR="00075063" w:rsidRDefault="00075063" w:rsidP="00C45E03"/>
    <w:p w:rsidR="00075063" w:rsidRDefault="00075063" w:rsidP="00C45E03"/>
    <w:p w:rsidR="00075063" w:rsidRDefault="00075063" w:rsidP="00C45E03"/>
    <w:p w:rsidR="00075063" w:rsidRPr="00C45E03" w:rsidRDefault="00075063" w:rsidP="00C45E03"/>
    <w:p w:rsidR="007853F0" w:rsidRPr="007853F0" w:rsidRDefault="00A87F61" w:rsidP="00B51B51">
      <w:pPr>
        <w:pStyle w:val="Ttulo1"/>
        <w:keepNext w:val="0"/>
        <w:widowControl w:val="0"/>
      </w:pPr>
      <w:r>
        <w:br w:type="page"/>
      </w:r>
      <w:bookmarkStart w:id="456" w:name="_Toc344391860"/>
      <w:r w:rsidR="007853F0" w:rsidRPr="007853F0">
        <w:lastRenderedPageBreak/>
        <w:t>RESUMEN Y CONCLUSIONES</w:t>
      </w:r>
      <w:bookmarkEnd w:id="407"/>
      <w:bookmarkEnd w:id="456"/>
    </w:p>
    <w:p w:rsidR="007853F0" w:rsidRPr="007853F0" w:rsidRDefault="007853F0" w:rsidP="00B51B51">
      <w:pPr>
        <w:widowControl w:val="0"/>
      </w:pPr>
    </w:p>
    <w:p w:rsidR="007853F0" w:rsidRPr="007853F0" w:rsidRDefault="007853F0" w:rsidP="00B51B51">
      <w:pPr>
        <w:pStyle w:val="Ttulo2"/>
        <w:keepNext w:val="0"/>
      </w:pPr>
      <w:bookmarkStart w:id="457" w:name="_Toc338410214"/>
      <w:bookmarkStart w:id="458" w:name="_Toc344391861"/>
      <w:r w:rsidRPr="007853F0">
        <w:t>Definición del Marco Geológico e Hidrogeológico</w:t>
      </w:r>
      <w:bookmarkEnd w:id="457"/>
      <w:bookmarkEnd w:id="458"/>
    </w:p>
    <w:p w:rsidR="007853F0" w:rsidRPr="007853F0" w:rsidRDefault="007853F0" w:rsidP="00B51B51">
      <w:pPr>
        <w:widowControl w:val="0"/>
      </w:pPr>
    </w:p>
    <w:p w:rsidR="007F3102" w:rsidRPr="000A4678" w:rsidRDefault="007F3102" w:rsidP="007F3102">
      <w:r w:rsidRPr="000A4678">
        <w:t xml:space="preserve">Se procedió a recopilar información de todos los principales estudios llevados a cabo hasta la fecha en toda </w:t>
      </w:r>
      <w:smartTag w:uri="urn:schemas-microsoft-com:office:smarttags" w:element="PersonName">
        <w:smartTagPr>
          <w:attr w:name="ProductID" w:val="la VI Región."/>
        </w:smartTagPr>
        <w:r w:rsidRPr="000A4678">
          <w:t>la VI Región.</w:t>
        </w:r>
      </w:smartTag>
      <w:r w:rsidRPr="000A4678">
        <w:t xml:space="preserve"> Se revisaron y resumieron 13 estudios efectuados. Adicionalmente, se solicitó al Centro de Información de Recursos Hídricos (CIRH) de </w:t>
      </w:r>
      <w:smartTag w:uri="urn:schemas-microsoft-com:office:smarttags" w:element="PersonName">
        <w:smartTagPr>
          <w:attr w:name="ProductID" w:val="la DGA"/>
        </w:smartTagPr>
        <w:r w:rsidRPr="000A4678">
          <w:t>la DGA</w:t>
        </w:r>
      </w:smartTag>
      <w:r w:rsidRPr="000A4678">
        <w:t xml:space="preserve"> información relacionada con </w:t>
      </w:r>
      <w:r w:rsidRPr="000A4678">
        <w:rPr>
          <w:rFonts w:eastAsia="Calibri"/>
        </w:rPr>
        <w:t xml:space="preserve">las estadísticas de mediciones de niveles de aguas subterráneas asociadas a la red de estaciones de monitoreo instaladas en </w:t>
      </w:r>
      <w:smartTag w:uri="urn:schemas-microsoft-com:office:smarttags" w:element="PersonName">
        <w:smartTagPr>
          <w:attr w:name="ProductID" w:val="la VI Región"/>
        </w:smartTagPr>
        <w:r w:rsidRPr="000A4678">
          <w:rPr>
            <w:rFonts w:eastAsia="Calibri"/>
          </w:rPr>
          <w:t xml:space="preserve">la </w:t>
        </w:r>
        <w:r w:rsidRPr="000A4678">
          <w:t>VI R</w:t>
        </w:r>
        <w:r w:rsidRPr="000A4678">
          <w:rPr>
            <w:rFonts w:eastAsia="Calibri"/>
          </w:rPr>
          <w:t>egión</w:t>
        </w:r>
      </w:smartTag>
      <w:r w:rsidRPr="000A4678">
        <w:rPr>
          <w:rFonts w:eastAsia="Calibri"/>
        </w:rPr>
        <w:t xml:space="preserve"> (178 estaciones)</w:t>
      </w:r>
      <w:r>
        <w:rPr>
          <w:rFonts w:eastAsia="Calibri"/>
        </w:rPr>
        <w:t>,</w:t>
      </w:r>
      <w:r w:rsidRPr="000A4678">
        <w:t xml:space="preserve"> así como también se recopiló información, a la fecha de Septiembre de 2012, de derechos de aguas subterráneas constituidas y en trámite.</w:t>
      </w:r>
    </w:p>
    <w:p w:rsidR="007F3102" w:rsidRDefault="007F3102" w:rsidP="007F3102"/>
    <w:p w:rsidR="007F3102" w:rsidRPr="00496843" w:rsidRDefault="007F3102" w:rsidP="007F3102">
      <w:pPr>
        <w:rPr>
          <w:rFonts w:eastAsia="Calibri"/>
        </w:rPr>
      </w:pPr>
      <w:r w:rsidRPr="00496843">
        <w:rPr>
          <w:rFonts w:eastAsia="Calibri"/>
        </w:rPr>
        <w:t xml:space="preserve">Todas las cuencas de </w:t>
      </w:r>
      <w:smartTag w:uri="urn:schemas-microsoft-com:office:smarttags" w:element="PersonName">
        <w:smartTagPr>
          <w:attr w:name="ProductID" w:val="la VI Región"/>
        </w:smartTagPr>
        <w:r w:rsidRPr="00496843">
          <w:rPr>
            <w:rFonts w:eastAsia="Calibri"/>
          </w:rPr>
          <w:t>la V</w:t>
        </w:r>
        <w:r>
          <w:rPr>
            <w:rFonts w:eastAsia="Calibri"/>
          </w:rPr>
          <w:t>I</w:t>
        </w:r>
        <w:r w:rsidRPr="00496843">
          <w:rPr>
            <w:rFonts w:eastAsia="Calibri"/>
          </w:rPr>
          <w:t xml:space="preserve"> Región</w:t>
        </w:r>
      </w:smartTag>
      <w:r w:rsidRPr="00496843">
        <w:rPr>
          <w:rFonts w:eastAsia="Calibri"/>
        </w:rPr>
        <w:t xml:space="preserve">, con excepción de </w:t>
      </w:r>
      <w:r>
        <w:rPr>
          <w:rFonts w:eastAsia="Calibri"/>
        </w:rPr>
        <w:t xml:space="preserve">una pequeña </w:t>
      </w:r>
      <w:r w:rsidRPr="00496843">
        <w:rPr>
          <w:rFonts w:eastAsia="Calibri"/>
        </w:rPr>
        <w:t xml:space="preserve">cuenca del </w:t>
      </w:r>
      <w:r>
        <w:rPr>
          <w:rFonts w:eastAsia="Calibri"/>
        </w:rPr>
        <w:t xml:space="preserve">estero Las Palmas (afluente al lago Rapel), </w:t>
      </w:r>
      <w:r w:rsidRPr="00496843">
        <w:rPr>
          <w:rFonts w:eastAsia="Calibri"/>
        </w:rPr>
        <w:t xml:space="preserve">algunas pequeñas cuencas costeras, </w:t>
      </w:r>
      <w:r>
        <w:rPr>
          <w:rFonts w:eastAsia="Calibri"/>
        </w:rPr>
        <w:t xml:space="preserve">y la parte alta de las cuencas de los ríos Angostura, Cachapoal y Tinguiririca, </w:t>
      </w:r>
      <w:r w:rsidRPr="00496843">
        <w:rPr>
          <w:rFonts w:eastAsia="Calibri"/>
        </w:rPr>
        <w:t xml:space="preserve">están declaradas como áreas de restricción para nuevas explotaciones de aguas subterráneas, es decir, no es factible constituir nuevos derechos de aguas subterráneas, y sólo cabría esperar disponer de derechos de aguas provisionales, los cuales a la luz de los antecedentes que han sido revisados, también debieran estar agotados. En </w:t>
      </w:r>
      <w:smartTag w:uri="urn:schemas-microsoft-com:office:smarttags" w:element="PersonName">
        <w:smartTagPr>
          <w:attr w:name="ProductID" w:val="la VI Región"/>
        </w:smartTagPr>
        <w:r w:rsidRPr="00496843">
          <w:rPr>
            <w:rFonts w:eastAsia="Calibri"/>
          </w:rPr>
          <w:t>la V</w:t>
        </w:r>
        <w:r>
          <w:rPr>
            <w:rFonts w:eastAsia="Calibri"/>
          </w:rPr>
          <w:t>I Región</w:t>
        </w:r>
      </w:smartTag>
      <w:r>
        <w:rPr>
          <w:rFonts w:eastAsia="Calibri"/>
        </w:rPr>
        <w:t xml:space="preserve"> existen actualmente 2</w:t>
      </w:r>
      <w:r w:rsidRPr="00496843">
        <w:rPr>
          <w:rFonts w:eastAsia="Calibri"/>
        </w:rPr>
        <w:t>5 zonas declaradas como de restricción.</w:t>
      </w:r>
    </w:p>
    <w:p w:rsidR="007F3102" w:rsidRDefault="007F3102" w:rsidP="007F3102">
      <w:pPr>
        <w:rPr>
          <w:rFonts w:eastAsia="Calibri"/>
        </w:rPr>
      </w:pPr>
    </w:p>
    <w:p w:rsidR="007F3102" w:rsidRPr="0003781D" w:rsidRDefault="007F3102" w:rsidP="007F3102">
      <w:pPr>
        <w:rPr>
          <w:rFonts w:eastAsia="Calibri"/>
        </w:rPr>
      </w:pPr>
      <w:r>
        <w:rPr>
          <w:rFonts w:eastAsia="Calibri"/>
        </w:rPr>
        <w:t xml:space="preserve">Respecto a la recopilación de antecedentes realizada, </w:t>
      </w:r>
      <w:r w:rsidRPr="0003781D">
        <w:rPr>
          <w:rFonts w:eastAsia="Calibri"/>
        </w:rPr>
        <w:t xml:space="preserve">resalta el hecho que gran parte de los acuíferos de </w:t>
      </w:r>
      <w:smartTag w:uri="urn:schemas-microsoft-com:office:smarttags" w:element="PersonName">
        <w:smartTagPr>
          <w:attr w:name="ProductID" w:val="la VI"/>
        </w:smartTagPr>
        <w:r w:rsidRPr="0003781D">
          <w:rPr>
            <w:rFonts w:eastAsia="Calibri"/>
          </w:rPr>
          <w:t>la VI</w:t>
        </w:r>
      </w:smartTag>
      <w:r w:rsidRPr="0003781D">
        <w:rPr>
          <w:rFonts w:eastAsia="Calibri"/>
        </w:rPr>
        <w:t xml:space="preserve"> región han sido declarados zona de restricción, en relación a la extracción de nuevos recursos subterráneos, esto quiere decir, que no se otorgan más derechos de aguas subterráneos permanentes, s</w:t>
      </w:r>
      <w:r>
        <w:rPr>
          <w:rFonts w:eastAsia="Calibri"/>
        </w:rPr>
        <w:t>ó</w:t>
      </w:r>
      <w:r w:rsidRPr="0003781D">
        <w:rPr>
          <w:rFonts w:eastAsia="Calibri"/>
        </w:rPr>
        <w:t xml:space="preserve">lo </w:t>
      </w:r>
      <w:r>
        <w:rPr>
          <w:rFonts w:eastAsia="Calibri"/>
        </w:rPr>
        <w:t>se podría e</w:t>
      </w:r>
      <w:r w:rsidRPr="0003781D">
        <w:rPr>
          <w:rFonts w:eastAsia="Calibri"/>
        </w:rPr>
        <w:t xml:space="preserve">ntregar derechos de aguas subterráneos provisionales, los cuales tienen un plazo de validez igual a 5 años. Cabe señalar que el monto total de </w:t>
      </w:r>
      <w:r>
        <w:rPr>
          <w:rFonts w:eastAsia="Calibri"/>
        </w:rPr>
        <w:t>derechos provisionales que son otorgados</w:t>
      </w:r>
      <w:r w:rsidRPr="0003781D">
        <w:rPr>
          <w:rFonts w:eastAsia="Calibri"/>
        </w:rPr>
        <w:t>, una vez declarada un área de restricción, corresponde a un porcentaje de los derechos ya otorgado</w:t>
      </w:r>
      <w:r>
        <w:rPr>
          <w:rFonts w:eastAsia="Calibri"/>
        </w:rPr>
        <w:t>,</w:t>
      </w:r>
      <w:r w:rsidRPr="0003781D">
        <w:rPr>
          <w:rFonts w:eastAsia="Calibri"/>
        </w:rPr>
        <w:t xml:space="preserve"> y varía dependiendo de las condiciones para cada sector. </w:t>
      </w:r>
    </w:p>
    <w:p w:rsidR="007F3102" w:rsidRPr="0003781D" w:rsidRDefault="007F3102" w:rsidP="007F3102">
      <w:pPr>
        <w:rPr>
          <w:rFonts w:eastAsia="Calibri"/>
        </w:rPr>
      </w:pPr>
    </w:p>
    <w:p w:rsidR="007F3102" w:rsidRPr="00B65FEA" w:rsidRDefault="007F3102" w:rsidP="007F3102">
      <w:pPr>
        <w:rPr>
          <w:rFonts w:eastAsia="Calibri"/>
        </w:rPr>
      </w:pPr>
      <w:r w:rsidRPr="00B65FEA">
        <w:rPr>
          <w:rFonts w:eastAsia="Calibri"/>
        </w:rPr>
        <w:t>Por otro lado, y a partir de la revisión de estudios realizada, se puede establecer que para los valles de Alhué, Cachapoal y Tinguiririca los antecedentes de los estudios del Departamento de Administración de Recursos Hídricos (DARH), SDT Nº 209 y SDT Nº 229, contienen una amplia información estratigráfica, de condiciones en régimen natural y de geometría de los acuíferos.</w:t>
      </w:r>
      <w:r>
        <w:rPr>
          <w:rFonts w:eastAsia="Calibri"/>
        </w:rPr>
        <w:t xml:space="preserve"> </w:t>
      </w:r>
      <w:r w:rsidRPr="00B65FEA">
        <w:rPr>
          <w:rFonts w:eastAsia="Calibri"/>
        </w:rPr>
        <w:t>Hay que agregar como antecedente de importancia el informe S.D.T Nº 245  (REF10), que agrega a la modelación realizada en el S.D.T Nº 209, la modelación del acuífero Codegua, no incluida anteriormente.</w:t>
      </w:r>
    </w:p>
    <w:p w:rsidR="007F3102" w:rsidRPr="0003781D" w:rsidRDefault="007F3102" w:rsidP="007F3102">
      <w:pPr>
        <w:rPr>
          <w:rFonts w:eastAsia="Calibri"/>
        </w:rPr>
      </w:pPr>
    </w:p>
    <w:p w:rsidR="007F3102" w:rsidRPr="00B65FEA" w:rsidRDefault="007F3102" w:rsidP="007F3102">
      <w:pPr>
        <w:rPr>
          <w:rFonts w:eastAsia="Calibri"/>
        </w:rPr>
      </w:pPr>
      <w:r w:rsidRPr="00B65FEA">
        <w:rPr>
          <w:rFonts w:eastAsia="Calibri"/>
        </w:rPr>
        <w:t xml:space="preserve">El Informe S.D.T Nº 160 (REF2), cubre prácticamente toda </w:t>
      </w:r>
      <w:smartTag w:uri="urn:schemas-microsoft-com:office:smarttags" w:element="PersonName">
        <w:smartTagPr>
          <w:attr w:name="ProductID" w:val="la VI"/>
        </w:smartTagPr>
        <w:r w:rsidRPr="00B65FEA">
          <w:rPr>
            <w:rFonts w:eastAsia="Calibri"/>
          </w:rPr>
          <w:t>la VI</w:t>
        </w:r>
      </w:smartTag>
      <w:r w:rsidRPr="00B65FEA">
        <w:rPr>
          <w:rFonts w:eastAsia="Calibri"/>
        </w:rPr>
        <w:t xml:space="preserve"> región, y presenta antecedentes principalmente de espesor y transmisi</w:t>
      </w:r>
      <w:r>
        <w:rPr>
          <w:rFonts w:eastAsia="Calibri"/>
        </w:rPr>
        <w:t xml:space="preserve">bilidad </w:t>
      </w:r>
      <w:r w:rsidRPr="00B65FEA">
        <w:rPr>
          <w:rFonts w:eastAsia="Calibri"/>
        </w:rPr>
        <w:t>de acuíferos.</w:t>
      </w:r>
    </w:p>
    <w:p w:rsidR="007F3102" w:rsidRPr="0003781D" w:rsidRDefault="007F3102" w:rsidP="007F3102">
      <w:pPr>
        <w:rPr>
          <w:rFonts w:eastAsia="Calibri"/>
        </w:rPr>
      </w:pPr>
    </w:p>
    <w:p w:rsidR="007F3102" w:rsidRPr="00B65FEA" w:rsidRDefault="007F3102" w:rsidP="007F3102">
      <w:pPr>
        <w:rPr>
          <w:rFonts w:eastAsia="Calibri"/>
        </w:rPr>
      </w:pPr>
      <w:r w:rsidRPr="00B65FEA">
        <w:rPr>
          <w:rFonts w:eastAsia="Calibri"/>
        </w:rPr>
        <w:t>Por otra parte</w:t>
      </w:r>
      <w:r>
        <w:rPr>
          <w:rFonts w:eastAsia="Calibri"/>
        </w:rPr>
        <w:t>,</w:t>
      </w:r>
      <w:r w:rsidRPr="00B65FEA">
        <w:rPr>
          <w:rFonts w:eastAsia="Calibri"/>
        </w:rPr>
        <w:t xml:space="preserve"> el estudio CNR-AC (2003)</w:t>
      </w:r>
      <w:r>
        <w:rPr>
          <w:rFonts w:eastAsia="Calibri"/>
        </w:rPr>
        <w:t xml:space="preserve"> </w:t>
      </w:r>
      <w:r w:rsidRPr="00B65FEA">
        <w:rPr>
          <w:rFonts w:eastAsia="Calibri"/>
        </w:rPr>
        <w:t xml:space="preserve">proporciona amplia información de niveles y parámetros elásticos de acuíferos costeros, así como características de embalses existentes en esos sectores, que cubren áreas no cubiertas por los demás estudios. </w:t>
      </w:r>
    </w:p>
    <w:p w:rsidR="007F3102" w:rsidRPr="0003781D" w:rsidRDefault="007F3102" w:rsidP="007F3102">
      <w:pPr>
        <w:rPr>
          <w:rFonts w:eastAsia="Calibri"/>
        </w:rPr>
      </w:pPr>
      <w:r w:rsidRPr="0003781D">
        <w:rPr>
          <w:rFonts w:eastAsia="Calibri"/>
        </w:rPr>
        <w:t xml:space="preserve"> </w:t>
      </w:r>
    </w:p>
    <w:p w:rsidR="007F3102" w:rsidRPr="00B65FEA" w:rsidRDefault="007F3102" w:rsidP="007F3102">
      <w:pPr>
        <w:rPr>
          <w:rFonts w:eastAsia="Calibri"/>
        </w:rPr>
      </w:pPr>
      <w:r w:rsidRPr="00B65FEA">
        <w:rPr>
          <w:rFonts w:eastAsia="Calibri"/>
        </w:rPr>
        <w:t>El Informe S.D.T. Nº 246 presenta antecedentes de recarga en el sector acuífero Nilahue, con una sectorización más fina que en los demás estudio que incluyen este sector.</w:t>
      </w:r>
    </w:p>
    <w:p w:rsidR="007F3102" w:rsidRPr="00496843" w:rsidRDefault="007F3102" w:rsidP="007F3102">
      <w:pPr>
        <w:rPr>
          <w:rFonts w:eastAsia="Calibri"/>
        </w:rPr>
      </w:pPr>
    </w:p>
    <w:p w:rsidR="007F3102" w:rsidRDefault="007F3102" w:rsidP="007F3102">
      <w:r>
        <w:lastRenderedPageBreak/>
        <w:t xml:space="preserve">En función de los estudios recopilados, se efectuó una completa caracterización hidrogeológica para cada uno de los acuíferos de </w:t>
      </w:r>
      <w:smartTag w:uri="urn:schemas-microsoft-com:office:smarttags" w:element="PersonName">
        <w:smartTagPr>
          <w:attr w:name="ProductID" w:val="la VI Región"/>
        </w:smartTagPr>
        <w:r>
          <w:t>la VI Región</w:t>
        </w:r>
      </w:smartTag>
      <w:r>
        <w:t>, la cual incluyó los siguientes tópicos principales: definición del marco geológico y geomorfológico, descripción hidrogeológica y definición de los mecanismos de recarga y descarga de los acuíferos.</w:t>
      </w:r>
    </w:p>
    <w:p w:rsidR="007F3102" w:rsidRDefault="007F3102" w:rsidP="007F3102"/>
    <w:p w:rsidR="007F3102" w:rsidRDefault="007F3102" w:rsidP="007F3102">
      <w:r>
        <w:t>Se llevó a cabo una caracterización de las demandas de agua subterránea en función de una sistematización de los derechos de aprovechamientos de agua subterránea. Hecha la sistematización se procedió a procesar y ordenar toda la información. Respecto a la información de derechos de aguas subterráneas constituidas, se pudo obtener las siguientes conclusiones:</w:t>
      </w:r>
    </w:p>
    <w:p w:rsidR="007F3102" w:rsidRDefault="007F3102" w:rsidP="007F3102"/>
    <w:p w:rsidR="007F3102" w:rsidRDefault="007F3102" w:rsidP="007F3102">
      <w:pPr>
        <w:rPr>
          <w:rFonts w:eastAsia="Calibri" w:cs="Arial"/>
          <w:lang w:val="es-ES_tradnl"/>
        </w:rPr>
      </w:pPr>
      <w:r w:rsidRPr="00B65FEA">
        <w:rPr>
          <w:rFonts w:eastAsia="Calibri" w:cs="Arial"/>
          <w:lang w:val="es-ES_tradnl"/>
        </w:rPr>
        <w:t>El número de derechos de aguas subterráneas constituidos con coordenadas representan el 94% del total; en términos de caudal, vienen a ser el 84 % del total (“total” corresponde a la suma de los con y sin coordenadas).</w:t>
      </w:r>
    </w:p>
    <w:p w:rsidR="007F3102" w:rsidRPr="00B65FEA" w:rsidRDefault="007F3102" w:rsidP="007F3102">
      <w:pPr>
        <w:rPr>
          <w:rFonts w:eastAsia="Calibri" w:cs="Arial"/>
          <w:lang w:val="es-ES_tradnl"/>
        </w:rPr>
      </w:pPr>
    </w:p>
    <w:p w:rsidR="007F3102" w:rsidRPr="00B65FEA" w:rsidRDefault="007F3102" w:rsidP="007F3102">
      <w:pPr>
        <w:rPr>
          <w:rFonts w:eastAsia="Calibri" w:cs="Arial"/>
          <w:lang w:val="es-ES_tradnl"/>
        </w:rPr>
      </w:pPr>
      <w:r w:rsidRPr="00B65FEA">
        <w:rPr>
          <w:rFonts w:eastAsia="Calibri" w:cs="Arial"/>
          <w:lang w:val="es-ES_tradnl"/>
        </w:rPr>
        <w:t>El uso más intenso lo constituye el riego, con un 66 % del uso total (en términos de caudal; en términos de número de derechos constituye el 45 % del total analizado); lo sigue el uso potable, con un 13 % en términos de caudal.</w:t>
      </w:r>
    </w:p>
    <w:p w:rsidR="007F3102" w:rsidRDefault="007F3102" w:rsidP="007F3102">
      <w:pPr>
        <w:rPr>
          <w:lang w:val="es-ES_tradnl"/>
        </w:rPr>
      </w:pPr>
    </w:p>
    <w:p w:rsidR="007F3102" w:rsidRDefault="007F3102" w:rsidP="007F3102">
      <w:pPr>
        <w:rPr>
          <w:lang w:val="es-ES_tradnl"/>
        </w:rPr>
      </w:pPr>
      <w:r>
        <w:rPr>
          <w:lang w:val="es-ES_tradnl"/>
        </w:rPr>
        <w:t>Se efectuó una caracterización de las demandas de agua potable (fuente subterránea) actual y futura, se utilizó como información los planes de desarrollo de ESSBIO (</w:t>
      </w:r>
      <w:r w:rsidRPr="00B65FEA">
        <w:rPr>
          <w:rFonts w:eastAsia="Calibri"/>
          <w:lang w:val="es-ES_tradnl"/>
        </w:rPr>
        <w:t xml:space="preserve">Actualización de los Planes de Desarrollo de Diversas Localidades de </w:t>
      </w:r>
      <w:smartTag w:uri="urn:schemas-microsoft-com:office:smarttags" w:element="PersonName">
        <w:smartTagPr>
          <w:attr w:name="ProductID" w:val="la VI Región"/>
        </w:smartTagPr>
        <w:r w:rsidRPr="00B65FEA">
          <w:rPr>
            <w:rFonts w:eastAsia="Calibri"/>
            <w:lang w:val="es-ES_tradnl"/>
          </w:rPr>
          <w:t>la VI Región</w:t>
        </w:r>
      </w:smartTag>
      <w:r w:rsidRPr="00B65FEA">
        <w:rPr>
          <w:rFonts w:eastAsia="Calibri"/>
          <w:lang w:val="es-ES_tradnl"/>
        </w:rPr>
        <w:t>; 2005 y 2006</w:t>
      </w:r>
      <w:r>
        <w:rPr>
          <w:lang w:val="es-ES_tradnl"/>
        </w:rPr>
        <w:t xml:space="preserve">), además de la información entregada por </w:t>
      </w:r>
      <w:smartTag w:uri="urn:schemas-microsoft-com:office:smarttags" w:element="PersonName">
        <w:smartTagPr>
          <w:attr w:name="ProductID" w:val="la DOH"/>
        </w:smartTagPr>
        <w:r>
          <w:rPr>
            <w:lang w:val="es-ES_tradnl"/>
          </w:rPr>
          <w:t>la DOH</w:t>
        </w:r>
      </w:smartTag>
      <w:r>
        <w:rPr>
          <w:lang w:val="es-ES_tradnl"/>
        </w:rPr>
        <w:t xml:space="preserve"> del MOP respecto a los Sistemas de Agua Potable Rural.</w:t>
      </w:r>
    </w:p>
    <w:p w:rsidR="007F3102" w:rsidRPr="00B65FEA" w:rsidRDefault="007F3102" w:rsidP="007F3102">
      <w:pPr>
        <w:rPr>
          <w:rFonts w:eastAsia="Calibri"/>
          <w:lang w:val="es-ES_tradnl"/>
        </w:rPr>
      </w:pPr>
    </w:p>
    <w:p w:rsidR="007F3102" w:rsidRDefault="007F3102" w:rsidP="007F3102">
      <w:pPr>
        <w:rPr>
          <w:lang w:val="es-ES_tradnl"/>
        </w:rPr>
      </w:pPr>
      <w:r>
        <w:rPr>
          <w:lang w:val="es-ES_tradnl"/>
        </w:rPr>
        <w:t>La máxima demanda de agua potable actual y futura se produce en la cuenca del río Cachapoal y le sigue la cuenca del río Tinguiririca. Respecto a los sistemas de agua potable rural, el orden es el mismo anterior.</w:t>
      </w:r>
    </w:p>
    <w:p w:rsidR="007F3102" w:rsidRPr="001E28FB" w:rsidRDefault="007F3102" w:rsidP="007F3102">
      <w:pPr>
        <w:rPr>
          <w:rFonts w:eastAsia="Calibri"/>
          <w:lang w:val="es-ES_tradnl"/>
        </w:rPr>
      </w:pPr>
    </w:p>
    <w:p w:rsidR="007F3102" w:rsidRDefault="007F3102" w:rsidP="007F3102">
      <w:pPr>
        <w:rPr>
          <w:lang w:val="es-ES_tradnl"/>
        </w:rPr>
      </w:pPr>
      <w:r w:rsidRPr="007F3102">
        <w:rPr>
          <w:lang w:val="es-ES_tradnl"/>
        </w:rPr>
        <w:t>En el siguiente cuadro se resume el estado de los acuíferos (con o sin restricción) según subcuenca.</w:t>
      </w:r>
    </w:p>
    <w:p w:rsidR="007853F0" w:rsidRDefault="007853F0" w:rsidP="00B51B51">
      <w:pPr>
        <w:widowControl w:val="0"/>
        <w:rPr>
          <w:lang w:val="es-ES_tradnl"/>
        </w:rPr>
      </w:pPr>
    </w:p>
    <w:p w:rsidR="007F3102" w:rsidRDefault="007F3102" w:rsidP="007F3102">
      <w:pPr>
        <w:pStyle w:val="Epgrafe"/>
        <w:keepNext/>
      </w:pPr>
      <w:r>
        <w:t xml:space="preserve">Tabla </w:t>
      </w:r>
      <w:r>
        <w:fldChar w:fldCharType="begin"/>
      </w:r>
      <w:r>
        <w:instrText xml:space="preserve"> STYLEREF 1 \s </w:instrText>
      </w:r>
      <w:r>
        <w:fldChar w:fldCharType="separate"/>
      </w:r>
      <w:r w:rsidR="00264070">
        <w:rPr>
          <w:noProof/>
        </w:rPr>
        <w:t>8</w:t>
      </w:r>
      <w:r>
        <w:fldChar w:fldCharType="end"/>
      </w:r>
      <w:r>
        <w:t>.</w:t>
      </w:r>
      <w:r>
        <w:fldChar w:fldCharType="begin"/>
      </w:r>
      <w:r>
        <w:instrText xml:space="preserve"> SEQ Tabla \* ARABIC \s 1 </w:instrText>
      </w:r>
      <w:r>
        <w:fldChar w:fldCharType="separate"/>
      </w:r>
      <w:r w:rsidR="00264070">
        <w:rPr>
          <w:noProof/>
        </w:rPr>
        <w:t>1</w:t>
      </w:r>
      <w:r>
        <w:fldChar w:fldCharType="end"/>
      </w:r>
      <w:r>
        <w:t xml:space="preserve"> Situación de Acuíferos de </w:t>
      </w:r>
      <w:smartTag w:uri="urn:schemas-microsoft-com:office:smarttags" w:element="PersonName">
        <w:smartTagPr>
          <w:attr w:name="ProductID" w:val="la Región"/>
        </w:smartTagPr>
        <w:r>
          <w:t>la Región</w:t>
        </w:r>
      </w:smartTag>
      <w:r>
        <w:t xml:space="preserve"> de O’Higgins</w:t>
      </w:r>
    </w:p>
    <w:tbl>
      <w:tblPr>
        <w:tblW w:w="5421" w:type="dxa"/>
        <w:jc w:val="center"/>
        <w:tblInd w:w="55" w:type="dxa"/>
        <w:tblCellMar>
          <w:left w:w="70" w:type="dxa"/>
          <w:right w:w="70" w:type="dxa"/>
        </w:tblCellMar>
        <w:tblLook w:val="04A0" w:firstRow="1" w:lastRow="0" w:firstColumn="1" w:lastColumn="0" w:noHBand="0" w:noVBand="1"/>
      </w:tblPr>
      <w:tblGrid>
        <w:gridCol w:w="1141"/>
        <w:gridCol w:w="4280"/>
      </w:tblGrid>
      <w:tr w:rsidR="007F3102" w:rsidRPr="007F3102">
        <w:trPr>
          <w:trHeight w:val="255"/>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Subcuenca</w:t>
            </w:r>
          </w:p>
        </w:tc>
        <w:tc>
          <w:tcPr>
            <w:tcW w:w="4280" w:type="dxa"/>
            <w:tcBorders>
              <w:top w:val="single" w:sz="4" w:space="0" w:color="auto"/>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Estado Acuífero</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0571</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0600</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Acuifero Somero</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0601</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0602</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Acuifero Somero</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0603</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0604</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Parte del 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0605</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0610</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Somero</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0611</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Somero</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0612</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Somero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0613</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Parte del Acuífero con Restricción</w:t>
            </w:r>
          </w:p>
        </w:tc>
      </w:tr>
      <w:tr w:rsidR="007F3102" w:rsidRPr="007F3102">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7F3102" w:rsidRPr="007F3102" w:rsidRDefault="007F3102" w:rsidP="007F3102">
            <w:pPr>
              <w:jc w:val="center"/>
              <w:rPr>
                <w:rFonts w:cs="Arial"/>
                <w:color w:val="000000"/>
                <w:sz w:val="20"/>
                <w:szCs w:val="20"/>
                <w:lang w:val="es-CL" w:eastAsia="es-CL"/>
              </w:rPr>
            </w:pPr>
            <w:r w:rsidRPr="007F3102">
              <w:rPr>
                <w:rFonts w:cs="Arial"/>
                <w:color w:val="000000"/>
                <w:sz w:val="20"/>
                <w:szCs w:val="20"/>
                <w:lang w:val="es-CL" w:eastAsia="es-CL"/>
              </w:rPr>
              <w:t>0614</w:t>
            </w:r>
          </w:p>
        </w:tc>
        <w:tc>
          <w:tcPr>
            <w:tcW w:w="4280" w:type="dxa"/>
            <w:tcBorders>
              <w:top w:val="nil"/>
              <w:left w:val="nil"/>
              <w:bottom w:val="single" w:sz="4" w:space="0" w:color="auto"/>
              <w:right w:val="single" w:sz="4" w:space="0" w:color="auto"/>
            </w:tcBorders>
            <w:shd w:val="clear" w:color="auto" w:fill="auto"/>
            <w:noWrap/>
            <w:vAlign w:val="bottom"/>
          </w:tcPr>
          <w:p w:rsidR="007F3102" w:rsidRPr="007F3102" w:rsidRDefault="007F3102" w:rsidP="007F3102">
            <w:pPr>
              <w:jc w:val="left"/>
              <w:rPr>
                <w:rFonts w:cs="Arial"/>
                <w:sz w:val="20"/>
                <w:szCs w:val="20"/>
                <w:lang w:val="es-CL" w:eastAsia="es-CL"/>
              </w:rPr>
            </w:pPr>
            <w:r w:rsidRPr="007F3102">
              <w:rPr>
                <w:rFonts w:cs="Arial"/>
                <w:sz w:val="20"/>
                <w:szCs w:val="20"/>
                <w:lang w:val="es-CL" w:eastAsia="es-CL"/>
              </w:rPr>
              <w:t>Acuífero Somero</w:t>
            </w:r>
          </w:p>
        </w:tc>
      </w:tr>
    </w:tbl>
    <w:p w:rsidR="007F3102" w:rsidRDefault="007F3102" w:rsidP="00B51B51">
      <w:pPr>
        <w:widowControl w:val="0"/>
        <w:rPr>
          <w:lang w:val="es-ES_tradnl"/>
        </w:rPr>
      </w:pPr>
    </w:p>
    <w:p w:rsidR="007F3102" w:rsidRDefault="007F3102" w:rsidP="00B51B51">
      <w:pPr>
        <w:widowControl w:val="0"/>
        <w:rPr>
          <w:lang w:val="es-ES_tradnl"/>
        </w:rPr>
      </w:pPr>
    </w:p>
    <w:p w:rsidR="007F3102" w:rsidRPr="007F3102" w:rsidRDefault="007F3102" w:rsidP="00B51B51">
      <w:pPr>
        <w:widowControl w:val="0"/>
        <w:rPr>
          <w:lang w:val="es-ES_tradnl"/>
        </w:rPr>
      </w:pPr>
    </w:p>
    <w:p w:rsidR="007853F0" w:rsidRPr="007853F0" w:rsidRDefault="007853F0" w:rsidP="00B51B51">
      <w:pPr>
        <w:pStyle w:val="Ttulo2"/>
        <w:keepNext w:val="0"/>
      </w:pPr>
      <w:bookmarkStart w:id="459" w:name="_Toc338410215"/>
      <w:bookmarkStart w:id="460" w:name="_Toc344391862"/>
      <w:r w:rsidRPr="007853F0">
        <w:lastRenderedPageBreak/>
        <w:t>Hidrología Superficial</w:t>
      </w:r>
      <w:bookmarkEnd w:id="459"/>
      <w:bookmarkEnd w:id="460"/>
    </w:p>
    <w:p w:rsidR="00075063" w:rsidRPr="007853F0" w:rsidRDefault="00075063" w:rsidP="00B51B51">
      <w:pPr>
        <w:widowControl w:val="0"/>
      </w:pPr>
    </w:p>
    <w:p w:rsidR="007853F0" w:rsidRPr="007853F0" w:rsidRDefault="007853F0" w:rsidP="00B51B51">
      <w:pPr>
        <w:widowControl w:val="0"/>
      </w:pPr>
      <w:r w:rsidRPr="007853F0">
        <w:t>Como resultado de la caracterización hidrológica, se estimaron series de caudales medios mensuales para los puntos de salida de cada una de las cuencas en estudio durante el período 1961/62 – 2010/11. En base a estas series, se calcularon curvas de variación estacional para probabilidades de excedencia del 10%, 50% y 85%, las cuales se muestran en las  Tablas siguientes.</w:t>
      </w:r>
    </w:p>
    <w:p w:rsidR="007853F0" w:rsidRPr="007853F0" w:rsidRDefault="007853F0" w:rsidP="00B51B51">
      <w:pPr>
        <w:widowControl w:val="0"/>
      </w:pPr>
    </w:p>
    <w:p w:rsidR="007853F0" w:rsidRPr="007853F0" w:rsidRDefault="007853F0" w:rsidP="00B51B51">
      <w:pPr>
        <w:pStyle w:val="Epgrafe"/>
        <w:widowControl w:val="0"/>
      </w:pPr>
      <w:bookmarkStart w:id="461" w:name="_Ref337655970"/>
      <w:r w:rsidRPr="007853F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2</w:t>
      </w:r>
      <w:r w:rsidR="007F3102">
        <w:fldChar w:fldCharType="end"/>
      </w:r>
      <w:bookmarkEnd w:id="461"/>
      <w:r w:rsidRPr="007853F0">
        <w:t xml:space="preserve"> Caudales de Probabilidad de Excedencia 10% Subcuencas VI Región [m</w:t>
      </w:r>
      <w:r w:rsidRPr="007853F0">
        <w:rPr>
          <w:vertAlign w:val="superscript"/>
        </w:rPr>
        <w:t>3</w:t>
      </w:r>
      <w:r w:rsidRPr="007853F0">
        <w:t>/s]</w:t>
      </w:r>
    </w:p>
    <w:tbl>
      <w:tblPr>
        <w:tblW w:w="9520" w:type="dxa"/>
        <w:jc w:val="center"/>
        <w:tblInd w:w="55" w:type="dxa"/>
        <w:tblCellMar>
          <w:left w:w="70" w:type="dxa"/>
          <w:right w:w="70" w:type="dxa"/>
        </w:tblCellMar>
        <w:tblLook w:val="04A0" w:firstRow="1" w:lastRow="0" w:firstColumn="1" w:lastColumn="0" w:noHBand="0" w:noVBand="1"/>
      </w:tblPr>
      <w:tblGrid>
        <w:gridCol w:w="680"/>
        <w:gridCol w:w="719"/>
        <w:gridCol w:w="719"/>
        <w:gridCol w:w="719"/>
        <w:gridCol w:w="719"/>
        <w:gridCol w:w="719"/>
        <w:gridCol w:w="719"/>
        <w:gridCol w:w="719"/>
        <w:gridCol w:w="719"/>
        <w:gridCol w:w="719"/>
        <w:gridCol w:w="719"/>
        <w:gridCol w:w="719"/>
        <w:gridCol w:w="719"/>
        <w:gridCol w:w="719"/>
      </w:tblGrid>
      <w:tr w:rsidR="00075063" w:rsidRPr="00075063">
        <w:trPr>
          <w:trHeight w:val="22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P 10%</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ABR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MAY</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JUN</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JUL</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AGO</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SEP</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OCT</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NOV</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DIC</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ENE</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FEB</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ANUAL</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5,335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5,438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8,434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20,442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18,197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7,039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6,954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11,751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12,275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7,018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3,605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3,925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8,200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68,351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65,683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87,820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87,174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89,486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96,263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121,198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217,269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306,532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276,099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193,378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116,445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136,585</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87,001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165,427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268,940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259,517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246,618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190,413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127,882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120,591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146,503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147,448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121,559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118,805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150,300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39,417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56,802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100,933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104,763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95,085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87,788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94,669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133,239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176,840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150,398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92,079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55,702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91,317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41,896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110,121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234,818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270,475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201,921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129,154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96,978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88,616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122,509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104,801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45,284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27,845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111,060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1,187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20,803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26,352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23,684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12,971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5,961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1,416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0,868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0,927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0,934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7,407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122,550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234,578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528,708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555,159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534,358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395,905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204,358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201,759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221,576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198,088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224,970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209,747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275,660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0,695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3,123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4,196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4,863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0,661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0,269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1,436</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5,424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16,574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29,145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24,095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8,422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3,919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8,017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0,731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3,592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13,006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23,362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19,043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6,813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3,010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0,987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0,084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0,055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0,177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6,143</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19,104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97,910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138,012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104,135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46,944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13,933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4,679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1,251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0,274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0,177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30,864</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5,066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20,348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35,285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27,541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12,025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3,586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0,250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9,178</w:t>
            </w:r>
          </w:p>
        </w:tc>
      </w:tr>
    </w:tbl>
    <w:p w:rsidR="007853F0" w:rsidRPr="007853F0" w:rsidRDefault="007853F0" w:rsidP="00B51B51">
      <w:pPr>
        <w:widowControl w:val="0"/>
      </w:pPr>
    </w:p>
    <w:p w:rsidR="007853F0" w:rsidRPr="007853F0" w:rsidRDefault="007853F0" w:rsidP="00B51B51">
      <w:pPr>
        <w:pStyle w:val="Epgrafe"/>
        <w:widowControl w:val="0"/>
      </w:pPr>
      <w:bookmarkStart w:id="462" w:name="_Ref337655973"/>
      <w:r w:rsidRPr="007853F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3</w:t>
      </w:r>
      <w:r w:rsidR="007F3102">
        <w:fldChar w:fldCharType="end"/>
      </w:r>
      <w:bookmarkEnd w:id="462"/>
      <w:r w:rsidRPr="007853F0">
        <w:t xml:space="preserve"> Caudales de Probabilidad de Excedencia 50% Subcuencas VI Región [m</w:t>
      </w:r>
      <w:r w:rsidRPr="007853F0">
        <w:rPr>
          <w:vertAlign w:val="superscript"/>
        </w:rPr>
        <w:t>3</w:t>
      </w:r>
      <w:r w:rsidRPr="007853F0">
        <w:t>/s]</w:t>
      </w:r>
    </w:p>
    <w:tbl>
      <w:tblPr>
        <w:tblW w:w="9520" w:type="dxa"/>
        <w:jc w:val="center"/>
        <w:tblInd w:w="55" w:type="dxa"/>
        <w:tblCellMar>
          <w:left w:w="70" w:type="dxa"/>
          <w:right w:w="70" w:type="dxa"/>
        </w:tblCellMar>
        <w:tblLook w:val="04A0" w:firstRow="1" w:lastRow="0" w:firstColumn="1" w:lastColumn="0" w:noHBand="0" w:noVBand="1"/>
      </w:tblPr>
      <w:tblGrid>
        <w:gridCol w:w="680"/>
        <w:gridCol w:w="680"/>
        <w:gridCol w:w="719"/>
        <w:gridCol w:w="719"/>
        <w:gridCol w:w="719"/>
        <w:gridCol w:w="719"/>
        <w:gridCol w:w="719"/>
        <w:gridCol w:w="719"/>
        <w:gridCol w:w="719"/>
        <w:gridCol w:w="719"/>
        <w:gridCol w:w="719"/>
        <w:gridCol w:w="719"/>
        <w:gridCol w:w="680"/>
        <w:gridCol w:w="719"/>
      </w:tblGrid>
      <w:tr w:rsidR="00075063" w:rsidRPr="00075063">
        <w:trPr>
          <w:trHeight w:val="22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P 50%</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ABR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MAY</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JUN</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JUL</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AGO</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SEP</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OCT</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NOV</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DIC</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ENE</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FEB</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ANUAL</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2,540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4,266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8,453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7,280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3,216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3,917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5,824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4,447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2,996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1,650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4,586</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48,960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40,001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46,365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51,707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49,342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59,317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87,103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134,861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185,233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165,405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124,091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80,072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91,751</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53,747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77,275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100,114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134,143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132,194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99,482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60,211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72,336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87,144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66,070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50,830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57,580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87,847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22,499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24,379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36,623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44,011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43,848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50,579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69,645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99,883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112,473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90,968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61,254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36,767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60,731</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14,772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37,399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78,173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107,415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93,482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76,467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33,839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44,824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48,741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20,439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6,337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7,379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51,767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0,770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6,985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6,582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4,446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2,260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0,476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0,197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2,764</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71,430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111,911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177,418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255,724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269,234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182,549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102,952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115,977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119,246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87,582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91,180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98,858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150,942</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0,269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0,407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0,264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0,047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0,237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0,152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0,735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3,290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2,507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1,164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0,143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0,030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1,790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0,583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1,263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2,661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1,870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0,899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0,364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0,109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1,438</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8,371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20,642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19,021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9,788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1,066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0,287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0,093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0,037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9,813</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0,194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0,804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2,056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3,875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3,724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2,825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1,825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0,495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0,155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0,034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2,133</w:t>
            </w:r>
          </w:p>
        </w:tc>
      </w:tr>
    </w:tbl>
    <w:p w:rsidR="007853F0" w:rsidRPr="007853F0" w:rsidRDefault="007853F0" w:rsidP="00B51B51">
      <w:pPr>
        <w:widowControl w:val="0"/>
      </w:pPr>
    </w:p>
    <w:p w:rsidR="007853F0" w:rsidRPr="007853F0" w:rsidRDefault="007853F0" w:rsidP="00B51B51">
      <w:pPr>
        <w:pStyle w:val="Epgrafe"/>
        <w:widowControl w:val="0"/>
      </w:pPr>
      <w:bookmarkStart w:id="463" w:name="_Ref337655974"/>
      <w:r w:rsidRPr="007853F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4</w:t>
      </w:r>
      <w:r w:rsidR="007F3102">
        <w:fldChar w:fldCharType="end"/>
      </w:r>
      <w:bookmarkEnd w:id="463"/>
      <w:r w:rsidRPr="007853F0">
        <w:t xml:space="preserve"> Caudales de Probabilidad de Excedencia 85% Subcuencas VI Región [m</w:t>
      </w:r>
      <w:r w:rsidRPr="007853F0">
        <w:rPr>
          <w:vertAlign w:val="superscript"/>
        </w:rPr>
        <w:t>3</w:t>
      </w:r>
      <w:r w:rsidRPr="007853F0">
        <w:t>/s]</w:t>
      </w:r>
    </w:p>
    <w:tbl>
      <w:tblPr>
        <w:tblW w:w="9520" w:type="dxa"/>
        <w:jc w:val="center"/>
        <w:tblInd w:w="55" w:type="dxa"/>
        <w:tblCellMar>
          <w:left w:w="70" w:type="dxa"/>
          <w:right w:w="70" w:type="dxa"/>
        </w:tblCellMar>
        <w:tblLook w:val="04A0" w:firstRow="1" w:lastRow="0" w:firstColumn="1" w:lastColumn="0" w:noHBand="0" w:noVBand="1"/>
      </w:tblPr>
      <w:tblGrid>
        <w:gridCol w:w="680"/>
        <w:gridCol w:w="680"/>
        <w:gridCol w:w="680"/>
        <w:gridCol w:w="680"/>
        <w:gridCol w:w="719"/>
        <w:gridCol w:w="719"/>
        <w:gridCol w:w="680"/>
        <w:gridCol w:w="680"/>
        <w:gridCol w:w="680"/>
        <w:gridCol w:w="719"/>
        <w:gridCol w:w="719"/>
        <w:gridCol w:w="680"/>
        <w:gridCol w:w="680"/>
        <w:gridCol w:w="700"/>
      </w:tblGrid>
      <w:tr w:rsidR="00075063" w:rsidRPr="00075063">
        <w:trPr>
          <w:trHeight w:val="22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P 85%</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ABR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MAY</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JUN</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JUL</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AGO</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SEP</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OCT</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NOV</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DIC</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ENE</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FEB</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MAR</w:t>
            </w:r>
          </w:p>
        </w:tc>
        <w:tc>
          <w:tcPr>
            <w:tcW w:w="680" w:type="dxa"/>
            <w:tcBorders>
              <w:top w:val="single" w:sz="4" w:space="0" w:color="auto"/>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b/>
                <w:bCs/>
                <w:sz w:val="16"/>
                <w:szCs w:val="16"/>
                <w:lang w:val="es-CL" w:eastAsia="es-CL"/>
              </w:rPr>
            </w:pPr>
            <w:r w:rsidRPr="00075063">
              <w:rPr>
                <w:rFonts w:cs="Arial"/>
                <w:b/>
                <w:bCs/>
                <w:sz w:val="16"/>
                <w:szCs w:val="16"/>
                <w:lang w:val="es-CL" w:eastAsia="es-CL"/>
              </w:rPr>
              <w:t>ANUAL</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2,557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3,598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1,437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1,855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1,902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2,611</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38,038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31,171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29,682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33,096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33,383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38,695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57,650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92,033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118,614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114,258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90,947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62,642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66,212</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30,312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42,708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41,316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66,188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77,777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47,319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20,360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34,865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38,839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23,518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17,037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24,802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48,250</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15,807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14,441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16,811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21,135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23,253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29,118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42,478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65,949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67,885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61,511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45,200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27,414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40,395</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5,002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16,655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31,108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43,360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37,697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21,175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6,865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8,353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8,932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3,734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0,979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2,036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22,722</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0,132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0,241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0,624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1,744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1,599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1,468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0,804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0,051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0,044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0,073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1,069</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45,520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66,565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69,260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108,876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118,733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67,449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52,961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63,472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62,421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45,869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35,660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45,439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80,087</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0,056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0,097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0,054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0,062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0,059</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0,162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0,381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0,482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0,463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0,421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0,030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0,481</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0,291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0,486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0,389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0,375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0,342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0,102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0,385</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0,180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1,052</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2,949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2,918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2,129</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0,757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0,220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0,064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0,023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2,343</w:t>
            </w:r>
          </w:p>
        </w:tc>
      </w:tr>
      <w:tr w:rsidR="00075063" w:rsidRPr="00075063">
        <w:trPr>
          <w:trHeight w:val="225"/>
          <w:jc w:val="center"/>
        </w:trPr>
        <w:tc>
          <w:tcPr>
            <w:tcW w:w="680" w:type="dxa"/>
            <w:tcBorders>
              <w:top w:val="nil"/>
              <w:left w:val="single" w:sz="4" w:space="0" w:color="auto"/>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0614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0,004</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0,186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0,457</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0,576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0,581</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0,558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0,338</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0,146</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0,045</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0,010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0,003</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0,000</w:t>
            </w:r>
          </w:p>
        </w:tc>
        <w:tc>
          <w:tcPr>
            <w:tcW w:w="680" w:type="dxa"/>
            <w:tcBorders>
              <w:top w:val="nil"/>
              <w:left w:val="nil"/>
              <w:bottom w:val="single" w:sz="4" w:space="0" w:color="auto"/>
              <w:right w:val="single" w:sz="4" w:space="0" w:color="auto"/>
            </w:tcBorders>
            <w:shd w:val="clear" w:color="auto" w:fill="auto"/>
            <w:noWrap/>
            <w:vAlign w:val="bottom"/>
          </w:tcPr>
          <w:p w:rsidR="00075063" w:rsidRPr="00075063" w:rsidRDefault="00075063" w:rsidP="00075063">
            <w:pPr>
              <w:jc w:val="center"/>
              <w:rPr>
                <w:rFonts w:cs="Arial"/>
                <w:sz w:val="16"/>
                <w:szCs w:val="16"/>
                <w:lang w:val="es-CL" w:eastAsia="es-CL"/>
              </w:rPr>
            </w:pPr>
            <w:r w:rsidRPr="00075063">
              <w:rPr>
                <w:rFonts w:cs="Arial"/>
                <w:sz w:val="16"/>
                <w:szCs w:val="16"/>
                <w:lang w:val="es-CL" w:eastAsia="es-CL"/>
              </w:rPr>
              <w:t>0,563</w:t>
            </w:r>
          </w:p>
        </w:tc>
      </w:tr>
    </w:tbl>
    <w:p w:rsidR="007853F0" w:rsidRPr="007853F0" w:rsidRDefault="007853F0" w:rsidP="00B51B51">
      <w:pPr>
        <w:widowControl w:val="0"/>
      </w:pPr>
    </w:p>
    <w:p w:rsidR="007853F0" w:rsidRPr="007853F0" w:rsidRDefault="007853F0" w:rsidP="00B51B51">
      <w:pPr>
        <w:widowControl w:val="0"/>
      </w:pPr>
      <w:r w:rsidRPr="007853F0">
        <w:t xml:space="preserve">Se puede observar de estas tablas que la subcuenca del río Rapel (0605) es aquella que dispone de una mayor cantidad de recursos hídricos para todo nivel de probabilidad de excedencia. Su régimen hidrológico es pluvial, presentando en los años más lluviosos caudales medios mensuales superiores a los </w:t>
      </w:r>
      <w:r w:rsidR="00075063">
        <w:t>500</w:t>
      </w:r>
      <w:r w:rsidRPr="007853F0">
        <w:t xml:space="preserve"> m</w:t>
      </w:r>
      <w:r w:rsidRPr="007853F0">
        <w:rPr>
          <w:vertAlign w:val="superscript"/>
        </w:rPr>
        <w:t>3</w:t>
      </w:r>
      <w:r w:rsidRPr="007853F0">
        <w:t>/s durante los meses de junio y julio.</w:t>
      </w:r>
    </w:p>
    <w:p w:rsidR="007853F0" w:rsidRPr="007853F0" w:rsidRDefault="007853F0" w:rsidP="00B51B51">
      <w:pPr>
        <w:widowControl w:val="0"/>
      </w:pPr>
    </w:p>
    <w:p w:rsidR="007853F0" w:rsidRPr="007853F0" w:rsidRDefault="007853F0" w:rsidP="00B51B51">
      <w:pPr>
        <w:widowControl w:val="0"/>
      </w:pPr>
      <w:r w:rsidRPr="007853F0">
        <w:t>La cuenca del río Cachapoal Alto (0600) presenta un régimen nival con un peak en el mes de diciembre, alcanzando caudales por sobre los 300 m</w:t>
      </w:r>
      <w:r w:rsidRPr="007853F0">
        <w:rPr>
          <w:vertAlign w:val="superscript"/>
        </w:rPr>
        <w:t>3</w:t>
      </w:r>
      <w:r w:rsidRPr="007853F0">
        <w:t>/s en los años más lluviosos. La cuenca del río Cachapoal Bajo (0601), en cambio, presenta un régimen hidrológico pluvial con una leve componente nival. En este sistema queda de manifiesto el alto grado de intervención que presenta la cuenca, lo cual se puede observar a escala anual, en donde el caudal disponible en la zona media es similar al de la zona alta. Más aún, en años secos (probabilidad de excedencia 85%), el caudal en la zona alta es superior al de la zona baja, lo que es un indicador de los altos consumos de agua que se producen en la cuenca.</w:t>
      </w:r>
    </w:p>
    <w:p w:rsidR="007853F0" w:rsidRPr="007853F0" w:rsidRDefault="007853F0" w:rsidP="00B51B51">
      <w:pPr>
        <w:widowControl w:val="0"/>
      </w:pPr>
    </w:p>
    <w:p w:rsidR="007853F0" w:rsidRPr="007853F0" w:rsidRDefault="007853F0" w:rsidP="00B51B51">
      <w:pPr>
        <w:widowControl w:val="0"/>
      </w:pPr>
      <w:r w:rsidRPr="007853F0">
        <w:t xml:space="preserve">La cuenca del río Tinguiririca presenta un comportamiento similar a la cuenca del río Cachapoal. Posee un régimen hidrológico nivo-pluvial en la zona alta y un régimen pluvial con una leve componente nival en la parte baja. A escala anual, el caudal disponible en la zona media es similar al de la zona alta. En años secos (probabilidad de excedencia 85%), el caudal en la zona alta es superior al de la zona baja, lo que es un indicador de los altos consumos de agua que se producen en la cuenca. </w:t>
      </w:r>
    </w:p>
    <w:p w:rsidR="007853F0" w:rsidRPr="007853F0" w:rsidRDefault="007853F0" w:rsidP="00B51B51">
      <w:pPr>
        <w:widowControl w:val="0"/>
      </w:pPr>
    </w:p>
    <w:p w:rsidR="007853F0" w:rsidRPr="007853F0" w:rsidRDefault="007853F0" w:rsidP="00B51B51">
      <w:pPr>
        <w:widowControl w:val="0"/>
      </w:pPr>
      <w:r w:rsidRPr="007853F0">
        <w:t>En el caso de las cuencas costeras (061X), los regímenes hidrológicos son pluviales con caudales máximos en julio, para todas las probabilidades de excedencia analizadas. En el caso de la cuenca del estero Nilahue, los caudales medios mensuales durante el perí</w:t>
      </w:r>
      <w:r w:rsidR="00075063">
        <w:t>odo junio – agosto supera los 9</w:t>
      </w:r>
      <w:r w:rsidRPr="007853F0">
        <w:t>0 m</w:t>
      </w:r>
      <w:r w:rsidRPr="007853F0">
        <w:rPr>
          <w:vertAlign w:val="superscript"/>
        </w:rPr>
        <w:t>3</w:t>
      </w:r>
      <w:r w:rsidRPr="007853F0">
        <w:t>/s en los años más lluviosos. Si se observan los caudales de probabilidad de excedencia del 85%, se tienen valores ceros durante los meses de marzo y abril, para prácticamente todas las cuencas. En el caso particular de la cuenca 0610, existe una mayor cantidad de caudales nulos producto de la pequeña área aportante que posee.</w:t>
      </w:r>
    </w:p>
    <w:p w:rsidR="007853F0" w:rsidRPr="007853F0" w:rsidRDefault="007853F0" w:rsidP="00B51B51">
      <w:pPr>
        <w:widowControl w:val="0"/>
      </w:pPr>
    </w:p>
    <w:p w:rsidR="007853F0" w:rsidRPr="007853F0" w:rsidRDefault="007853F0" w:rsidP="00B51B51">
      <w:pPr>
        <w:widowControl w:val="0"/>
      </w:pPr>
      <w:r w:rsidRPr="007853F0">
        <w:t>La subcuenca del río Angostura (0571), perteneciente a la cuenca del río Maipo, presenta un régimen hidrológico pluvionival, con un peak marcado en el mes de julio, y un segundo máximo en el mes de noviembre, el cual se retrasa a diciembre en años con mayores acumulaciones nivales.</w:t>
      </w:r>
    </w:p>
    <w:p w:rsidR="007853F0" w:rsidRPr="007853F0" w:rsidRDefault="007853F0" w:rsidP="00B51B51">
      <w:pPr>
        <w:widowControl w:val="0"/>
      </w:pPr>
    </w:p>
    <w:p w:rsidR="007853F0" w:rsidRDefault="007853F0" w:rsidP="00B51B51">
      <w:pPr>
        <w:pStyle w:val="Ttulo2"/>
        <w:keepNext w:val="0"/>
      </w:pPr>
      <w:bookmarkStart w:id="464" w:name="_Toc338410216"/>
      <w:bookmarkStart w:id="465" w:name="_Toc344391863"/>
      <w:r w:rsidRPr="007853F0">
        <w:t>Caracterización de las Demandas</w:t>
      </w:r>
      <w:bookmarkEnd w:id="464"/>
      <w:bookmarkEnd w:id="465"/>
    </w:p>
    <w:p w:rsidR="00303BB4" w:rsidRPr="00303BB4" w:rsidRDefault="00303BB4" w:rsidP="00303BB4"/>
    <w:p w:rsidR="007853F0" w:rsidRPr="007853F0" w:rsidRDefault="007853F0" w:rsidP="00303BB4">
      <w:pPr>
        <w:pStyle w:val="Ttulo3"/>
      </w:pPr>
      <w:bookmarkStart w:id="466" w:name="_Toc338415018"/>
      <w:bookmarkStart w:id="467" w:name="_Toc344391864"/>
      <w:r w:rsidRPr="007853F0">
        <w:t>Según Derechos de Aguas</w:t>
      </w:r>
      <w:bookmarkEnd w:id="466"/>
      <w:bookmarkEnd w:id="467"/>
    </w:p>
    <w:p w:rsidR="007853F0" w:rsidRPr="007853F0" w:rsidRDefault="007853F0" w:rsidP="00B51B51">
      <w:pPr>
        <w:widowControl w:val="0"/>
      </w:pPr>
    </w:p>
    <w:p w:rsidR="007853F0" w:rsidRPr="007853F0" w:rsidRDefault="007853F0" w:rsidP="00B51B51">
      <w:pPr>
        <w:widowControl w:val="0"/>
      </w:pPr>
      <w:r w:rsidRPr="007853F0">
        <w:t>A objeto de contar con un escenario de comparación de las demandas tanto de aguas superficiales como subterráneas</w:t>
      </w:r>
      <w:r w:rsidR="005A79DA">
        <w:t>,</w:t>
      </w:r>
      <w:r w:rsidRPr="007853F0">
        <w:t xml:space="preserve"> se efectuó una caracterización de ellos a partir de la información de derechos de aprovechamiento que se encuentra disponible en el Catastro Público de Aguas (CPA) de </w:t>
      </w:r>
      <w:smartTag w:uri="urn:schemas-microsoft-com:office:smarttags" w:element="PersonName">
        <w:smartTagPr>
          <w:attr w:name="ProductID" w:val="la DGA-MOP"/>
        </w:smartTagPr>
        <w:r w:rsidRPr="007853F0">
          <w:t>la DGA-MOP</w:t>
        </w:r>
      </w:smartTag>
      <w:r w:rsidRPr="007853F0">
        <w:t>.</w:t>
      </w:r>
    </w:p>
    <w:p w:rsidR="007853F0" w:rsidRPr="007853F0" w:rsidRDefault="007853F0" w:rsidP="00B51B51">
      <w:pPr>
        <w:widowControl w:val="0"/>
      </w:pPr>
    </w:p>
    <w:p w:rsidR="007853F0" w:rsidRPr="007853F0" w:rsidRDefault="007853F0" w:rsidP="00B51B51">
      <w:pPr>
        <w:widowControl w:val="0"/>
      </w:pPr>
      <w:r w:rsidRPr="007853F0">
        <w:t>A la información de derechos de aguas se definió el uso asociado en función de la información disponible en el CPA o bien según el rubro de la empresa.</w:t>
      </w:r>
    </w:p>
    <w:p w:rsidR="007853F0" w:rsidRPr="007853F0" w:rsidRDefault="007853F0" w:rsidP="00B51B51">
      <w:pPr>
        <w:widowControl w:val="0"/>
      </w:pPr>
    </w:p>
    <w:p w:rsidR="007853F0" w:rsidRPr="007853F0" w:rsidRDefault="007853F0" w:rsidP="00B51B51">
      <w:pPr>
        <w:widowControl w:val="0"/>
      </w:pPr>
      <w:r w:rsidRPr="007853F0">
        <w:t>De acuerdo al análisis realizado en las tablas siguiente se presenta un resumen de las demandas según uso tanto para los derechos de aguas superficiales como subterráneos.</w:t>
      </w:r>
    </w:p>
    <w:p w:rsidR="007853F0" w:rsidRPr="007853F0" w:rsidRDefault="007853F0" w:rsidP="00B51B51">
      <w:pPr>
        <w:widowControl w:val="0"/>
      </w:pPr>
    </w:p>
    <w:p w:rsidR="007853F0" w:rsidRPr="007853F0" w:rsidRDefault="007853F0" w:rsidP="00B51B51">
      <w:pPr>
        <w:widowControl w:val="0"/>
      </w:pPr>
      <w:r w:rsidRPr="007853F0">
        <w:lastRenderedPageBreak/>
        <w:t>Lo resultados alcanzados permiten concluir que la demanda promedio anual de aguas superficiales asciende a 85 m</w:t>
      </w:r>
      <w:r w:rsidRPr="007853F0">
        <w:rPr>
          <w:szCs w:val="22"/>
          <w:vertAlign w:val="superscript"/>
        </w:rPr>
        <w:t>3</w:t>
      </w:r>
      <w:r w:rsidRPr="007853F0">
        <w:t>/s, mientras que la subterránea es de 57 m</w:t>
      </w:r>
      <w:r w:rsidRPr="007853F0">
        <w:rPr>
          <w:szCs w:val="22"/>
          <w:vertAlign w:val="superscript"/>
        </w:rPr>
        <w:t>3</w:t>
      </w:r>
      <w:r w:rsidRPr="007853F0">
        <w:t>/s para derechos permanentes.</w:t>
      </w:r>
    </w:p>
    <w:p w:rsidR="007853F0" w:rsidRDefault="007853F0" w:rsidP="00B51B51">
      <w:pPr>
        <w:widowControl w:val="0"/>
      </w:pPr>
    </w:p>
    <w:p w:rsidR="00AE5070" w:rsidRDefault="00AE5070" w:rsidP="00AE5070">
      <w:r>
        <w:t>A la cifra anteriormente mencionada se debe considerar además</w:t>
      </w:r>
      <w:r w:rsidRPr="00F56AEE">
        <w:t xml:space="preserve"> los d</w:t>
      </w:r>
      <w:r w:rsidR="00103D2D">
        <w:t>erechos asociados a riego. S</w:t>
      </w:r>
      <w:r w:rsidRPr="00F56AEE">
        <w:t>e ha inco</w:t>
      </w:r>
      <w:r w:rsidR="00103D2D">
        <w:t>r</w:t>
      </w:r>
      <w:r w:rsidRPr="00F56AEE">
        <w:t>porado</w:t>
      </w:r>
      <w:r w:rsidR="00103D2D">
        <w:t xml:space="preserve"> también</w:t>
      </w:r>
      <w:r w:rsidRPr="00F56AEE">
        <w:t xml:space="preserve"> la información de las organizaciones de usuarios lo cual permitió definir los canales que operan en las subcuencas de interés.</w:t>
      </w:r>
    </w:p>
    <w:p w:rsidR="00AE5070" w:rsidRPr="00F56AEE" w:rsidRDefault="00AE5070" w:rsidP="00AE5070"/>
    <w:p w:rsidR="00AE5070" w:rsidRPr="00F56AEE" w:rsidRDefault="00AE5070" w:rsidP="00AE5070">
      <w:r w:rsidRPr="00F56AEE">
        <w:t xml:space="preserve">A modo de resumen en </w:t>
      </w:r>
      <w:smartTag w:uri="urn:schemas-microsoft-com:office:smarttags" w:element="PersonName">
        <w:smartTagPr>
          <w:attr w:name="ProductID" w:val="la ￼￼￼￼￼￼￼￼￼￼￼￼￼￼￼￼￼￼￼￼￼￼￼￼￼￼￼￼￼￼￼￼￼￼￼￼￼￼￼￼￼Tabla"/>
        </w:smartTagPr>
        <w:r w:rsidRPr="00F56AEE">
          <w:t>la Tabla</w:t>
        </w:r>
      </w:smartTag>
      <w:r w:rsidRPr="00F56AEE">
        <w:t xml:space="preserve"> siguiente se presenta el resumen de organizaciones por cuenca con indicación del caudal expresada tanto en acciones como en l/s.</w:t>
      </w:r>
    </w:p>
    <w:p w:rsidR="00AE5070" w:rsidRPr="00F56AEE" w:rsidRDefault="00AE5070" w:rsidP="00AE5070">
      <w:pPr>
        <w:widowControl w:val="0"/>
      </w:pPr>
    </w:p>
    <w:p w:rsidR="00AE5070" w:rsidRPr="00F56AEE" w:rsidRDefault="00AE5070" w:rsidP="00AE5070">
      <w:pPr>
        <w:pStyle w:val="Epgrafe"/>
      </w:pPr>
      <w:r w:rsidRPr="00F56AEE">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5</w:t>
      </w:r>
      <w:r w:rsidR="007F3102">
        <w:fldChar w:fldCharType="end"/>
      </w:r>
      <w:r w:rsidRPr="00F56AEE">
        <w:t xml:space="preserve"> Resumen de Derechos Asociados a Organizaciones de Usuarios</w:t>
      </w:r>
    </w:p>
    <w:tbl>
      <w:tblPr>
        <w:tblW w:w="8480" w:type="dxa"/>
        <w:jc w:val="center"/>
        <w:tblInd w:w="55" w:type="dxa"/>
        <w:tblCellMar>
          <w:left w:w="70" w:type="dxa"/>
          <w:right w:w="70" w:type="dxa"/>
        </w:tblCellMar>
        <w:tblLook w:val="0000" w:firstRow="0" w:lastRow="0" w:firstColumn="0" w:lastColumn="0" w:noHBand="0" w:noVBand="0"/>
      </w:tblPr>
      <w:tblGrid>
        <w:gridCol w:w="1980"/>
        <w:gridCol w:w="1200"/>
        <w:gridCol w:w="1840"/>
        <w:gridCol w:w="1420"/>
        <w:gridCol w:w="920"/>
        <w:gridCol w:w="1120"/>
      </w:tblGrid>
      <w:tr w:rsidR="00AE5070" w:rsidRPr="00F56AEE">
        <w:trPr>
          <w:trHeight w:val="81"/>
          <w:jc w:val="center"/>
        </w:trPr>
        <w:tc>
          <w:tcPr>
            <w:tcW w:w="1980" w:type="dxa"/>
            <w:vMerge w:val="restart"/>
            <w:tcBorders>
              <w:top w:val="single" w:sz="4" w:space="0" w:color="auto"/>
              <w:left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Tipo</w:t>
            </w:r>
          </w:p>
        </w:tc>
        <w:tc>
          <w:tcPr>
            <w:tcW w:w="1200" w:type="dxa"/>
            <w:vMerge w:val="restart"/>
            <w:tcBorders>
              <w:top w:val="single" w:sz="4" w:space="0" w:color="auto"/>
              <w:left w:val="nil"/>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Unidad</w:t>
            </w:r>
          </w:p>
        </w:tc>
        <w:tc>
          <w:tcPr>
            <w:tcW w:w="4180" w:type="dxa"/>
            <w:gridSpan w:val="3"/>
            <w:tcBorders>
              <w:top w:val="single" w:sz="4" w:space="0" w:color="auto"/>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Subcuencas</w:t>
            </w:r>
          </w:p>
        </w:tc>
        <w:tc>
          <w:tcPr>
            <w:tcW w:w="1120" w:type="dxa"/>
            <w:vMerge w:val="restart"/>
            <w:tcBorders>
              <w:top w:val="single" w:sz="4" w:space="0" w:color="auto"/>
              <w:left w:val="nil"/>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Total</w:t>
            </w:r>
          </w:p>
        </w:tc>
      </w:tr>
      <w:tr w:rsidR="00AE5070" w:rsidRPr="00F56AEE">
        <w:trPr>
          <w:trHeight w:val="163"/>
          <w:jc w:val="center"/>
        </w:trPr>
        <w:tc>
          <w:tcPr>
            <w:tcW w:w="1980" w:type="dxa"/>
            <w:vMerge/>
            <w:tcBorders>
              <w:left w:val="single" w:sz="4" w:space="0" w:color="auto"/>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p>
        </w:tc>
        <w:tc>
          <w:tcPr>
            <w:tcW w:w="1200" w:type="dxa"/>
            <w:vMerge/>
            <w:tcBorders>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p>
        </w:tc>
        <w:tc>
          <w:tcPr>
            <w:tcW w:w="1840" w:type="dxa"/>
            <w:tcBorders>
              <w:top w:val="single" w:sz="4" w:space="0" w:color="auto"/>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601</w:t>
            </w:r>
          </w:p>
        </w:tc>
        <w:tc>
          <w:tcPr>
            <w:tcW w:w="1420" w:type="dxa"/>
            <w:tcBorders>
              <w:top w:val="single" w:sz="4" w:space="0" w:color="auto"/>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602</w:t>
            </w:r>
          </w:p>
        </w:tc>
        <w:tc>
          <w:tcPr>
            <w:tcW w:w="920" w:type="dxa"/>
            <w:tcBorders>
              <w:top w:val="single" w:sz="4" w:space="0" w:color="auto"/>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r w:rsidRPr="00F56AEE">
              <w:rPr>
                <w:rFonts w:cs="Arial"/>
                <w:sz w:val="20"/>
                <w:szCs w:val="20"/>
              </w:rPr>
              <w:t>603</w:t>
            </w:r>
          </w:p>
        </w:tc>
        <w:tc>
          <w:tcPr>
            <w:tcW w:w="1120" w:type="dxa"/>
            <w:vMerge/>
            <w:tcBorders>
              <w:left w:val="nil"/>
              <w:bottom w:val="single" w:sz="4" w:space="0" w:color="auto"/>
              <w:right w:val="single" w:sz="4" w:space="0" w:color="auto"/>
            </w:tcBorders>
            <w:shd w:val="clear" w:color="auto" w:fill="auto"/>
            <w:vAlign w:val="center"/>
          </w:tcPr>
          <w:p w:rsidR="00AE5070" w:rsidRPr="00F56AEE" w:rsidRDefault="00AE5070" w:rsidP="00AE5070">
            <w:pPr>
              <w:jc w:val="center"/>
              <w:rPr>
                <w:rFonts w:cs="Arial"/>
                <w:sz w:val="20"/>
                <w:szCs w:val="20"/>
              </w:rPr>
            </w:pPr>
          </w:p>
        </w:tc>
      </w:tr>
      <w:tr w:rsidR="00AE5070" w:rsidRPr="00F56AEE">
        <w:trPr>
          <w:trHeight w:val="255"/>
          <w:jc w:val="center"/>
        </w:trPr>
        <w:tc>
          <w:tcPr>
            <w:tcW w:w="1980" w:type="dxa"/>
            <w:tcBorders>
              <w:top w:val="nil"/>
              <w:left w:val="single" w:sz="4" w:space="0" w:color="auto"/>
              <w:bottom w:val="nil"/>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Asoción Canalistas</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129.993</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422.556</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552.550</w:t>
            </w:r>
          </w:p>
        </w:tc>
      </w:tr>
      <w:tr w:rsidR="00AE5070" w:rsidRPr="00F56AEE">
        <w:trPr>
          <w:trHeight w:val="255"/>
          <w:jc w:val="center"/>
        </w:trPr>
        <w:tc>
          <w:tcPr>
            <w:tcW w:w="1980" w:type="dxa"/>
            <w:tcBorders>
              <w:top w:val="nil"/>
              <w:left w:val="single" w:sz="4" w:space="0" w:color="auto"/>
              <w:bottom w:val="nil"/>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4.594</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346</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4.940</w:t>
            </w:r>
          </w:p>
        </w:tc>
      </w:tr>
      <w:tr w:rsidR="00AE5070" w:rsidRPr="00F56AEE">
        <w:trPr>
          <w:trHeight w:val="255"/>
          <w:jc w:val="center"/>
        </w:trPr>
        <w:tc>
          <w:tcPr>
            <w:tcW w:w="1980" w:type="dxa"/>
            <w:tcBorders>
              <w:top w:val="single" w:sz="4" w:space="0" w:color="auto"/>
              <w:left w:val="single" w:sz="4" w:space="0" w:color="auto"/>
              <w:bottom w:val="nil"/>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Comunidad de Aguas</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221.058</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22.019</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10.000</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253.076</w:t>
            </w:r>
          </w:p>
        </w:tc>
      </w:tr>
      <w:tr w:rsidR="00AE5070" w:rsidRPr="00F56AEE">
        <w:trPr>
          <w:trHeight w:val="255"/>
          <w:jc w:val="center"/>
        </w:trPr>
        <w:tc>
          <w:tcPr>
            <w:tcW w:w="1980" w:type="dxa"/>
            <w:tcBorders>
              <w:top w:val="nil"/>
              <w:left w:val="single" w:sz="4" w:space="0" w:color="auto"/>
              <w:bottom w:val="nil"/>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17.888</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30.707</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174</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48.769</w:t>
            </w:r>
          </w:p>
        </w:tc>
      </w:tr>
      <w:tr w:rsidR="00AE5070" w:rsidRPr="00F56AEE">
        <w:trPr>
          <w:trHeight w:val="255"/>
          <w:jc w:val="center"/>
        </w:trPr>
        <w:tc>
          <w:tcPr>
            <w:tcW w:w="1980" w:type="dxa"/>
            <w:tcBorders>
              <w:top w:val="single" w:sz="4" w:space="0" w:color="auto"/>
              <w:left w:val="single" w:sz="4" w:space="0" w:color="auto"/>
              <w:bottom w:val="nil"/>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Junta de Vigilancia</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Acciones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139.946</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26.378</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166.324</w:t>
            </w:r>
          </w:p>
        </w:tc>
      </w:tr>
      <w:tr w:rsidR="00AE5070" w:rsidRPr="00F56AEE">
        <w:trPr>
          <w:trHeight w:val="255"/>
          <w:jc w:val="center"/>
        </w:trPr>
        <w:tc>
          <w:tcPr>
            <w:tcW w:w="1980" w:type="dxa"/>
            <w:tcBorders>
              <w:top w:val="nil"/>
              <w:left w:val="single" w:sz="4" w:space="0" w:color="auto"/>
              <w:bottom w:val="single" w:sz="4" w:space="0" w:color="auto"/>
              <w:right w:val="single" w:sz="4" w:space="0" w:color="auto"/>
            </w:tcBorders>
            <w:shd w:val="clear" w:color="auto" w:fill="auto"/>
            <w:noWrap/>
            <w:vAlign w:val="bottom"/>
          </w:tcPr>
          <w:p w:rsidR="00AE5070" w:rsidRPr="00F56AEE" w:rsidRDefault="00AE5070" w:rsidP="00AE5070">
            <w:pPr>
              <w:jc w:val="left"/>
              <w:rPr>
                <w:rFonts w:cs="Arial"/>
                <w:sz w:val="20"/>
                <w:szCs w:val="20"/>
              </w:rPr>
            </w:pPr>
            <w:r w:rsidRPr="00F56AEE">
              <w:rPr>
                <w:rFonts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l/s</w:t>
            </w:r>
          </w:p>
        </w:tc>
        <w:tc>
          <w:tcPr>
            <w:tcW w:w="184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0</w:t>
            </w:r>
          </w:p>
        </w:tc>
        <w:tc>
          <w:tcPr>
            <w:tcW w:w="14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1.693</w:t>
            </w:r>
          </w:p>
        </w:tc>
        <w:tc>
          <w:tcPr>
            <w:tcW w:w="9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tcPr>
          <w:p w:rsidR="00AE5070" w:rsidRPr="00F56AEE" w:rsidRDefault="00AE5070" w:rsidP="00AE5070">
            <w:pPr>
              <w:jc w:val="center"/>
              <w:rPr>
                <w:rFonts w:cs="Arial"/>
                <w:sz w:val="20"/>
                <w:szCs w:val="20"/>
              </w:rPr>
            </w:pPr>
            <w:r w:rsidRPr="00F56AEE">
              <w:rPr>
                <w:rFonts w:cs="Arial"/>
                <w:sz w:val="20"/>
                <w:szCs w:val="20"/>
              </w:rPr>
              <w:t>1.693</w:t>
            </w:r>
          </w:p>
        </w:tc>
      </w:tr>
    </w:tbl>
    <w:p w:rsidR="00AE5070" w:rsidRPr="00F56AEE" w:rsidRDefault="00AE5070" w:rsidP="00AE5070">
      <w:pPr>
        <w:widowControl w:val="0"/>
      </w:pPr>
    </w:p>
    <w:p w:rsidR="007853F0" w:rsidRPr="00AE5070" w:rsidRDefault="007853F0" w:rsidP="00B51B51">
      <w:pPr>
        <w:widowControl w:val="0"/>
      </w:pPr>
      <w:r w:rsidRPr="00AE5070">
        <w:t xml:space="preserve">Considerando la distribución de las demandas según uso, se observa que las principales corresponden a los usos de riego y luego de agua potable. </w:t>
      </w:r>
    </w:p>
    <w:p w:rsidR="007853F0" w:rsidRPr="00AE5070" w:rsidRDefault="007853F0" w:rsidP="00B51B51">
      <w:pPr>
        <w:widowControl w:val="0"/>
        <w:jc w:val="left"/>
      </w:pPr>
    </w:p>
    <w:p w:rsidR="007853F0" w:rsidRPr="00AE5070" w:rsidRDefault="007853F0" w:rsidP="00B51B51">
      <w:pPr>
        <w:pStyle w:val="Epgrafe"/>
        <w:widowControl w:val="0"/>
      </w:pPr>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6</w:t>
      </w:r>
      <w:r w:rsidR="007F3102">
        <w:fldChar w:fldCharType="end"/>
      </w:r>
      <w:r w:rsidRPr="00AE5070">
        <w:t xml:space="preserve"> Resumen de Demandas de Aguas según Usos. Derechos Superficiales Consuntivos Permanentes en l/s</w:t>
      </w:r>
    </w:p>
    <w:tbl>
      <w:tblPr>
        <w:tblW w:w="9928" w:type="dxa"/>
        <w:jc w:val="center"/>
        <w:tblCellMar>
          <w:left w:w="28" w:type="dxa"/>
          <w:right w:w="28" w:type="dxa"/>
        </w:tblCellMar>
        <w:tblLook w:val="0000" w:firstRow="0" w:lastRow="0" w:firstColumn="0" w:lastColumn="0" w:noHBand="0" w:noVBand="0"/>
      </w:tblPr>
      <w:tblGrid>
        <w:gridCol w:w="841"/>
        <w:gridCol w:w="679"/>
        <w:gridCol w:w="679"/>
        <w:gridCol w:w="679"/>
        <w:gridCol w:w="679"/>
        <w:gridCol w:w="679"/>
        <w:gridCol w:w="679"/>
        <w:gridCol w:w="679"/>
        <w:gridCol w:w="679"/>
        <w:gridCol w:w="679"/>
        <w:gridCol w:w="629"/>
        <w:gridCol w:w="629"/>
        <w:gridCol w:w="629"/>
        <w:gridCol w:w="682"/>
        <w:gridCol w:w="407"/>
      </w:tblGrid>
      <w:tr w:rsidR="007853F0" w:rsidRPr="00AE5070">
        <w:trPr>
          <w:trHeight w:val="510"/>
          <w:jc w:val="center"/>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sz w:val="14"/>
                <w:szCs w:val="16"/>
              </w:rPr>
            </w:pPr>
            <w:r w:rsidRPr="00AE5070">
              <w:rPr>
                <w:rFonts w:cs="Arial"/>
                <w:sz w:val="14"/>
                <w:szCs w:val="16"/>
              </w:rPr>
              <w:t>Usos</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Abr</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May</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Jun</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Jul</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Ago</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Sep</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Oct</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Nov</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Dic</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Ene</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Feb</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Mar</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6"/>
              </w:rPr>
            </w:pPr>
            <w:r w:rsidRPr="00AE5070">
              <w:rPr>
                <w:rFonts w:cs="Arial"/>
                <w:bCs/>
                <w:sz w:val="14"/>
                <w:szCs w:val="16"/>
              </w:rPr>
              <w:t>Promedio Anual</w:t>
            </w:r>
          </w:p>
        </w:tc>
        <w:tc>
          <w:tcPr>
            <w:tcW w:w="366"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w:t>
            </w:r>
          </w:p>
        </w:tc>
      </w:tr>
      <w:tr w:rsidR="007853F0" w:rsidRPr="00AE5070">
        <w:trPr>
          <w:trHeight w:val="255"/>
          <w:jc w:val="center"/>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Riego</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72.769,0</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72.831,4</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76.977,5</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74.859,9</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77.555,3</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72.497,4</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73.227,7</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71.412,5</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71.347,9</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62.614,7</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62.616,6</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67.648,2</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71.363,2</w:t>
            </w:r>
          </w:p>
        </w:tc>
        <w:tc>
          <w:tcPr>
            <w:tcW w:w="366"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83,3</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Agua Potable</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4.298,9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9.524,9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2.447,9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1.164,9</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2.229,7</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2,6</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Industrial</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209,1</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1.281,3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4.271,0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6.906,6</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3.441,1</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745,6</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209,2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208,8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208,7</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208,5</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208,5</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208,6</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1.508,9</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1,8</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Minería</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8.315,2</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8.295,2</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5.952,2</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8.352,2</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8.144,4</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9,5</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Doméstico</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1.244,0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1.243,7</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1.243,4</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1.243,1</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1.220,1</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1.243,1</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1.243,1</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1.241,5</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1,4</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Otros Usos</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1.199,2</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1,4</w:t>
            </w:r>
          </w:p>
        </w:tc>
      </w:tr>
      <w:tr w:rsidR="007853F0" w:rsidRPr="00AE5070">
        <w:trPr>
          <w:trHeight w:val="255"/>
          <w:jc w:val="center"/>
        </w:trPr>
        <w:tc>
          <w:tcPr>
            <w:tcW w:w="840"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6"/>
              </w:rPr>
            </w:pPr>
            <w:r w:rsidRPr="00AE5070">
              <w:rPr>
                <w:rFonts w:cs="Arial"/>
                <w:sz w:val="14"/>
                <w:szCs w:val="16"/>
              </w:rPr>
              <w:t>Total (l/s)</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84.937,8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86.072,9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96.342,9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102.086,8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94.239,5</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85.202,8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85.396,4</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83.580,9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83.479,1</w:t>
            </w:r>
          </w:p>
        </w:tc>
        <w:tc>
          <w:tcPr>
            <w:tcW w:w="643"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74.702,7</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72.384,6</w:t>
            </w:r>
          </w:p>
        </w:tc>
        <w:tc>
          <w:tcPr>
            <w:tcW w:w="643"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6"/>
              </w:rPr>
            </w:pPr>
            <w:r w:rsidRPr="00AE5070">
              <w:rPr>
                <w:rFonts w:cs="Arial"/>
                <w:bCs/>
                <w:sz w:val="14"/>
                <w:szCs w:val="16"/>
              </w:rPr>
              <w:t>79.816,3</w:t>
            </w:r>
          </w:p>
        </w:tc>
        <w:tc>
          <w:tcPr>
            <w:tcW w:w="682"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85.686,9</w:t>
            </w:r>
          </w:p>
        </w:tc>
        <w:tc>
          <w:tcPr>
            <w:tcW w:w="366"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6"/>
              </w:rPr>
            </w:pPr>
            <w:r w:rsidRPr="00AE5070">
              <w:rPr>
                <w:rFonts w:cs="Arial"/>
                <w:bCs/>
                <w:sz w:val="14"/>
                <w:szCs w:val="16"/>
              </w:rPr>
              <w:t>100,0</w:t>
            </w:r>
          </w:p>
        </w:tc>
      </w:tr>
    </w:tbl>
    <w:p w:rsidR="007853F0" w:rsidRPr="00AE5070" w:rsidRDefault="007853F0" w:rsidP="00B51B51">
      <w:pPr>
        <w:widowControl w:val="0"/>
      </w:pPr>
    </w:p>
    <w:p w:rsidR="007853F0" w:rsidRDefault="007853F0" w:rsidP="00B51B51">
      <w:pPr>
        <w:widowControl w:val="0"/>
      </w:pPr>
      <w:r w:rsidRPr="00AE5070">
        <w:t xml:space="preserve">Por otra parte en </w:t>
      </w:r>
      <w:smartTag w:uri="urn:schemas-microsoft-com:office:smarttags" w:element="PersonName">
        <w:smartTagPr>
          <w:attr w:name="ProductID" w:val="la ￼￼￼￼￼￼￼￼￼￼￼￼￼￼￼￼￼￼￼￼￼￼￼￼￼￼￼￼￼￼￼￼￼￼￼￼￼￼￼￼￼Tabla"/>
        </w:smartTagPr>
        <w:r w:rsidRPr="00AE5070">
          <w:t xml:space="preserve">la </w:t>
        </w:r>
        <w:r w:rsidRPr="00AE5070">
          <w:fldChar w:fldCharType="begin"/>
        </w:r>
        <w:r w:rsidRPr="00AE5070">
          <w:instrText xml:space="preserve"> REF _Ref338422715 \h </w:instrText>
        </w:r>
        <w:r w:rsidRPr="00AE5070">
          <w:instrText xml:space="preserve"> \* MERGEFORMAT </w:instrText>
        </w:r>
        <w:r w:rsidRPr="00AE5070">
          <w:fldChar w:fldCharType="separate"/>
        </w:r>
        <w:r w:rsidR="00264070" w:rsidRPr="00AE5070">
          <w:t>Tabla</w:t>
        </w:r>
      </w:smartTag>
      <w:r w:rsidR="00264070" w:rsidRPr="00AE5070">
        <w:t xml:space="preserve"> </w:t>
      </w:r>
      <w:r w:rsidR="00264070">
        <w:rPr>
          <w:noProof/>
        </w:rPr>
        <w:t>8.7</w:t>
      </w:r>
      <w:r w:rsidRPr="00AE5070">
        <w:fldChar w:fldCharType="end"/>
      </w:r>
      <w:r w:rsidRPr="00AE5070">
        <w:t xml:space="preserve"> se presentan las demandas mensuales de los derechos superficiales consuntivos eventuales. De la misma forma que para los derechos permanentes la principal demanda se encuentra representada por el uso de riego.</w:t>
      </w:r>
    </w:p>
    <w:p w:rsidR="007F3102" w:rsidRDefault="007F3102" w:rsidP="00B51B51">
      <w:pPr>
        <w:widowControl w:val="0"/>
      </w:pPr>
    </w:p>
    <w:p w:rsidR="007F3102" w:rsidRDefault="007F3102" w:rsidP="00B51B51">
      <w:pPr>
        <w:widowControl w:val="0"/>
      </w:pPr>
    </w:p>
    <w:p w:rsidR="007F3102" w:rsidRDefault="007F3102" w:rsidP="00B51B51">
      <w:pPr>
        <w:widowControl w:val="0"/>
      </w:pPr>
    </w:p>
    <w:p w:rsidR="007F3102" w:rsidRDefault="007F3102" w:rsidP="00B51B51">
      <w:pPr>
        <w:widowControl w:val="0"/>
      </w:pPr>
    </w:p>
    <w:p w:rsidR="007F3102" w:rsidRDefault="007F3102" w:rsidP="00B51B51">
      <w:pPr>
        <w:widowControl w:val="0"/>
      </w:pPr>
    </w:p>
    <w:p w:rsidR="007F3102" w:rsidRDefault="007F3102" w:rsidP="00B51B51">
      <w:pPr>
        <w:widowControl w:val="0"/>
      </w:pPr>
    </w:p>
    <w:p w:rsidR="007F3102" w:rsidRDefault="007F3102" w:rsidP="00B51B51">
      <w:pPr>
        <w:widowControl w:val="0"/>
      </w:pPr>
    </w:p>
    <w:p w:rsidR="007F3102" w:rsidRPr="00AE5070" w:rsidRDefault="007F3102" w:rsidP="00B51B51">
      <w:pPr>
        <w:widowControl w:val="0"/>
      </w:pPr>
    </w:p>
    <w:p w:rsidR="007853F0" w:rsidRPr="00AE5070" w:rsidRDefault="007853F0" w:rsidP="00B51B51">
      <w:pPr>
        <w:widowControl w:val="0"/>
      </w:pPr>
    </w:p>
    <w:p w:rsidR="007853F0" w:rsidRPr="00AE5070" w:rsidRDefault="007853F0" w:rsidP="00B51B51">
      <w:pPr>
        <w:pStyle w:val="Epgrafe"/>
        <w:widowControl w:val="0"/>
      </w:pPr>
      <w:bookmarkStart w:id="468" w:name="_Ref338422715"/>
      <w:r w:rsidRPr="00AE5070">
        <w:lastRenderedPageBreak/>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7</w:t>
      </w:r>
      <w:r w:rsidR="007F3102">
        <w:fldChar w:fldCharType="end"/>
      </w:r>
      <w:bookmarkEnd w:id="468"/>
      <w:r w:rsidRPr="00AE5070">
        <w:t xml:space="preserve"> Resumen de Demandas de Aguas según Usos. Derechos Superficiales Consuntivos Eventuales en l/s</w:t>
      </w:r>
    </w:p>
    <w:tbl>
      <w:tblPr>
        <w:tblW w:w="10237" w:type="dxa"/>
        <w:jc w:val="center"/>
        <w:tblInd w:w="51" w:type="dxa"/>
        <w:tblCellMar>
          <w:left w:w="28" w:type="dxa"/>
          <w:right w:w="28" w:type="dxa"/>
        </w:tblCellMar>
        <w:tblLook w:val="0000" w:firstRow="0" w:lastRow="0" w:firstColumn="0" w:lastColumn="0" w:noHBand="0" w:noVBand="0"/>
      </w:tblPr>
      <w:tblGrid>
        <w:gridCol w:w="841"/>
        <w:gridCol w:w="679"/>
        <w:gridCol w:w="679"/>
        <w:gridCol w:w="679"/>
        <w:gridCol w:w="679"/>
        <w:gridCol w:w="679"/>
        <w:gridCol w:w="679"/>
        <w:gridCol w:w="679"/>
        <w:gridCol w:w="679"/>
        <w:gridCol w:w="679"/>
        <w:gridCol w:w="679"/>
        <w:gridCol w:w="679"/>
        <w:gridCol w:w="679"/>
        <w:gridCol w:w="708"/>
        <w:gridCol w:w="540"/>
      </w:tblGrid>
      <w:tr w:rsidR="007853F0" w:rsidRPr="00AE5070">
        <w:trPr>
          <w:trHeight w:val="510"/>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sz w:val="14"/>
                <w:szCs w:val="14"/>
              </w:rPr>
            </w:pPr>
            <w:r w:rsidRPr="00AE5070">
              <w:rPr>
                <w:rFonts w:cs="Arial"/>
                <w:sz w:val="14"/>
                <w:szCs w:val="14"/>
              </w:rPr>
              <w:t>Usos</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Abr</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May</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Jun</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Jul</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Ago</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Sep</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Oct</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Nov</w:t>
            </w:r>
          </w:p>
        </w:tc>
        <w:tc>
          <w:tcPr>
            <w:tcW w:w="679" w:type="dxa"/>
            <w:tcBorders>
              <w:top w:val="single" w:sz="4" w:space="0" w:color="auto"/>
              <w:left w:val="nil"/>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Dic</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Ene</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Feb</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Mar</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853F0" w:rsidRPr="00AE5070" w:rsidRDefault="007853F0" w:rsidP="00B51B51">
            <w:pPr>
              <w:widowControl w:val="0"/>
              <w:jc w:val="center"/>
              <w:rPr>
                <w:rFonts w:cs="Arial"/>
                <w:bCs/>
                <w:sz w:val="14"/>
                <w:szCs w:val="14"/>
              </w:rPr>
            </w:pPr>
            <w:r w:rsidRPr="00AE5070">
              <w:rPr>
                <w:rFonts w:cs="Arial"/>
                <w:bCs/>
                <w:sz w:val="14"/>
                <w:szCs w:val="14"/>
              </w:rPr>
              <w:t>Promedio Anual</w:t>
            </w:r>
          </w:p>
        </w:tc>
        <w:tc>
          <w:tcPr>
            <w:tcW w:w="540"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w:t>
            </w:r>
          </w:p>
        </w:tc>
      </w:tr>
      <w:tr w:rsidR="007853F0" w:rsidRPr="00AE5070">
        <w:trPr>
          <w:trHeight w:val="255"/>
          <w:jc w:val="center"/>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Riego</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10.369,8</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14.011,8</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13.589,4</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15.709,5</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13.614,5</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13.660,5</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11.182,8</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12.919,8</w:t>
            </w:r>
          </w:p>
        </w:tc>
        <w:tc>
          <w:tcPr>
            <w:tcW w:w="679"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12.132,1</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18.342,7</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15.231,0</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13.291,8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13.671,3</w:t>
            </w:r>
          </w:p>
        </w:tc>
        <w:tc>
          <w:tcPr>
            <w:tcW w:w="540" w:type="dxa"/>
            <w:tcBorders>
              <w:top w:val="single" w:sz="4" w:space="0" w:color="auto"/>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63,4</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Agua Potable</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Industrial</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5,3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12.134,7</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10.614,3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7.999,9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10.758,0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7.542,6</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1.906,7</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321,3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0,6</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0,1</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0,3</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1,1</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4.273,7</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19,8</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Minería</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3.100,0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379,0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379,0</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100,0</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100,0</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100,0</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1.262,8</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5,9</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Doméstico</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0,7</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1,1</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0,5</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0,3</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0,9</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0,9</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0,0</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Otros Usos</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2.349,9</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10,9</w:t>
            </w:r>
          </w:p>
        </w:tc>
      </w:tr>
      <w:tr w:rsidR="007853F0" w:rsidRPr="00AE5070">
        <w:trPr>
          <w:trHeight w:val="255"/>
          <w:jc w:val="center"/>
        </w:trPr>
        <w:tc>
          <w:tcPr>
            <w:tcW w:w="841"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rPr>
                <w:rFonts w:cs="Arial"/>
                <w:sz w:val="14"/>
                <w:szCs w:val="14"/>
              </w:rPr>
            </w:pPr>
            <w:r w:rsidRPr="00AE5070">
              <w:rPr>
                <w:rFonts w:cs="Arial"/>
                <w:sz w:val="14"/>
                <w:szCs w:val="14"/>
              </w:rPr>
              <w:t>Total (l/s)</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12.826,2</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31.596,4</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29.932,6</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29.438,3</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30.101,4</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23.932,8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15.821,8</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15.972,9</w:t>
            </w:r>
          </w:p>
        </w:tc>
        <w:tc>
          <w:tcPr>
            <w:tcW w:w="679"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14.862,7</w:t>
            </w:r>
          </w:p>
        </w:tc>
        <w:tc>
          <w:tcPr>
            <w:tcW w:w="679" w:type="dxa"/>
            <w:tcBorders>
              <w:top w:val="single" w:sz="4" w:space="0" w:color="auto"/>
              <w:left w:val="nil"/>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20.793,1</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17.681,5</w:t>
            </w:r>
          </w:p>
        </w:tc>
        <w:tc>
          <w:tcPr>
            <w:tcW w:w="679" w:type="dxa"/>
            <w:tcBorders>
              <w:top w:val="single" w:sz="4" w:space="0" w:color="auto"/>
              <w:left w:val="single" w:sz="4" w:space="0" w:color="auto"/>
              <w:bottom w:val="single" w:sz="4" w:space="0" w:color="auto"/>
              <w:right w:val="single" w:sz="4" w:space="0" w:color="auto"/>
            </w:tcBorders>
            <w:vAlign w:val="center"/>
          </w:tcPr>
          <w:p w:rsidR="007853F0" w:rsidRPr="00AE5070" w:rsidRDefault="007853F0" w:rsidP="00B51B51">
            <w:pPr>
              <w:widowControl w:val="0"/>
              <w:jc w:val="center"/>
              <w:rPr>
                <w:rFonts w:cs="Arial"/>
                <w:bCs/>
                <w:sz w:val="14"/>
                <w:szCs w:val="14"/>
              </w:rPr>
            </w:pPr>
            <w:r w:rsidRPr="00AE5070">
              <w:rPr>
                <w:rFonts w:cs="Arial"/>
                <w:bCs/>
                <w:sz w:val="14"/>
                <w:szCs w:val="14"/>
              </w:rPr>
              <w:t>15.743,6</w:t>
            </w:r>
          </w:p>
        </w:tc>
        <w:tc>
          <w:tcPr>
            <w:tcW w:w="708" w:type="dxa"/>
            <w:tcBorders>
              <w:top w:val="nil"/>
              <w:left w:val="single" w:sz="4" w:space="0" w:color="auto"/>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21.558,6</w:t>
            </w:r>
          </w:p>
        </w:tc>
        <w:tc>
          <w:tcPr>
            <w:tcW w:w="540" w:type="dxa"/>
            <w:tcBorders>
              <w:top w:val="nil"/>
              <w:left w:val="nil"/>
              <w:bottom w:val="single" w:sz="4" w:space="0" w:color="auto"/>
              <w:right w:val="single" w:sz="4" w:space="0" w:color="auto"/>
            </w:tcBorders>
            <w:shd w:val="clear" w:color="auto" w:fill="auto"/>
            <w:noWrap/>
            <w:vAlign w:val="center"/>
          </w:tcPr>
          <w:p w:rsidR="007853F0" w:rsidRPr="00AE5070" w:rsidRDefault="007853F0" w:rsidP="00B51B51">
            <w:pPr>
              <w:widowControl w:val="0"/>
              <w:jc w:val="center"/>
              <w:rPr>
                <w:rFonts w:cs="Arial"/>
                <w:bCs/>
                <w:sz w:val="14"/>
                <w:szCs w:val="14"/>
              </w:rPr>
            </w:pPr>
            <w:r w:rsidRPr="00AE5070">
              <w:rPr>
                <w:rFonts w:cs="Arial"/>
                <w:bCs/>
                <w:sz w:val="14"/>
                <w:szCs w:val="14"/>
              </w:rPr>
              <w:t>100,0</w:t>
            </w:r>
          </w:p>
        </w:tc>
      </w:tr>
    </w:tbl>
    <w:p w:rsidR="007853F0" w:rsidRPr="00AE5070" w:rsidRDefault="007853F0" w:rsidP="00B51B51">
      <w:pPr>
        <w:widowControl w:val="0"/>
      </w:pPr>
    </w:p>
    <w:p w:rsidR="007853F0" w:rsidRPr="00AE5070" w:rsidRDefault="007853F0" w:rsidP="00B51B51">
      <w:pPr>
        <w:widowControl w:val="0"/>
      </w:pPr>
    </w:p>
    <w:p w:rsidR="007853F0" w:rsidRPr="00AE5070" w:rsidRDefault="007853F0" w:rsidP="00B51B51">
      <w:pPr>
        <w:pStyle w:val="Epgrafe"/>
        <w:widowControl w:val="0"/>
      </w:pPr>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8</w:t>
      </w:r>
      <w:r w:rsidR="007F3102">
        <w:fldChar w:fldCharType="end"/>
      </w:r>
      <w:r w:rsidRPr="00AE5070">
        <w:t xml:space="preserve"> Derechos de Aguas Subterráneas Constituidas con Coordenadas por Uso y por Subcuenca (l/s)</w:t>
      </w:r>
    </w:p>
    <w:tbl>
      <w:tblPr>
        <w:tblW w:w="7347" w:type="dxa"/>
        <w:jc w:val="center"/>
        <w:tblCellMar>
          <w:left w:w="70" w:type="dxa"/>
          <w:right w:w="70" w:type="dxa"/>
        </w:tblCellMar>
        <w:tblLook w:val="0000" w:firstRow="0" w:lastRow="0" w:firstColumn="0" w:lastColumn="0" w:noHBand="0" w:noVBand="0"/>
      </w:tblPr>
      <w:tblGrid>
        <w:gridCol w:w="1115"/>
        <w:gridCol w:w="1079"/>
        <w:gridCol w:w="980"/>
        <w:gridCol w:w="783"/>
        <w:gridCol w:w="792"/>
        <w:gridCol w:w="836"/>
        <w:gridCol w:w="881"/>
        <w:gridCol w:w="881"/>
      </w:tblGrid>
      <w:tr w:rsidR="007853F0" w:rsidRPr="00AE5070">
        <w:trPr>
          <w:jc w:val="center"/>
        </w:trPr>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bookmarkStart w:id="469" w:name="OLE_LINK17"/>
            <w:bookmarkStart w:id="470" w:name="OLE_LINK18"/>
            <w:r w:rsidRPr="00AE5070">
              <w:rPr>
                <w:rFonts w:cs="Arial"/>
                <w:bCs/>
                <w:color w:val="000000"/>
                <w:sz w:val="16"/>
                <w:szCs w:val="16"/>
              </w:rPr>
              <w:t>Subcuenca</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Doméstico</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Industrial</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Minero</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Otros</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Potable</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Riego</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Total</w:t>
            </w:r>
          </w:p>
        </w:tc>
      </w:tr>
      <w:tr w:rsidR="007853F0" w:rsidRPr="00AE5070">
        <w:trPr>
          <w:jc w:val="center"/>
        </w:trPr>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186</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117</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132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1.975</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3.024</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0613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82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52</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789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234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2.406</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4.175</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0571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333</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230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515</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1.386</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3.034</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37</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166</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560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163</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1.526</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110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2.692</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106</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2.519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4.030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15.083</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25.141</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271</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42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946</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0603</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294</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1.625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1.552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11.170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15.371</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0605</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134</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1.516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415</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5.576</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8.415</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0614</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27</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112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816</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0612</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80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707</w:t>
            </w:r>
          </w:p>
        </w:tc>
      </w:tr>
      <w:tr w:rsidR="007853F0" w:rsidRPr="00AE5070">
        <w:trPr>
          <w:jc w:val="center"/>
        </w:trPr>
        <w:tc>
          <w:tcPr>
            <w:tcW w:w="1115" w:type="dxa"/>
            <w:tcBorders>
              <w:top w:val="nil"/>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0611</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156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269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1.075</w:t>
            </w:r>
          </w:p>
        </w:tc>
      </w:tr>
      <w:tr w:rsidR="007853F0" w:rsidRPr="00AE5070">
        <w:trPr>
          <w:jc w:val="center"/>
        </w:trPr>
        <w:tc>
          <w:tcPr>
            <w:tcW w:w="1115" w:type="dxa"/>
            <w:tcBorders>
              <w:top w:val="nil"/>
              <w:left w:val="single" w:sz="4" w:space="0" w:color="auto"/>
              <w:bottom w:val="nil"/>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0610</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25</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638</w:t>
            </w:r>
          </w:p>
        </w:tc>
      </w:tr>
      <w:tr w:rsidR="007853F0" w:rsidRPr="00AE5070">
        <w:trPr>
          <w:jc w:val="center"/>
        </w:trPr>
        <w:tc>
          <w:tcPr>
            <w:tcW w:w="1115" w:type="dxa"/>
            <w:tcBorders>
              <w:top w:val="single" w:sz="8"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bCs/>
                <w:color w:val="000000"/>
                <w:sz w:val="16"/>
                <w:szCs w:val="16"/>
              </w:rPr>
            </w:pPr>
            <w:r w:rsidRPr="00AE5070">
              <w:rPr>
                <w:rFonts w:cs="Arial"/>
                <w:bCs/>
                <w:color w:val="000000"/>
                <w:sz w:val="16"/>
                <w:szCs w:val="16"/>
              </w:rPr>
              <w:t>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582</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3.999</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272</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6.984</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7.526</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38.260</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57.622</w:t>
            </w:r>
          </w:p>
        </w:tc>
      </w:tr>
      <w:tr w:rsidR="007853F0" w:rsidRPr="00AE5070">
        <w:trPr>
          <w:jc w:val="center"/>
        </w:trPr>
        <w:tc>
          <w:tcPr>
            <w:tcW w:w="1115" w:type="dxa"/>
            <w:tcBorders>
              <w:top w:val="single" w:sz="4" w:space="0" w:color="auto"/>
              <w:left w:val="single" w:sz="8" w:space="0" w:color="auto"/>
              <w:bottom w:val="single" w:sz="8" w:space="0" w:color="auto"/>
              <w:right w:val="single" w:sz="4" w:space="0" w:color="auto"/>
            </w:tcBorders>
            <w:shd w:val="clear" w:color="auto" w:fill="auto"/>
            <w:noWrap/>
            <w:vAlign w:val="bottom"/>
          </w:tcPr>
          <w:p w:rsidR="007853F0" w:rsidRPr="00AE5070" w:rsidRDefault="007853F0" w:rsidP="00B51B51">
            <w:pPr>
              <w:widowControl w:val="0"/>
              <w:jc w:val="left"/>
              <w:rPr>
                <w:rFonts w:cs="Arial"/>
                <w:bCs/>
                <w:color w:val="000000"/>
                <w:sz w:val="16"/>
                <w:szCs w:val="16"/>
              </w:rPr>
            </w:pPr>
            <w:r w:rsidRPr="00AE5070">
              <w:rPr>
                <w:rFonts w:cs="Arial"/>
                <w:bCs/>
                <w:color w:val="000000"/>
                <w:sz w:val="16"/>
                <w:szCs w:val="16"/>
              </w:rPr>
              <w:t>% del Total</w:t>
            </w:r>
          </w:p>
        </w:tc>
        <w:tc>
          <w:tcPr>
            <w:tcW w:w="1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1,0%</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6,9%</w:t>
            </w:r>
          </w:p>
        </w:tc>
        <w:tc>
          <w:tcPr>
            <w:tcW w:w="783"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0,5%</w:t>
            </w:r>
          </w:p>
        </w:tc>
        <w:tc>
          <w:tcPr>
            <w:tcW w:w="792"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12,1%</w:t>
            </w:r>
          </w:p>
        </w:tc>
        <w:tc>
          <w:tcPr>
            <w:tcW w:w="836"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13,1%</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66,4%</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7853F0" w:rsidRPr="00AE5070" w:rsidRDefault="007853F0" w:rsidP="00B51B51">
            <w:pPr>
              <w:widowControl w:val="0"/>
              <w:jc w:val="center"/>
              <w:rPr>
                <w:rFonts w:cs="Arial"/>
                <w:color w:val="000000"/>
                <w:sz w:val="16"/>
                <w:szCs w:val="16"/>
              </w:rPr>
            </w:pPr>
            <w:r w:rsidRPr="00AE5070">
              <w:rPr>
                <w:rFonts w:cs="Arial"/>
                <w:color w:val="000000"/>
                <w:sz w:val="16"/>
                <w:szCs w:val="16"/>
              </w:rPr>
              <w:t>100,0%</w:t>
            </w:r>
          </w:p>
        </w:tc>
      </w:tr>
      <w:bookmarkEnd w:id="469"/>
      <w:bookmarkEnd w:id="470"/>
    </w:tbl>
    <w:p w:rsidR="007853F0" w:rsidRPr="00AE5070" w:rsidRDefault="007853F0" w:rsidP="00B51B51">
      <w:pPr>
        <w:widowControl w:val="0"/>
        <w:rPr>
          <w:rFonts w:cs="Arial"/>
          <w:lang w:val="es-ES_tradnl"/>
        </w:rPr>
      </w:pPr>
    </w:p>
    <w:p w:rsidR="007853F0" w:rsidRPr="00AE5070" w:rsidRDefault="00AE5070" w:rsidP="00303BB4">
      <w:pPr>
        <w:pStyle w:val="Ttulo3"/>
      </w:pPr>
      <w:r>
        <w:br w:type="page"/>
      </w:r>
      <w:bookmarkStart w:id="471" w:name="_Toc344391865"/>
      <w:r w:rsidR="007853F0" w:rsidRPr="00AE5070">
        <w:lastRenderedPageBreak/>
        <w:t>Según Usos</w:t>
      </w:r>
      <w:bookmarkEnd w:id="471"/>
    </w:p>
    <w:p w:rsidR="007853F0" w:rsidRPr="00AE5070" w:rsidRDefault="007853F0" w:rsidP="00B51B51">
      <w:pPr>
        <w:pStyle w:val="Ttulo4Ttulo4"/>
        <w:keepNext w:val="0"/>
        <w:widowControl w:val="0"/>
      </w:pPr>
      <w:bookmarkStart w:id="472" w:name="_Toc338410217"/>
      <w:bookmarkStart w:id="473" w:name="_Toc344391866"/>
      <w:r w:rsidRPr="00AE5070">
        <w:t>Riego</w:t>
      </w:r>
      <w:bookmarkEnd w:id="472"/>
      <w:bookmarkEnd w:id="473"/>
    </w:p>
    <w:p w:rsidR="007853F0" w:rsidRPr="00AE5070" w:rsidRDefault="007853F0" w:rsidP="00B51B51">
      <w:pPr>
        <w:widowControl w:val="0"/>
      </w:pPr>
    </w:p>
    <w:p w:rsidR="007853F0" w:rsidRPr="00AE5070" w:rsidRDefault="007853F0" w:rsidP="00B51B51">
      <w:pPr>
        <w:widowControl w:val="0"/>
      </w:pPr>
      <w:r w:rsidRPr="00AE5070">
        <w:t>Para poder establecer las demandas actuales de riego, previamente es necesario establecer la situación agropecuaria actual, en cuanto a uso del suelo y tecnología aplicada. Esto último está referido a los métodos de riego utilizados en la actualidad por especie cultivada.</w:t>
      </w:r>
    </w:p>
    <w:p w:rsidR="007853F0" w:rsidRPr="00AE5070" w:rsidRDefault="007853F0" w:rsidP="00B51B51">
      <w:pPr>
        <w:widowControl w:val="0"/>
      </w:pPr>
    </w:p>
    <w:p w:rsidR="007853F0" w:rsidRPr="00AE5070" w:rsidRDefault="007853F0" w:rsidP="00B51B51">
      <w:pPr>
        <w:widowControl w:val="0"/>
      </w:pPr>
      <w:r w:rsidRPr="00AE5070">
        <w:t xml:space="preserve">Cabe señalar que dentro de los antecedentes considerados tanto en la determinación del uso actual de los suelos, como en los métodos de riego utilizados, se encuentra el Catastro Frutícola de Ciren Corfo, el VII Censo Nacional Agropecuario y estudios efectuados para </w:t>
      </w:r>
      <w:smartTag w:uri="urn:schemas-microsoft-com:office:smarttags" w:element="PersonName">
        <w:smartTagPr>
          <w:attr w:name="ProductID" w:val="la Dirección General"/>
        </w:smartTagPr>
        <w:r w:rsidRPr="00AE5070">
          <w:t>la Dirección General</w:t>
        </w:r>
      </w:smartTag>
      <w:r w:rsidRPr="00AE5070">
        <w:t xml:space="preserve"> de Aguas, Dirección de Obras Hidráulicas y para </w:t>
      </w:r>
      <w:smartTag w:uri="urn:schemas-microsoft-com:office:smarttags" w:element="PersonName">
        <w:smartTagPr>
          <w:attr w:name="ProductID" w:val="la Comisión Nacional"/>
        </w:smartTagPr>
        <w:r w:rsidRPr="00AE5070">
          <w:t>la Comisión Nacional</w:t>
        </w:r>
      </w:smartTag>
      <w:r w:rsidRPr="00AE5070">
        <w:t xml:space="preserve"> de Riego. </w:t>
      </w:r>
    </w:p>
    <w:p w:rsidR="007853F0" w:rsidRPr="00AE5070" w:rsidRDefault="007853F0" w:rsidP="00B51B51">
      <w:pPr>
        <w:widowControl w:val="0"/>
      </w:pPr>
    </w:p>
    <w:p w:rsidR="007853F0" w:rsidRPr="00AE5070" w:rsidRDefault="007853F0" w:rsidP="00B51B51">
      <w:pPr>
        <w:widowControl w:val="0"/>
      </w:pPr>
      <w:r w:rsidRPr="00AE5070">
        <w:t xml:space="preserve">Cabe señalar que en </w:t>
      </w:r>
      <w:smartTag w:uri="urn:schemas-microsoft-com:office:smarttags" w:element="PersonName">
        <w:smartTagPr>
          <w:attr w:name="ProductID" w:val="la VI Región"/>
        </w:smartTagPr>
        <w:r w:rsidRPr="00AE5070">
          <w:t>la VI Región</w:t>
        </w:r>
      </w:smartTag>
      <w:r w:rsidRPr="00AE5070">
        <w:t xml:space="preserve"> existen otras subcuencas que son aportantes a esta región, pero que se encuentran fuera de sus límites. De esta forma algunas de estas subcuencas externas son relevantes debido a la presencia de agricultura de riego, tal es el caso de las áreas denominadas como Teno y Parrón/Cobre de </w:t>
      </w:r>
      <w:smartTag w:uri="urn:schemas-microsoft-com:office:smarttags" w:element="PersonName">
        <w:smartTagPr>
          <w:attr w:name="ProductID" w:val="la VII Región"/>
        </w:smartTagPr>
        <w:r w:rsidRPr="00AE5070">
          <w:t>la VII Región</w:t>
        </w:r>
      </w:smartTag>
      <w:r w:rsidRPr="00AE5070">
        <w:t xml:space="preserve"> y Alhué de </w:t>
      </w:r>
      <w:smartTag w:uri="urn:schemas-microsoft-com:office:smarttags" w:element="PersonName">
        <w:smartTagPr>
          <w:attr w:name="ProductID" w:val="la Región Metropolitana."/>
        </w:smartTagPr>
        <w:r w:rsidRPr="00AE5070">
          <w:t>la Región Metropolitana.</w:t>
        </w:r>
      </w:smartTag>
    </w:p>
    <w:p w:rsidR="007853F0" w:rsidRPr="00AE5070" w:rsidRDefault="007853F0" w:rsidP="00B51B51">
      <w:pPr>
        <w:widowControl w:val="0"/>
      </w:pPr>
    </w:p>
    <w:p w:rsidR="007853F0" w:rsidRPr="00AE5070" w:rsidRDefault="007853F0" w:rsidP="00B51B51">
      <w:pPr>
        <w:widowControl w:val="0"/>
      </w:pPr>
      <w:r w:rsidRPr="00AE5070">
        <w:t xml:space="preserve">Al área denominada Parrón/Cobre se le ha nombrado de esta forma, debido a que en la actualidad existe un proyecto de construcción del Embalse El Parrón por parte de </w:t>
      </w:r>
      <w:smartTag w:uri="urn:schemas-microsoft-com:office:smarttags" w:element="PersonName">
        <w:smartTagPr>
          <w:attr w:name="ProductID" w:val="la Dirección"/>
        </w:smartTagPr>
        <w:r w:rsidRPr="00AE5070">
          <w:t>la Dirección</w:t>
        </w:r>
      </w:smartTag>
      <w:r w:rsidRPr="00AE5070">
        <w:t xml:space="preserve"> de Obras Hidráulicas y cuya área actual de riego se concentra entre las localidades de El Parrón en la comuna de Rauco y de El Cobre en la comuna de Hualañé.</w:t>
      </w:r>
    </w:p>
    <w:p w:rsidR="007853F0" w:rsidRPr="00AE5070" w:rsidRDefault="007853F0" w:rsidP="00B51B51">
      <w:pPr>
        <w:widowControl w:val="0"/>
      </w:pPr>
    </w:p>
    <w:p w:rsidR="007853F0" w:rsidRPr="00AE5070" w:rsidRDefault="007853F0" w:rsidP="00B51B51">
      <w:pPr>
        <w:widowControl w:val="0"/>
      </w:pPr>
      <w:r w:rsidRPr="00AE5070">
        <w:t>El resto de las áreas externas no fueron consideradas dentro de esta caracterización debido a la inexistencia de agricultura de riego.</w:t>
      </w:r>
    </w:p>
    <w:p w:rsidR="007853F0" w:rsidRPr="00AE5070" w:rsidRDefault="007853F0" w:rsidP="00B51B51">
      <w:pPr>
        <w:widowControl w:val="0"/>
      </w:pPr>
    </w:p>
    <w:p w:rsidR="007853F0" w:rsidRPr="00AE5070" w:rsidRDefault="007853F0" w:rsidP="00B51B51">
      <w:pPr>
        <w:widowControl w:val="0"/>
      </w:pPr>
      <w:r w:rsidRPr="00AE5070">
        <w:t>De acuerdo a lo anterior</w:t>
      </w:r>
      <w:r w:rsidR="005A79DA">
        <w:t>,</w:t>
      </w:r>
      <w:r w:rsidRPr="00AE5070">
        <w:t xml:space="preserve"> en </w:t>
      </w:r>
      <w:smartTag w:uri="urn:schemas-microsoft-com:office:smarttags" w:element="PersonName">
        <w:smartTagPr>
          <w:attr w:name="ProductID" w:val="la ￼￼￼￼￼￼￼￼￼￼￼￼￼￼￼￼￼￼￼￼￼￼￼￼￼￼￼￼￼￼￼￼￼￼￼￼￼￼￼￼￼Tabla"/>
        </w:smartTagPr>
        <w:r w:rsidRPr="00AE5070">
          <w:t xml:space="preserve">la </w:t>
        </w:r>
        <w:r w:rsidRPr="00AE5070">
          <w:fldChar w:fldCharType="begin"/>
        </w:r>
        <w:r w:rsidRPr="00AE5070">
          <w:instrText xml:space="preserve"> REF _Ref338145905 \h </w:instrText>
        </w:r>
        <w:r w:rsidRPr="00AE5070">
          <w:instrText xml:space="preserve"> \* MERGEFORMAT </w:instrText>
        </w:r>
        <w:r w:rsidRPr="00AE5070">
          <w:fldChar w:fldCharType="separate"/>
        </w:r>
        <w:r w:rsidR="00264070" w:rsidRPr="00AE5070">
          <w:t>Tabla</w:t>
        </w:r>
      </w:smartTag>
      <w:r w:rsidR="00264070" w:rsidRPr="00AE5070">
        <w:t xml:space="preserve"> </w:t>
      </w:r>
      <w:r w:rsidR="00264070">
        <w:rPr>
          <w:noProof/>
        </w:rPr>
        <w:t>8.9</w:t>
      </w:r>
      <w:r w:rsidRPr="00AE5070">
        <w:fldChar w:fldCharType="end"/>
      </w:r>
      <w:r w:rsidRPr="00AE5070">
        <w:t xml:space="preserve"> se observan las superficies actualmente regadas y las respectivas demandas totales por subcuenca y mes.</w:t>
      </w:r>
    </w:p>
    <w:p w:rsidR="007853F0" w:rsidRPr="00AE5070" w:rsidRDefault="007853F0" w:rsidP="00B51B51">
      <w:pPr>
        <w:widowControl w:val="0"/>
      </w:pPr>
    </w:p>
    <w:p w:rsidR="007853F0" w:rsidRPr="00AE5070" w:rsidRDefault="007853F0" w:rsidP="00B51B51">
      <w:pPr>
        <w:pStyle w:val="Epgrafe"/>
        <w:widowControl w:val="0"/>
      </w:pPr>
      <w:bookmarkStart w:id="474" w:name="_Ref338145905"/>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9</w:t>
      </w:r>
      <w:r w:rsidR="007F3102">
        <w:fldChar w:fldCharType="end"/>
      </w:r>
      <w:bookmarkEnd w:id="474"/>
      <w:r w:rsidRPr="00AE5070">
        <w:t xml:space="preserve"> Demandas Actuales de Riego VI Región</w:t>
      </w:r>
    </w:p>
    <w:p w:rsidR="007853F0" w:rsidRPr="00AE5070" w:rsidRDefault="00254CE2" w:rsidP="00B51B51">
      <w:pPr>
        <w:widowControl w:val="0"/>
        <w:rPr>
          <w:b/>
        </w:rPr>
      </w:pPr>
      <w:r>
        <w:rPr>
          <w:noProof/>
          <w:lang w:val="es-CL" w:eastAsia="es-CL"/>
        </w:rPr>
        <w:drawing>
          <wp:inline distT="0" distB="0" distL="0" distR="0">
            <wp:extent cx="5837555" cy="1924685"/>
            <wp:effectExtent l="0" t="0" r="0" b="0"/>
            <wp:docPr id="2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37555" cy="1924685"/>
                    </a:xfrm>
                    <a:prstGeom prst="rect">
                      <a:avLst/>
                    </a:prstGeom>
                    <a:noFill/>
                    <a:ln>
                      <a:noFill/>
                    </a:ln>
                  </pic:spPr>
                </pic:pic>
              </a:graphicData>
            </a:graphic>
          </wp:inline>
        </w:drawing>
      </w:r>
    </w:p>
    <w:p w:rsidR="007853F0" w:rsidRPr="00AE5070" w:rsidRDefault="007853F0" w:rsidP="00B51B51">
      <w:pPr>
        <w:widowControl w:val="0"/>
      </w:pPr>
    </w:p>
    <w:p w:rsidR="007853F0" w:rsidRPr="00AE5070" w:rsidRDefault="007853F0" w:rsidP="00B51B51">
      <w:pPr>
        <w:widowControl w:val="0"/>
      </w:pPr>
      <w:r w:rsidRPr="00AE5070">
        <w:t>Al respecto, en la tabla recién indicada se puede apreciar una demanda bruta para el total d</w:t>
      </w:r>
      <w:r w:rsidR="005A79DA">
        <w:t xml:space="preserve">e </w:t>
      </w:r>
      <w:smartTag w:uri="urn:schemas-microsoft-com:office:smarttags" w:element="PersonName">
        <w:smartTagPr>
          <w:attr w:name="ProductID" w:val="la VI Región"/>
        </w:smartTagPr>
        <w:r w:rsidR="005A79DA">
          <w:t>la</w:t>
        </w:r>
        <w:r w:rsidRPr="00AE5070">
          <w:t xml:space="preserve"> VI Región</w:t>
        </w:r>
      </w:smartTag>
      <w:r w:rsidRPr="00AE5070">
        <w:t xml:space="preserve"> del Libertado</w:t>
      </w:r>
      <w:r w:rsidR="005A79DA">
        <w:t>r Bernardo O’Higgins de 2.139,8 millones de m</w:t>
      </w:r>
      <w:r w:rsidR="005A79DA">
        <w:rPr>
          <w:vertAlign w:val="superscript"/>
        </w:rPr>
        <w:t>3</w:t>
      </w:r>
      <w:r w:rsidRPr="00AE5070">
        <w:t>, con un mes de máxima demanda en enero con 2.005 m</w:t>
      </w:r>
      <w:r w:rsidRPr="00AE5070">
        <w:rPr>
          <w:vertAlign w:val="superscript"/>
        </w:rPr>
        <w:t>3</w:t>
      </w:r>
      <w:r w:rsidR="00744787">
        <w:t>/ha</w:t>
      </w:r>
      <w:r w:rsidRPr="00AE5070">
        <w:t>. Considerando las áreas externas, la demanda bruta total al</w:t>
      </w:r>
      <w:r w:rsidR="00141332">
        <w:t>canza los 2.248,5 millones de m</w:t>
      </w:r>
      <w:r w:rsidR="00141332">
        <w:rPr>
          <w:vertAlign w:val="superscript"/>
        </w:rPr>
        <w:t>3</w:t>
      </w:r>
      <w:r w:rsidRPr="00AE5070">
        <w:t>.</w:t>
      </w:r>
    </w:p>
    <w:p w:rsidR="007853F0" w:rsidRPr="00AE5070" w:rsidRDefault="007853F0" w:rsidP="00B51B51">
      <w:pPr>
        <w:widowControl w:val="0"/>
      </w:pPr>
    </w:p>
    <w:p w:rsidR="007853F0" w:rsidRPr="00AE5070" w:rsidRDefault="007853F0" w:rsidP="00B51B51">
      <w:pPr>
        <w:widowControl w:val="0"/>
      </w:pPr>
      <w:r w:rsidRPr="00AE5070">
        <w:lastRenderedPageBreak/>
        <w:t>En cuanto a la demanda proyectada al año 2030, primero con el propósito de estimar el uso futuro y potencial agropecuario en cada subcuenca, fue necesario considerar una serie de factores que influyen, tanto positiva como negativamente, en las proyecciones de cada sector.</w:t>
      </w:r>
    </w:p>
    <w:p w:rsidR="007853F0" w:rsidRPr="00AE5070" w:rsidRDefault="007853F0" w:rsidP="00B51B51">
      <w:pPr>
        <w:widowControl w:val="0"/>
      </w:pPr>
    </w:p>
    <w:p w:rsidR="007853F0" w:rsidRPr="00AE5070" w:rsidRDefault="007853F0" w:rsidP="00B51B51">
      <w:pPr>
        <w:widowControl w:val="0"/>
      </w:pPr>
      <w:r w:rsidRPr="00AE5070">
        <w:t xml:space="preserve">De esta forma se han considerado las condiciones de mercado y perspectivas de los cultivos, concluyendo que las subcuencas de </w:t>
      </w:r>
      <w:smartTag w:uri="urn:schemas-microsoft-com:office:smarttags" w:element="PersonName">
        <w:smartTagPr>
          <w:attr w:name="ProductID" w:val="la VI Región"/>
        </w:smartTagPr>
        <w:r w:rsidRPr="00AE5070">
          <w:t>la VI Región</w:t>
        </w:r>
      </w:smartTag>
      <w:r w:rsidRPr="00AE5070">
        <w:t xml:space="preserve"> tienen fuertes ventajas comparativas en relación al sur del país, en la producción de primores (hortalizas) y en las condiciones climáticas favorables que propician una actividad frutícola de exportación.</w:t>
      </w:r>
    </w:p>
    <w:p w:rsidR="007853F0" w:rsidRPr="00AE5070" w:rsidRDefault="007853F0" w:rsidP="00B51B51">
      <w:pPr>
        <w:widowControl w:val="0"/>
      </w:pPr>
    </w:p>
    <w:p w:rsidR="007853F0" w:rsidRPr="00AE5070" w:rsidRDefault="007853F0" w:rsidP="00B51B51">
      <w:pPr>
        <w:widowControl w:val="0"/>
      </w:pPr>
      <w:r w:rsidRPr="00AE5070">
        <w:t>Se ha proyectado la actividad agrícola principalmente en base a cultivos hortícolas y frutícolas, de acuerdo a la actual estructura productiva de cada una de las subcuencas.</w:t>
      </w:r>
    </w:p>
    <w:p w:rsidR="007853F0" w:rsidRPr="00AE5070" w:rsidRDefault="007853F0" w:rsidP="00B51B51">
      <w:pPr>
        <w:widowControl w:val="0"/>
      </w:pPr>
    </w:p>
    <w:p w:rsidR="007853F0" w:rsidRPr="00AE5070" w:rsidRDefault="007853F0" w:rsidP="00B51B51">
      <w:pPr>
        <w:widowControl w:val="0"/>
      </w:pPr>
      <w:r w:rsidRPr="00AE5070">
        <w:t xml:space="preserve">Por otra parte, se debe señalar que según lo planteado en </w:t>
      </w:r>
      <w:smartTag w:uri="urn:schemas-microsoft-com:office:smarttags" w:element="PersonName">
        <w:smartTagPr>
          <w:attr w:name="ProductID" w:val="la Política"/>
        </w:smartTagPr>
        <w:r w:rsidRPr="00AE5070">
          <w:t>la Política</w:t>
        </w:r>
      </w:smartTag>
      <w:r w:rsidRPr="00AE5070">
        <w:t xml:space="preserve"> de Estado para </w:t>
      </w:r>
      <w:smartTag w:uri="urn:schemas-microsoft-com:office:smarttags" w:element="PersonName">
        <w:smartTagPr>
          <w:attr w:name="ProductID" w:val="la Agricultura Chilena"/>
        </w:smartTagPr>
        <w:r w:rsidRPr="00AE5070">
          <w:t>la Agricultura Chilena</w:t>
        </w:r>
      </w:smartTag>
      <w:r w:rsidRPr="00AE5070">
        <w:t>, en estas áreas se debe poner especial énfasis en la tecnificación del riego. De esta forma se ha propuesto el 100% de tecnificación en frutales con sistemas presurizados y en 50% de la superficie de hortalizas y papa, con cuyo ahorro de agua se ha estimado un aumento del área de riego en estas mismas especies, manteniéndose de esta manera las necesidades de riego determinadas situación actual.</w:t>
      </w:r>
    </w:p>
    <w:p w:rsidR="007853F0" w:rsidRPr="00AE5070" w:rsidRDefault="007853F0" w:rsidP="00B51B51">
      <w:pPr>
        <w:widowControl w:val="0"/>
      </w:pPr>
    </w:p>
    <w:p w:rsidR="007853F0" w:rsidRPr="00AE5070" w:rsidRDefault="007853F0" w:rsidP="00B51B51">
      <w:pPr>
        <w:widowControl w:val="0"/>
      </w:pPr>
      <w:r w:rsidRPr="00AE5070">
        <w:t xml:space="preserve">En aquellos casos específicos en que se cuenta con proyectos de riego definidos por el Estado con seguridad de ser construidos o ya se encuentran funcionando, se han proyectado las nuevas superficies factibles de ser incorporadas a riego. Para </w:t>
      </w:r>
      <w:smartTag w:uri="urn:schemas-microsoft-com:office:smarttags" w:element="PersonName">
        <w:smartTagPr>
          <w:attr w:name="ProductID" w:val="la VI Región"/>
        </w:smartTagPr>
        <w:r w:rsidRPr="00AE5070">
          <w:t>la VI Región</w:t>
        </w:r>
      </w:smartTag>
      <w:r w:rsidRPr="00AE5070">
        <w:t xml:space="preserve"> se cuenta con los siguientes proyectos de obras de riego:</w:t>
      </w:r>
    </w:p>
    <w:p w:rsidR="007853F0" w:rsidRPr="00AE5070" w:rsidRDefault="007853F0" w:rsidP="00B51B51">
      <w:pPr>
        <w:widowControl w:val="0"/>
      </w:pPr>
    </w:p>
    <w:p w:rsidR="007853F0" w:rsidRPr="00AE5070" w:rsidRDefault="007853F0" w:rsidP="00B51B51">
      <w:pPr>
        <w:widowControl w:val="0"/>
      </w:pPr>
      <w:r w:rsidRPr="00AE5070">
        <w:t xml:space="preserve">Embalse Convento Viejo, Etapa 2, VI Región: En la subcuenca 0613 de Nilahue se debe incorporar al riego </w:t>
      </w:r>
      <w:smartTag w:uri="urn:schemas-microsoft-com:office:smarttags" w:element="metricconverter">
        <w:smartTagPr>
          <w:attr w:name="ProductID" w:val="18.600 ha"/>
        </w:smartTagPr>
        <w:r w:rsidRPr="00AE5070">
          <w:t>18.600 ha</w:t>
        </w:r>
      </w:smartTag>
      <w:r w:rsidRPr="00AE5070">
        <w:t xml:space="preserve"> actualmente de secano. En la subcuenca 0603 se deben incorporar </w:t>
      </w:r>
      <w:smartTag w:uri="urn:schemas-microsoft-com:office:smarttags" w:element="metricconverter">
        <w:smartTagPr>
          <w:attr w:name="ProductID" w:val="14.300 ha"/>
        </w:smartTagPr>
        <w:r w:rsidRPr="00AE5070">
          <w:t>14.300 ha</w:t>
        </w:r>
      </w:smartTag>
      <w:r w:rsidRPr="00AE5070">
        <w:t xml:space="preserve"> correspondientes a rinconadas ubicadas sobre cota de los canales existentes y actualmente en condiciones hídricas de secano.</w:t>
      </w:r>
    </w:p>
    <w:p w:rsidR="007853F0" w:rsidRPr="00AE5070" w:rsidRDefault="007853F0" w:rsidP="00B51B51">
      <w:pPr>
        <w:widowControl w:val="0"/>
      </w:pPr>
    </w:p>
    <w:p w:rsidR="007853F0" w:rsidRPr="00AE5070" w:rsidRDefault="007853F0" w:rsidP="00B51B51">
      <w:pPr>
        <w:widowControl w:val="0"/>
      </w:pPr>
      <w:r w:rsidRPr="00AE5070">
        <w:t xml:space="preserve">Proyecto Embalse en Río Claro de Rengo: Este estudio, actualmente en ejecución en </w:t>
      </w:r>
      <w:smartTag w:uri="urn:schemas-microsoft-com:office:smarttags" w:element="PersonName">
        <w:smartTagPr>
          <w:attr w:name="ProductID" w:val="la Comisión Nacional"/>
        </w:smartTagPr>
        <w:r w:rsidRPr="00AE5070">
          <w:t>la Comisión Nacional</w:t>
        </w:r>
      </w:smartTag>
      <w:r w:rsidRPr="00AE5070">
        <w:t xml:space="preserve"> de Riego estima la incorporación al riego de </w:t>
      </w:r>
      <w:smartTag w:uri="urn:schemas-microsoft-com:office:smarttags" w:element="metricconverter">
        <w:smartTagPr>
          <w:attr w:name="ProductID" w:val="1.040 ha"/>
        </w:smartTagPr>
        <w:r w:rsidRPr="00AE5070">
          <w:t>1.040 ha</w:t>
        </w:r>
      </w:smartTag>
      <w:r w:rsidRPr="00AE5070">
        <w:t xml:space="preserve"> actualmente de secano en la subcuenca 0601, además del mejoramiento del riego de las </w:t>
      </w:r>
      <w:smartTag w:uri="urn:schemas-microsoft-com:office:smarttags" w:element="metricconverter">
        <w:smartTagPr>
          <w:attr w:name="ProductID" w:val="5.700 ha"/>
        </w:smartTagPr>
        <w:r w:rsidRPr="00AE5070">
          <w:t>5.700 ha</w:t>
        </w:r>
      </w:smartTag>
      <w:r w:rsidRPr="00AE5070">
        <w:t xml:space="preserve"> que actualmente son regadas en la comuna de Rengo.</w:t>
      </w:r>
    </w:p>
    <w:p w:rsidR="007853F0" w:rsidRPr="00AE5070" w:rsidRDefault="007853F0" w:rsidP="00B51B51">
      <w:pPr>
        <w:widowControl w:val="0"/>
      </w:pPr>
    </w:p>
    <w:p w:rsidR="007853F0" w:rsidRPr="00AE5070" w:rsidRDefault="007853F0" w:rsidP="00B51B51">
      <w:pPr>
        <w:widowControl w:val="0"/>
      </w:pPr>
      <w:r w:rsidRPr="00AE5070">
        <w:t xml:space="preserve">Mejoramiento Canal Almahue: Estudio llevado en la actualidad por </w:t>
      </w:r>
      <w:smartTag w:uri="urn:schemas-microsoft-com:office:smarttags" w:element="PersonName">
        <w:smartTagPr>
          <w:attr w:name="ProductID" w:val="la Dirección"/>
        </w:smartTagPr>
        <w:r w:rsidRPr="00AE5070">
          <w:t>la Dirección</w:t>
        </w:r>
      </w:smartTag>
      <w:r w:rsidRPr="00AE5070">
        <w:t xml:space="preserve"> de Obras Hidráulicas, espera incorporar al riego alrededor de nuevas </w:t>
      </w:r>
      <w:smartTag w:uri="urn:schemas-microsoft-com:office:smarttags" w:element="metricconverter">
        <w:smartTagPr>
          <w:attr w:name="ProductID" w:val="2.750 ha"/>
        </w:smartTagPr>
        <w:r w:rsidRPr="00AE5070">
          <w:t>2.750 ha</w:t>
        </w:r>
      </w:smartTag>
      <w:r w:rsidRPr="00AE5070">
        <w:t xml:space="preserve"> en la comuna de Pichidehua, subcuenca 0601, actualmente de secano y mejorar el riego a </w:t>
      </w:r>
      <w:smartTag w:uri="urn:schemas-microsoft-com:office:smarttags" w:element="metricconverter">
        <w:smartTagPr>
          <w:attr w:name="ProductID" w:val="6.883 ha"/>
        </w:smartTagPr>
        <w:r w:rsidRPr="00AE5070">
          <w:t>6.883 ha</w:t>
        </w:r>
      </w:smartTag>
      <w:r w:rsidRPr="00AE5070">
        <w:t xml:space="preserve">. </w:t>
      </w:r>
    </w:p>
    <w:p w:rsidR="007853F0" w:rsidRPr="00AE5070" w:rsidRDefault="007853F0" w:rsidP="00B51B51">
      <w:pPr>
        <w:widowControl w:val="0"/>
      </w:pPr>
    </w:p>
    <w:p w:rsidR="007853F0" w:rsidRPr="00AE5070" w:rsidRDefault="007853F0" w:rsidP="00B51B51">
      <w:pPr>
        <w:widowControl w:val="0"/>
      </w:pPr>
      <w:r w:rsidRPr="00AE5070">
        <w:t xml:space="preserve">Embalse El Parrón: en el caso del área externa de </w:t>
      </w:r>
      <w:smartTag w:uri="urn:schemas-microsoft-com:office:smarttags" w:element="PersonName">
        <w:smartTagPr>
          <w:attr w:name="ProductID" w:val="la VI Región"/>
        </w:smartTagPr>
        <w:r w:rsidRPr="00AE5070">
          <w:t>la VI Región</w:t>
        </w:r>
      </w:smartTag>
      <w:r w:rsidRPr="00AE5070">
        <w:t xml:space="preserve"> denominado Parrón/Cobre, actualmente </w:t>
      </w:r>
      <w:smartTag w:uri="urn:schemas-microsoft-com:office:smarttags" w:element="PersonName">
        <w:smartTagPr>
          <w:attr w:name="ProductID" w:val="la Dirección"/>
        </w:smartTagPr>
        <w:r w:rsidRPr="00AE5070">
          <w:t>la Dirección</w:t>
        </w:r>
      </w:smartTag>
      <w:r w:rsidRPr="00AE5070">
        <w:t xml:space="preserve"> de Obras Hidráulicas está estudiando la construcción del embalse El Parrón, para la incorporación de </w:t>
      </w:r>
      <w:smartTag w:uri="urn:schemas-microsoft-com:office:smarttags" w:element="metricconverter">
        <w:smartTagPr>
          <w:attr w:name="ProductID" w:val="1.700 ha"/>
        </w:smartTagPr>
        <w:r w:rsidRPr="00AE5070">
          <w:t>1.700 ha</w:t>
        </w:r>
      </w:smartTag>
      <w:r w:rsidRPr="00AE5070">
        <w:t xml:space="preserve"> al riego, en una zona que en la actualidad es prácticamente de secano.</w:t>
      </w:r>
    </w:p>
    <w:p w:rsidR="007853F0" w:rsidRPr="00AE5070" w:rsidRDefault="007853F0" w:rsidP="00B51B51">
      <w:pPr>
        <w:widowControl w:val="0"/>
      </w:pPr>
    </w:p>
    <w:p w:rsidR="007853F0" w:rsidRPr="00AE5070" w:rsidRDefault="007853F0" w:rsidP="00B51B51">
      <w:pPr>
        <w:widowControl w:val="0"/>
      </w:pPr>
      <w:r w:rsidRPr="00AE5070">
        <w:t>En estos casos se ha procedido a adicionar en las subcuencas correspondientes las nuevas superficies de riego requeridas para completar las superficies indicadas de cada proyecto. Cabe señalar que las superficies determinadas por aumento de la eficiencia de riego son adicionales a las indicadas.</w:t>
      </w:r>
    </w:p>
    <w:p w:rsidR="007853F0" w:rsidRDefault="007853F0" w:rsidP="00B51B51">
      <w:pPr>
        <w:widowControl w:val="0"/>
      </w:pPr>
    </w:p>
    <w:p w:rsidR="003155DE" w:rsidRPr="00AE5070" w:rsidRDefault="003155DE" w:rsidP="00B51B51">
      <w:pPr>
        <w:widowControl w:val="0"/>
      </w:pPr>
    </w:p>
    <w:p w:rsidR="007853F0" w:rsidRPr="00AE5070" w:rsidRDefault="007853F0" w:rsidP="00B51B51">
      <w:pPr>
        <w:widowControl w:val="0"/>
      </w:pPr>
      <w:r w:rsidRPr="00AE5070">
        <w:lastRenderedPageBreak/>
        <w:t xml:space="preserve">Según lo anterior se han determinado la superficie total de riego proyectado al año 2030 y las respectivas demandas brutas de agua para cada una de las subcuencas, información que se presenta en </w:t>
      </w:r>
      <w:smartTag w:uri="urn:schemas-microsoft-com:office:smarttags" w:element="PersonName">
        <w:smartTagPr>
          <w:attr w:name="ProductID" w:val="la ￼￼￼￼￼￼￼￼￼￼￼￼￼￼￼￼￼￼￼￼￼￼￼￼￼￼￼￼￼￼￼￼￼￼￼￼￼￼￼￼￼Tabla"/>
        </w:smartTagPr>
        <w:r w:rsidRPr="00AE5070">
          <w:t xml:space="preserve">la </w:t>
        </w:r>
        <w:r w:rsidRPr="00AE5070">
          <w:fldChar w:fldCharType="begin"/>
        </w:r>
        <w:r w:rsidRPr="00AE5070">
          <w:instrText xml:space="preserve"> REF _Ref338146132 \h </w:instrText>
        </w:r>
        <w:r w:rsidRPr="00AE5070">
          <w:instrText xml:space="preserve"> \* MERGEFORMAT </w:instrText>
        </w:r>
        <w:r w:rsidRPr="00AE5070">
          <w:fldChar w:fldCharType="separate"/>
        </w:r>
        <w:r w:rsidR="00264070" w:rsidRPr="00AE5070">
          <w:t>Tabla</w:t>
        </w:r>
      </w:smartTag>
      <w:r w:rsidR="00264070" w:rsidRPr="00AE5070">
        <w:t xml:space="preserve"> </w:t>
      </w:r>
      <w:r w:rsidR="00264070">
        <w:rPr>
          <w:noProof/>
        </w:rPr>
        <w:t>8.10</w:t>
      </w:r>
      <w:r w:rsidRPr="00AE5070">
        <w:fldChar w:fldCharType="end"/>
      </w:r>
      <w:r w:rsidRPr="00AE5070">
        <w:t>.</w:t>
      </w:r>
    </w:p>
    <w:p w:rsidR="007853F0" w:rsidRPr="00AE5070" w:rsidRDefault="007853F0" w:rsidP="00B51B51">
      <w:pPr>
        <w:widowControl w:val="0"/>
      </w:pPr>
      <w:r w:rsidRPr="00AE5070">
        <w:t>.</w:t>
      </w:r>
    </w:p>
    <w:p w:rsidR="007853F0" w:rsidRPr="00AE5070" w:rsidRDefault="007853F0" w:rsidP="00B51B51">
      <w:pPr>
        <w:widowControl w:val="0"/>
      </w:pPr>
      <w:r w:rsidRPr="00AE5070">
        <w:t xml:space="preserve">Al respecto, en la tabla indicada se puede apreciar la demanda bruta proyectada al año 2030 para el total de </w:t>
      </w:r>
      <w:smartTag w:uri="urn:schemas-microsoft-com:office:smarttags" w:element="PersonName">
        <w:smartTagPr>
          <w:attr w:name="ProductID" w:val="la VI Región"/>
        </w:smartTagPr>
        <w:r w:rsidRPr="00AE5070">
          <w:t>la VI Región</w:t>
        </w:r>
      </w:smartTag>
      <w:r w:rsidRPr="00AE5070">
        <w:t xml:space="preserve"> alcanza a los 2.251,3 millones de m</w:t>
      </w:r>
      <w:r w:rsidRPr="00AE5070">
        <w:rPr>
          <w:vertAlign w:val="superscript"/>
        </w:rPr>
        <w:t>3</w:t>
      </w:r>
      <w:r w:rsidRPr="00AE5070">
        <w:t>, con un mes de máxima demanda en enero con 1.367 m</w:t>
      </w:r>
      <w:r w:rsidRPr="00AE5070">
        <w:rPr>
          <w:vertAlign w:val="superscript"/>
        </w:rPr>
        <w:t>3</w:t>
      </w:r>
      <w:r w:rsidR="00744787">
        <w:t>/ha</w:t>
      </w:r>
      <w:r w:rsidRPr="00AE5070">
        <w:t>.</w:t>
      </w:r>
    </w:p>
    <w:p w:rsidR="007853F0" w:rsidRPr="00AE5070" w:rsidRDefault="007853F0" w:rsidP="00B51B51">
      <w:pPr>
        <w:widowControl w:val="0"/>
      </w:pPr>
    </w:p>
    <w:p w:rsidR="00303BB4" w:rsidRPr="00AE5070" w:rsidRDefault="007853F0" w:rsidP="00B51B51">
      <w:pPr>
        <w:widowControl w:val="0"/>
      </w:pPr>
      <w:r w:rsidRPr="00AE5070">
        <w:t>Considerando las áreas externas, la demanda bruta total proyectada alcanza los 2.370 millones de m</w:t>
      </w:r>
      <w:r w:rsidRPr="00AE5070">
        <w:rPr>
          <w:vertAlign w:val="superscript"/>
        </w:rPr>
        <w:t>3</w:t>
      </w:r>
      <w:r w:rsidRPr="00AE5070">
        <w:t>.</w:t>
      </w:r>
    </w:p>
    <w:p w:rsidR="00303BB4" w:rsidRPr="00AE5070" w:rsidRDefault="00303BB4" w:rsidP="00B51B51">
      <w:pPr>
        <w:widowControl w:val="0"/>
      </w:pPr>
    </w:p>
    <w:p w:rsidR="007853F0" w:rsidRPr="00AE5070" w:rsidRDefault="007853F0" w:rsidP="00B51B51">
      <w:pPr>
        <w:pStyle w:val="Epgrafe"/>
        <w:widowControl w:val="0"/>
      </w:pPr>
      <w:bookmarkStart w:id="475" w:name="_Ref338146132"/>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10</w:t>
      </w:r>
      <w:r w:rsidR="007F3102">
        <w:fldChar w:fldCharType="end"/>
      </w:r>
      <w:bookmarkEnd w:id="475"/>
      <w:r w:rsidRPr="00AE5070">
        <w:t xml:space="preserve"> Demandas Proyectadas de Riego VI Región</w:t>
      </w:r>
    </w:p>
    <w:p w:rsidR="007853F0" w:rsidRPr="00AE5070" w:rsidRDefault="00254CE2" w:rsidP="00B51B51">
      <w:pPr>
        <w:widowControl w:val="0"/>
        <w:rPr>
          <w:b/>
        </w:rPr>
      </w:pPr>
      <w:r>
        <w:rPr>
          <w:noProof/>
          <w:lang w:val="es-CL" w:eastAsia="es-CL"/>
        </w:rPr>
        <w:drawing>
          <wp:inline distT="0" distB="0" distL="0" distR="0">
            <wp:extent cx="5826760" cy="1903095"/>
            <wp:effectExtent l="0" t="0" r="2540" b="1905"/>
            <wp:docPr id="2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26760" cy="1903095"/>
                    </a:xfrm>
                    <a:prstGeom prst="rect">
                      <a:avLst/>
                    </a:prstGeom>
                    <a:noFill/>
                    <a:ln>
                      <a:noFill/>
                    </a:ln>
                  </pic:spPr>
                </pic:pic>
              </a:graphicData>
            </a:graphic>
          </wp:inline>
        </w:drawing>
      </w:r>
    </w:p>
    <w:p w:rsidR="007853F0" w:rsidRPr="00AE5070" w:rsidRDefault="007853F0" w:rsidP="00B51B51">
      <w:pPr>
        <w:pStyle w:val="Ttulo4Ttulo4"/>
        <w:keepNext w:val="0"/>
        <w:widowControl w:val="0"/>
      </w:pPr>
      <w:bookmarkStart w:id="476" w:name="_Toc338415021"/>
      <w:bookmarkStart w:id="477" w:name="_Toc344391867"/>
      <w:r w:rsidRPr="00AE5070">
        <w:t>Agua Potable</w:t>
      </w:r>
      <w:bookmarkEnd w:id="476"/>
      <w:bookmarkEnd w:id="477"/>
    </w:p>
    <w:p w:rsidR="007853F0" w:rsidRPr="00AE5070" w:rsidRDefault="007853F0" w:rsidP="00B51B51">
      <w:pPr>
        <w:widowControl w:val="0"/>
      </w:pPr>
    </w:p>
    <w:p w:rsidR="007853F0" w:rsidRPr="00AE5070" w:rsidRDefault="007853F0" w:rsidP="00B51B51">
      <w:pPr>
        <w:widowControl w:val="0"/>
      </w:pPr>
      <w:r w:rsidRPr="00AE5070">
        <w:t>La estimación de las demandas para el uso agua potable consideró tanto aquella que se genera en las áreas urbanas como rurales, teniendo como base la revisión de los Planes de Desarrollo de las empresas sanitarias y los Sistemas de Agua Potable Rural con los cuales fue posible estimar las demandas para la situación actual como futura.</w:t>
      </w:r>
    </w:p>
    <w:p w:rsidR="007853F0" w:rsidRPr="00AE5070" w:rsidRDefault="007853F0" w:rsidP="00B51B51">
      <w:pPr>
        <w:widowControl w:val="0"/>
      </w:pPr>
    </w:p>
    <w:p w:rsidR="007853F0" w:rsidRPr="00AE5070" w:rsidRDefault="007853F0" w:rsidP="00B51B51">
      <w:pPr>
        <w:widowControl w:val="0"/>
      </w:pPr>
      <w:r w:rsidRPr="00AE5070">
        <w:t>En el caso particular de las demandas de agua potable asociadas a empresas sanitarias la demanda actual se estimó considerando la producción media de cada uno de los sistemas y los caudales de explotación de las captaciones al año 2010.</w:t>
      </w:r>
    </w:p>
    <w:p w:rsidR="007853F0" w:rsidRPr="00AE5070" w:rsidRDefault="007853F0" w:rsidP="00B51B51">
      <w:pPr>
        <w:widowControl w:val="0"/>
      </w:pPr>
    </w:p>
    <w:p w:rsidR="007853F0" w:rsidRPr="00AE5070" w:rsidRDefault="007853F0" w:rsidP="00B51B51">
      <w:pPr>
        <w:widowControl w:val="0"/>
      </w:pPr>
      <w:r w:rsidRPr="00AE5070">
        <w:t xml:space="preserve">A objeto de obtener un valor del caudal de producción de cada una de las captaciones, la producción media anual se desglosó por captación (en operación), calculando el porcentaje de cada una de las captaciones en función de los caudales de explotación actual que se informa en </w:t>
      </w:r>
      <w:smartTag w:uri="urn:schemas-microsoft-com:office:smarttags" w:element="PersonName">
        <w:smartTagPr>
          <w:attr w:name="ProductID" w:val="la Ficha"/>
        </w:smartTagPr>
        <w:r w:rsidRPr="00AE5070">
          <w:t>la Ficha</w:t>
        </w:r>
      </w:smartTag>
      <w:r w:rsidRPr="00AE5070">
        <w:t xml:space="preserve"> de Antecedentes Técnicos (FAT) que se incluye en el documento de Planes de Desarrollo.</w:t>
      </w:r>
    </w:p>
    <w:p w:rsidR="007853F0" w:rsidRPr="00AE5070" w:rsidRDefault="007853F0" w:rsidP="00B51B51">
      <w:pPr>
        <w:widowControl w:val="0"/>
      </w:pPr>
    </w:p>
    <w:p w:rsidR="007853F0" w:rsidRPr="00AE5070" w:rsidRDefault="007853F0" w:rsidP="00B51B51">
      <w:pPr>
        <w:widowControl w:val="0"/>
      </w:pPr>
      <w:r w:rsidRPr="00AE5070">
        <w:t>El porcentaje anterior se aplicó a la producción media anual de cada sistema, obteniendo así la producción de cada una de las captaciones que son parte del sistema que se analiza.</w:t>
      </w:r>
    </w:p>
    <w:p w:rsidR="007853F0" w:rsidRPr="00AE5070" w:rsidRDefault="007853F0" w:rsidP="00B51B51">
      <w:pPr>
        <w:widowControl w:val="0"/>
      </w:pPr>
    </w:p>
    <w:p w:rsidR="007853F0" w:rsidRPr="00AE5070" w:rsidRDefault="007853F0" w:rsidP="00B51B51">
      <w:pPr>
        <w:widowControl w:val="0"/>
      </w:pPr>
      <w:r w:rsidRPr="00AE5070">
        <w:t>Dichas producciones fueron interpoladas (año 2012) y extrapoladas (año 2030) usando una función lineal con los datos disponibles entre el año 2010 y 2020 del Plan de Desarrollo respectivo.</w:t>
      </w:r>
    </w:p>
    <w:p w:rsidR="007853F0" w:rsidRDefault="007853F0" w:rsidP="00B51B51">
      <w:pPr>
        <w:widowControl w:val="0"/>
        <w:rPr>
          <w:lang w:val="es-ES_tradnl"/>
        </w:rPr>
      </w:pPr>
    </w:p>
    <w:p w:rsidR="003155DE" w:rsidRPr="00AE5070" w:rsidRDefault="003155DE" w:rsidP="00B51B51">
      <w:pPr>
        <w:widowControl w:val="0"/>
        <w:rPr>
          <w:lang w:val="es-ES_tradnl"/>
        </w:rPr>
      </w:pPr>
    </w:p>
    <w:p w:rsidR="007853F0" w:rsidRPr="00AE5070" w:rsidRDefault="007853F0" w:rsidP="00B51B51">
      <w:pPr>
        <w:widowControl w:val="0"/>
      </w:pPr>
      <w:r w:rsidRPr="00AE5070">
        <w:lastRenderedPageBreak/>
        <w:t>En tanto para la demanda de agua potable rural, dado que la información se encuentra actualizada al año 2010, esta fue proyectada al año 2012 determinándose la población abastecida suponiendo una tasa de crecimiento anual de un 2% de la población y una dotación de 120 l/hab/dia.</w:t>
      </w:r>
    </w:p>
    <w:p w:rsidR="007853F0" w:rsidRPr="00AE5070" w:rsidRDefault="007853F0" w:rsidP="00B51B51">
      <w:pPr>
        <w:widowControl w:val="0"/>
      </w:pPr>
    </w:p>
    <w:p w:rsidR="007853F0" w:rsidRPr="00AE5070" w:rsidRDefault="007853F0" w:rsidP="00B51B51">
      <w:pPr>
        <w:widowControl w:val="0"/>
      </w:pPr>
      <w:r w:rsidRPr="00AE5070">
        <w:t>Para la estimación de la demanda futura, se adoptó igual procedimiento.</w:t>
      </w:r>
    </w:p>
    <w:p w:rsidR="007853F0" w:rsidRPr="00AE5070" w:rsidRDefault="007853F0" w:rsidP="00B51B51">
      <w:pPr>
        <w:widowControl w:val="0"/>
      </w:pPr>
    </w:p>
    <w:p w:rsidR="007853F0" w:rsidRPr="00AE5070" w:rsidRDefault="007853F0" w:rsidP="00B51B51">
      <w:pPr>
        <w:widowControl w:val="0"/>
      </w:pPr>
      <w:r w:rsidRPr="00AE5070">
        <w:t>En las Tablas siguientes se presenta un resumen de las demandas según subcuenca diferenciadas según sistema urbano y de agua potable rural para los dos cortes temporales.</w:t>
      </w:r>
    </w:p>
    <w:p w:rsidR="007853F0" w:rsidRPr="00AE5070" w:rsidRDefault="007853F0" w:rsidP="00B51B51">
      <w:pPr>
        <w:widowControl w:val="0"/>
      </w:pPr>
    </w:p>
    <w:p w:rsidR="007853F0" w:rsidRPr="00AE5070" w:rsidRDefault="007853F0" w:rsidP="00B51B51">
      <w:pPr>
        <w:widowControl w:val="0"/>
        <w:jc w:val="center"/>
        <w:rPr>
          <w:b/>
        </w:rPr>
      </w:pPr>
      <w:r w:rsidRPr="00AE5070">
        <w:rPr>
          <w:b/>
        </w:rPr>
        <w:t xml:space="preserve">Tabla </w:t>
      </w:r>
      <w:r w:rsidR="007F3102">
        <w:rPr>
          <w:b/>
        </w:rPr>
        <w:fldChar w:fldCharType="begin"/>
      </w:r>
      <w:r w:rsidR="007F3102">
        <w:rPr>
          <w:b/>
        </w:rPr>
        <w:instrText xml:space="preserve"> STYLEREF 1 \s </w:instrText>
      </w:r>
      <w:r w:rsidR="007F3102">
        <w:rPr>
          <w:b/>
        </w:rPr>
        <w:fldChar w:fldCharType="separate"/>
      </w:r>
      <w:r w:rsidR="00264070">
        <w:rPr>
          <w:b/>
          <w:noProof/>
        </w:rPr>
        <w:t>8</w:t>
      </w:r>
      <w:r w:rsidR="007F3102">
        <w:rPr>
          <w:b/>
        </w:rPr>
        <w:fldChar w:fldCharType="end"/>
      </w:r>
      <w:r w:rsidR="007F3102">
        <w:rPr>
          <w:b/>
        </w:rPr>
        <w:t>.</w:t>
      </w:r>
      <w:r w:rsidR="007F3102">
        <w:rPr>
          <w:b/>
        </w:rPr>
        <w:fldChar w:fldCharType="begin"/>
      </w:r>
      <w:r w:rsidR="007F3102">
        <w:rPr>
          <w:b/>
        </w:rPr>
        <w:instrText xml:space="preserve"> SEQ Tabla \* ARABIC \s 1 </w:instrText>
      </w:r>
      <w:r w:rsidR="007F3102">
        <w:rPr>
          <w:b/>
        </w:rPr>
        <w:fldChar w:fldCharType="separate"/>
      </w:r>
      <w:r w:rsidR="00264070">
        <w:rPr>
          <w:b/>
          <w:noProof/>
        </w:rPr>
        <w:t>11</w:t>
      </w:r>
      <w:r w:rsidR="007F3102">
        <w:rPr>
          <w:b/>
        </w:rPr>
        <w:fldChar w:fldCharType="end"/>
      </w:r>
      <w:r w:rsidRPr="00AE5070">
        <w:rPr>
          <w:b/>
        </w:rPr>
        <w:t xml:space="preserve"> Producción de Agua Potable </w:t>
      </w:r>
      <w:r w:rsidR="0006407C">
        <w:rPr>
          <w:b/>
        </w:rPr>
        <w:t>por Subcuenca</w:t>
      </w:r>
    </w:p>
    <w:tbl>
      <w:tblPr>
        <w:tblW w:w="7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gridCol w:w="2553"/>
      </w:tblGrid>
      <w:tr w:rsidR="00A2610D" w:rsidRPr="009B7C69">
        <w:trPr>
          <w:jc w:val="center"/>
        </w:trPr>
        <w:tc>
          <w:tcPr>
            <w:tcW w:w="1910" w:type="dxa"/>
            <w:vMerge w:val="restart"/>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Producción de Agua</w:t>
            </w:r>
          </w:p>
        </w:tc>
        <w:tc>
          <w:tcPr>
            <w:tcW w:w="2553" w:type="dxa"/>
            <w:tcBorders>
              <w:bottom w:val="nil"/>
            </w:tcBorders>
            <w:shd w:val="clear" w:color="auto" w:fill="FFFFFF"/>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Producción de Agua</w:t>
            </w:r>
          </w:p>
        </w:tc>
      </w:tr>
      <w:tr w:rsidR="00A2610D" w:rsidRPr="009B7C69">
        <w:trPr>
          <w:jc w:val="center"/>
        </w:trPr>
        <w:tc>
          <w:tcPr>
            <w:tcW w:w="1910" w:type="dxa"/>
            <w:vMerge/>
            <w:vAlign w:val="center"/>
          </w:tcPr>
          <w:p w:rsidR="00A2610D" w:rsidRPr="009B7C69" w:rsidRDefault="00A2610D" w:rsidP="00001BA9">
            <w:pPr>
              <w:widowControl w:val="0"/>
              <w:jc w:val="center"/>
              <w:rPr>
                <w:rFonts w:cs="Arial"/>
                <w:bCs/>
                <w:color w:val="000000"/>
                <w:sz w:val="20"/>
                <w:szCs w:val="20"/>
              </w:rPr>
            </w:pPr>
          </w:p>
        </w:tc>
        <w:tc>
          <w:tcPr>
            <w:tcW w:w="2553" w:type="dxa"/>
            <w:tcBorders>
              <w:top w:val="nil"/>
            </w:tcBorders>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Potable Actual (2012) l/s</w:t>
            </w:r>
          </w:p>
        </w:tc>
        <w:tc>
          <w:tcPr>
            <w:tcW w:w="2553" w:type="dxa"/>
            <w:tcBorders>
              <w:top w:val="nil"/>
            </w:tcBorders>
            <w:shd w:val="clear" w:color="auto" w:fill="FFFFFF"/>
            <w:vAlign w:val="center"/>
          </w:tcPr>
          <w:p w:rsidR="00A2610D" w:rsidRPr="009B7C69" w:rsidRDefault="00A2610D" w:rsidP="00001BA9">
            <w:pPr>
              <w:widowControl w:val="0"/>
              <w:jc w:val="center"/>
              <w:rPr>
                <w:rFonts w:cs="Arial"/>
                <w:bCs/>
                <w:color w:val="000000"/>
                <w:sz w:val="20"/>
                <w:szCs w:val="20"/>
              </w:rPr>
            </w:pPr>
            <w:r>
              <w:rPr>
                <w:rFonts w:cs="Arial"/>
                <w:bCs/>
                <w:color w:val="000000"/>
                <w:sz w:val="20"/>
                <w:szCs w:val="20"/>
              </w:rPr>
              <w:t>Potable Actual (2030</w:t>
            </w:r>
            <w:r w:rsidRPr="009B7C69">
              <w:rPr>
                <w:rFonts w:cs="Arial"/>
                <w:bCs/>
                <w:color w:val="000000"/>
                <w:sz w:val="20"/>
                <w:szCs w:val="20"/>
              </w:rPr>
              <w:t>) l/s</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99,8</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119,4</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208,2</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271,2</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1.107,1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1.400,3</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0,0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399,1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496,0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19,0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27,1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50,7</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73,8</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3,7</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5,3</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34,8</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39,1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20,4</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27,5</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8,1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11,6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Default="00A2610D">
            <w:pPr>
              <w:jc w:val="center"/>
              <w:rPr>
                <w:rFonts w:cs="Arial"/>
                <w:color w:val="000000"/>
                <w:sz w:val="20"/>
                <w:szCs w:val="20"/>
              </w:rPr>
            </w:pPr>
            <w:r>
              <w:rPr>
                <w:rFonts w:cs="Arial"/>
                <w:color w:val="000000"/>
                <w:sz w:val="20"/>
                <w:szCs w:val="20"/>
              </w:rPr>
              <w:t>1.952,1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Default="00A2610D">
            <w:pPr>
              <w:jc w:val="center"/>
              <w:rPr>
                <w:rFonts w:cs="Arial"/>
                <w:color w:val="000000"/>
                <w:sz w:val="20"/>
                <w:szCs w:val="20"/>
              </w:rPr>
            </w:pPr>
            <w:r>
              <w:rPr>
                <w:rFonts w:cs="Arial"/>
                <w:color w:val="000000"/>
                <w:sz w:val="20"/>
                <w:szCs w:val="20"/>
              </w:rPr>
              <w:t>2.473,1</w:t>
            </w:r>
          </w:p>
        </w:tc>
      </w:tr>
    </w:tbl>
    <w:p w:rsidR="007853F0" w:rsidRPr="00AE5070" w:rsidRDefault="007853F0" w:rsidP="00B51B51">
      <w:pPr>
        <w:pStyle w:val="Epgrafe"/>
        <w:widowControl w:val="0"/>
      </w:pPr>
    </w:p>
    <w:p w:rsidR="007853F0" w:rsidRPr="00AE5070" w:rsidRDefault="007853F0" w:rsidP="00B51B51">
      <w:pPr>
        <w:pStyle w:val="Epgrafe"/>
        <w:widowControl w:val="0"/>
      </w:pPr>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12</w:t>
      </w:r>
      <w:r w:rsidR="007F3102">
        <w:fldChar w:fldCharType="end"/>
      </w:r>
      <w:r w:rsidRPr="00AE5070">
        <w:t xml:space="preserve"> Producción de Agua Potable Asociada a Sistemas APR</w:t>
      </w:r>
    </w:p>
    <w:tbl>
      <w:tblPr>
        <w:tblW w:w="7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0"/>
        <w:gridCol w:w="2553"/>
        <w:gridCol w:w="2553"/>
      </w:tblGrid>
      <w:tr w:rsidR="00A2610D" w:rsidRPr="009B7C69">
        <w:trPr>
          <w:jc w:val="center"/>
        </w:trPr>
        <w:tc>
          <w:tcPr>
            <w:tcW w:w="1910" w:type="dxa"/>
            <w:vMerge w:val="restart"/>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Código Subcuenca</w:t>
            </w:r>
          </w:p>
        </w:tc>
        <w:tc>
          <w:tcPr>
            <w:tcW w:w="2553" w:type="dxa"/>
            <w:tcBorders>
              <w:bottom w:val="nil"/>
            </w:tcBorders>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Producción de Agua</w:t>
            </w:r>
          </w:p>
        </w:tc>
        <w:tc>
          <w:tcPr>
            <w:tcW w:w="2553" w:type="dxa"/>
            <w:tcBorders>
              <w:bottom w:val="nil"/>
            </w:tcBorders>
            <w:shd w:val="clear" w:color="auto" w:fill="FFFFFF"/>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Producción de Agua</w:t>
            </w:r>
          </w:p>
        </w:tc>
      </w:tr>
      <w:tr w:rsidR="00A2610D" w:rsidRPr="009B7C69">
        <w:trPr>
          <w:jc w:val="center"/>
        </w:trPr>
        <w:tc>
          <w:tcPr>
            <w:tcW w:w="1910" w:type="dxa"/>
            <w:vMerge/>
            <w:vAlign w:val="center"/>
          </w:tcPr>
          <w:p w:rsidR="00A2610D" w:rsidRPr="009B7C69" w:rsidRDefault="00A2610D" w:rsidP="00001BA9">
            <w:pPr>
              <w:widowControl w:val="0"/>
              <w:jc w:val="center"/>
              <w:rPr>
                <w:rFonts w:cs="Arial"/>
                <w:bCs/>
                <w:color w:val="000000"/>
                <w:sz w:val="20"/>
                <w:szCs w:val="20"/>
              </w:rPr>
            </w:pPr>
          </w:p>
        </w:tc>
        <w:tc>
          <w:tcPr>
            <w:tcW w:w="2553" w:type="dxa"/>
            <w:tcBorders>
              <w:top w:val="nil"/>
            </w:tcBorders>
            <w:shd w:val="clear" w:color="auto" w:fill="FFFFFF"/>
            <w:noWrap/>
            <w:vAlign w:val="center"/>
          </w:tcPr>
          <w:p w:rsidR="00A2610D" w:rsidRPr="009B7C69" w:rsidRDefault="00A2610D" w:rsidP="00001BA9">
            <w:pPr>
              <w:widowControl w:val="0"/>
              <w:jc w:val="center"/>
              <w:rPr>
                <w:rFonts w:cs="Arial"/>
                <w:bCs/>
                <w:color w:val="000000"/>
                <w:sz w:val="20"/>
                <w:szCs w:val="20"/>
              </w:rPr>
            </w:pPr>
            <w:r w:rsidRPr="009B7C69">
              <w:rPr>
                <w:rFonts w:cs="Arial"/>
                <w:bCs/>
                <w:color w:val="000000"/>
                <w:sz w:val="20"/>
                <w:szCs w:val="20"/>
              </w:rPr>
              <w:t>Potable Actual (2012) l/s</w:t>
            </w:r>
          </w:p>
        </w:tc>
        <w:tc>
          <w:tcPr>
            <w:tcW w:w="2553" w:type="dxa"/>
            <w:tcBorders>
              <w:top w:val="nil"/>
            </w:tcBorders>
            <w:shd w:val="clear" w:color="auto" w:fill="FFFFFF"/>
            <w:vAlign w:val="center"/>
          </w:tcPr>
          <w:p w:rsidR="00A2610D" w:rsidRPr="009B7C69" w:rsidRDefault="00A2610D" w:rsidP="00001BA9">
            <w:pPr>
              <w:widowControl w:val="0"/>
              <w:jc w:val="center"/>
              <w:rPr>
                <w:rFonts w:cs="Arial"/>
                <w:bCs/>
                <w:color w:val="000000"/>
                <w:sz w:val="20"/>
                <w:szCs w:val="20"/>
              </w:rPr>
            </w:pPr>
            <w:r>
              <w:rPr>
                <w:rFonts w:cs="Arial"/>
                <w:bCs/>
                <w:color w:val="000000"/>
                <w:sz w:val="20"/>
                <w:szCs w:val="20"/>
              </w:rPr>
              <w:t>Potable Actual (2030</w:t>
            </w:r>
            <w:r w:rsidRPr="009B7C69">
              <w:rPr>
                <w:rFonts w:cs="Arial"/>
                <w:bCs/>
                <w:color w:val="000000"/>
                <w:sz w:val="20"/>
                <w:szCs w:val="20"/>
              </w:rPr>
              <w:t>) l/s</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0571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8,0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11,4</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16,6</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23,7</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172,2</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245,9</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140,9</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201,2</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19,0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27,1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0605</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36,5</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52,1</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0610</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0611</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3,7</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5,3</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0612</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0,0</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0613</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13,7</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19,6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0614</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8,1</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11,6</w:t>
            </w:r>
          </w:p>
        </w:tc>
      </w:tr>
      <w:tr w:rsidR="00A2610D" w:rsidRPr="009B7C69">
        <w:trPr>
          <w:jc w:val="center"/>
        </w:trPr>
        <w:tc>
          <w:tcPr>
            <w:tcW w:w="191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9B7C69" w:rsidRDefault="00A2610D" w:rsidP="00001BA9">
            <w:pPr>
              <w:jc w:val="center"/>
              <w:rPr>
                <w:rFonts w:cs="Arial"/>
                <w:color w:val="000000"/>
                <w:sz w:val="20"/>
                <w:szCs w:val="20"/>
              </w:rPr>
            </w:pPr>
            <w:r w:rsidRPr="009B7C69">
              <w:rPr>
                <w:rFonts w:cs="Arial"/>
                <w:color w:val="000000"/>
                <w:sz w:val="20"/>
                <w:szCs w:val="20"/>
              </w:rPr>
              <w:t>Total</w:t>
            </w:r>
          </w:p>
        </w:tc>
        <w:tc>
          <w:tcPr>
            <w:tcW w:w="255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A2610D" w:rsidRPr="00A2610D" w:rsidRDefault="00A2610D">
            <w:pPr>
              <w:jc w:val="center"/>
              <w:rPr>
                <w:rFonts w:cs="Arial"/>
                <w:color w:val="000000"/>
                <w:sz w:val="20"/>
                <w:szCs w:val="20"/>
              </w:rPr>
            </w:pPr>
            <w:r w:rsidRPr="00A2610D">
              <w:rPr>
                <w:rFonts w:cs="Arial"/>
                <w:color w:val="000000"/>
                <w:sz w:val="20"/>
                <w:szCs w:val="20"/>
              </w:rPr>
              <w:t>419,8</w:t>
            </w:r>
          </w:p>
        </w:tc>
        <w:tc>
          <w:tcPr>
            <w:tcW w:w="2553" w:type="dxa"/>
            <w:tcBorders>
              <w:top w:val="single" w:sz="4" w:space="0" w:color="auto"/>
              <w:left w:val="single" w:sz="4" w:space="0" w:color="auto"/>
              <w:bottom w:val="single" w:sz="4" w:space="0" w:color="auto"/>
              <w:right w:val="single" w:sz="4" w:space="0" w:color="auto"/>
            </w:tcBorders>
            <w:shd w:val="clear" w:color="auto" w:fill="FFFFFF"/>
            <w:vAlign w:val="bottom"/>
          </w:tcPr>
          <w:p w:rsidR="00A2610D" w:rsidRPr="00A2610D" w:rsidRDefault="00A2610D">
            <w:pPr>
              <w:jc w:val="center"/>
              <w:rPr>
                <w:rFonts w:cs="Arial"/>
                <w:color w:val="000000"/>
                <w:sz w:val="20"/>
                <w:szCs w:val="20"/>
              </w:rPr>
            </w:pPr>
            <w:r w:rsidRPr="00A2610D">
              <w:rPr>
                <w:rFonts w:cs="Arial"/>
                <w:color w:val="000000"/>
                <w:sz w:val="20"/>
                <w:szCs w:val="20"/>
              </w:rPr>
              <w:t>599,5</w:t>
            </w:r>
          </w:p>
        </w:tc>
      </w:tr>
    </w:tbl>
    <w:p w:rsidR="007853F0" w:rsidRPr="00AE5070" w:rsidRDefault="007853F0" w:rsidP="00B51B51">
      <w:pPr>
        <w:widowControl w:val="0"/>
      </w:pPr>
    </w:p>
    <w:p w:rsidR="007853F0" w:rsidRPr="00AE5070" w:rsidRDefault="007853F0" w:rsidP="00303BB4">
      <w:pPr>
        <w:pStyle w:val="Ttulo3"/>
      </w:pPr>
      <w:bookmarkStart w:id="478" w:name="_Toc338415022"/>
      <w:bookmarkStart w:id="479" w:name="_Toc344391868"/>
      <w:r w:rsidRPr="00AE5070">
        <w:t>Minería</w:t>
      </w:r>
      <w:bookmarkEnd w:id="478"/>
      <w:bookmarkEnd w:id="479"/>
    </w:p>
    <w:p w:rsidR="007853F0" w:rsidRPr="00AE5070" w:rsidRDefault="007853F0" w:rsidP="00B51B51">
      <w:pPr>
        <w:widowControl w:val="0"/>
      </w:pPr>
    </w:p>
    <w:p w:rsidR="007853F0" w:rsidRPr="00AE5070" w:rsidRDefault="007853F0" w:rsidP="00B51B51">
      <w:pPr>
        <w:widowControl w:val="0"/>
      </w:pPr>
      <w:r w:rsidRPr="00AE5070">
        <w:t xml:space="preserve">Las demandas de agua para uso en  minería para la situación actual y futura se realizó a partir de los estudios realizados por COCHILCO en los cuales se estimaron las proyecciones de la gran minería del cobre para el período </w:t>
      </w:r>
      <w:smartTag w:uri="urn:schemas-microsoft-com:office:smarttags" w:element="metricconverter">
        <w:smartTagPr>
          <w:attr w:name="ProductID" w:val="2009 a"/>
        </w:smartTagPr>
        <w:r w:rsidRPr="00AE5070">
          <w:t>2009 a</w:t>
        </w:r>
      </w:smartTag>
      <w:r w:rsidRPr="00AE5070">
        <w:t xml:space="preserve"> 2030 en fundón de los antecedentes de consumo informados por las empresas mineras.</w:t>
      </w:r>
    </w:p>
    <w:p w:rsidR="007853F0" w:rsidRPr="00AE5070" w:rsidRDefault="007853F0" w:rsidP="00B51B51">
      <w:pPr>
        <w:widowControl w:val="0"/>
      </w:pPr>
    </w:p>
    <w:p w:rsidR="007853F0" w:rsidRDefault="007853F0" w:rsidP="00B51B51">
      <w:pPr>
        <w:widowControl w:val="0"/>
      </w:pPr>
      <w:r w:rsidRPr="00AE5070">
        <w:lastRenderedPageBreak/>
        <w:t xml:space="preserve">De acuerdo a ello la demanda de agua en </w:t>
      </w:r>
      <w:smartTag w:uri="urn:schemas-microsoft-com:office:smarttags" w:element="PersonName">
        <w:smartTagPr>
          <w:attr w:name="ProductID" w:val="la Región"/>
        </w:smartTagPr>
        <w:r w:rsidRPr="00AE5070">
          <w:t>la Región</w:t>
        </w:r>
      </w:smartTag>
      <w:r w:rsidR="005A79DA">
        <w:t xml:space="preserve"> de O’</w:t>
      </w:r>
      <w:r w:rsidRPr="00AE5070">
        <w:t>Higgins al</w:t>
      </w:r>
      <w:r w:rsidR="00141332">
        <w:t xml:space="preserve"> año 2012 se estimó en 2.333,0 </w:t>
      </w:r>
      <w:r w:rsidRPr="00AE5070">
        <w:t>l/s, mientras que para el año 2030 en 2.083,3 l/s.</w:t>
      </w:r>
    </w:p>
    <w:p w:rsidR="003155DE" w:rsidRPr="00AE5070" w:rsidRDefault="003155DE" w:rsidP="00B51B51">
      <w:pPr>
        <w:widowControl w:val="0"/>
      </w:pPr>
    </w:p>
    <w:p w:rsidR="007853F0" w:rsidRPr="00AE5070" w:rsidRDefault="007853F0" w:rsidP="00303BB4">
      <w:pPr>
        <w:pStyle w:val="Ttulo3"/>
      </w:pPr>
      <w:bookmarkStart w:id="480" w:name="_Toc338415023"/>
      <w:bookmarkStart w:id="481" w:name="_Toc344391869"/>
      <w:r w:rsidRPr="00AE5070">
        <w:t>Industria</w:t>
      </w:r>
      <w:bookmarkEnd w:id="480"/>
      <w:bookmarkEnd w:id="481"/>
    </w:p>
    <w:p w:rsidR="007853F0" w:rsidRPr="00AE5070" w:rsidRDefault="007853F0" w:rsidP="00B51B51">
      <w:pPr>
        <w:widowControl w:val="0"/>
      </w:pPr>
    </w:p>
    <w:p w:rsidR="007853F0" w:rsidRPr="00AE5070" w:rsidRDefault="007853F0" w:rsidP="00B51B51">
      <w:pPr>
        <w:widowControl w:val="0"/>
      </w:pPr>
      <w:r w:rsidRPr="00AE5070">
        <w:t>Para este sector la estimación de las demandas se realizó tomando como referencia el estudio desarrollado por Ayala y Cabrera Asociados Lt</w:t>
      </w:r>
      <w:r w:rsidR="00141332">
        <w:t>da. el año 2005, proyectándose é</w:t>
      </w:r>
      <w:r w:rsidRPr="00AE5070">
        <w:t>sta en función del crecimiento del Producto Interno Bruto Regional (PIB) asociado al sector industrial.</w:t>
      </w:r>
    </w:p>
    <w:p w:rsidR="007853F0" w:rsidRPr="00AE5070" w:rsidRDefault="007853F0" w:rsidP="00B51B51">
      <w:pPr>
        <w:widowControl w:val="0"/>
      </w:pPr>
    </w:p>
    <w:p w:rsidR="007853F0" w:rsidRDefault="007853F0" w:rsidP="00B51B51">
      <w:pPr>
        <w:widowControl w:val="0"/>
      </w:pPr>
      <w:r w:rsidRPr="00AE5070">
        <w:t>Para el año 2012 las demandas se estimaron en 1.356,0 l/s mientras que para el año 2030 en 3.316,8 l/s.</w:t>
      </w:r>
    </w:p>
    <w:p w:rsidR="0006407C" w:rsidRPr="00AE5070" w:rsidRDefault="0006407C" w:rsidP="00B51B51">
      <w:pPr>
        <w:widowControl w:val="0"/>
      </w:pPr>
    </w:p>
    <w:p w:rsidR="007853F0" w:rsidRPr="00AE5070" w:rsidRDefault="007853F0" w:rsidP="00303BB4">
      <w:pPr>
        <w:pStyle w:val="Ttulo3"/>
      </w:pPr>
      <w:bookmarkStart w:id="482" w:name="_Toc338415024"/>
      <w:bookmarkStart w:id="483" w:name="_Toc344391870"/>
      <w:r w:rsidRPr="00AE5070">
        <w:t>Generación Eléctrica</w:t>
      </w:r>
      <w:bookmarkEnd w:id="482"/>
      <w:bookmarkEnd w:id="483"/>
    </w:p>
    <w:p w:rsidR="007853F0" w:rsidRPr="00AE5070" w:rsidRDefault="007853F0" w:rsidP="00B51B51">
      <w:pPr>
        <w:widowControl w:val="0"/>
      </w:pPr>
    </w:p>
    <w:p w:rsidR="007853F0" w:rsidRPr="00AE5070" w:rsidRDefault="007853F0" w:rsidP="00B51B51">
      <w:pPr>
        <w:widowControl w:val="0"/>
      </w:pPr>
      <w:r w:rsidRPr="00AE5070">
        <w:t>Se realizó una estimación de la demanda asociada a la generación eléctrica basada en la revisión de las centrales que están en operación y proyectadas según el Centro de Despacho Económico de Carga.</w:t>
      </w:r>
    </w:p>
    <w:p w:rsidR="007853F0" w:rsidRPr="00AE5070" w:rsidRDefault="007853F0" w:rsidP="00B51B51">
      <w:pPr>
        <w:widowControl w:val="0"/>
      </w:pPr>
    </w:p>
    <w:p w:rsidR="007853F0" w:rsidRPr="00AE5070" w:rsidRDefault="007853F0" w:rsidP="00B51B51">
      <w:pPr>
        <w:widowControl w:val="0"/>
      </w:pPr>
      <w:r w:rsidRPr="00AE5070">
        <w:t>De acuerdo a ello se concluye que en la región las demandas para la situación actual serán diferentes a las futuras por la incorporación de nuevas centrales.</w:t>
      </w:r>
    </w:p>
    <w:p w:rsidR="007853F0" w:rsidRPr="00AE5070" w:rsidRDefault="007853F0" w:rsidP="00B51B51">
      <w:pPr>
        <w:widowControl w:val="0"/>
      </w:pPr>
    </w:p>
    <w:p w:rsidR="007853F0" w:rsidRPr="00AE5070" w:rsidRDefault="007853F0" w:rsidP="00B51B51">
      <w:pPr>
        <w:widowControl w:val="0"/>
      </w:pPr>
      <w:r w:rsidRPr="00AE5070">
        <w:t xml:space="preserve">Finalmente teniendo en consideración los antecedentes presentados anteriormente en </w:t>
      </w:r>
      <w:smartTag w:uri="urn:schemas-microsoft-com:office:smarttags" w:element="PersonName">
        <w:smartTagPr>
          <w:attr w:name="ProductID" w:val="la ￼￼￼￼￼￼￼￼￼￼￼￼￼￼￼￼￼￼￼￼￼￼￼￼￼￼￼￼￼￼￼￼￼￼￼￼￼￼￼￼￼Tabla"/>
        </w:smartTagPr>
        <w:r w:rsidRPr="00AE5070">
          <w:t>la Tabla</w:t>
        </w:r>
      </w:smartTag>
      <w:r w:rsidRPr="00AE5070">
        <w:t xml:space="preserve"> siguiente se presenta un resumen de las demandas según uso a nivel mensual para la situación actual y futura a nivel de subcuencas.</w:t>
      </w:r>
    </w:p>
    <w:p w:rsidR="007853F0" w:rsidRDefault="007853F0" w:rsidP="00B51B51">
      <w:pPr>
        <w:widowControl w:val="0"/>
      </w:pPr>
    </w:p>
    <w:p w:rsidR="0006407C" w:rsidRPr="00AE5070" w:rsidRDefault="0006407C" w:rsidP="0006407C">
      <w:pPr>
        <w:pStyle w:val="Ttulo2"/>
        <w:rPr>
          <w:lang w:val="es-ES_tradnl"/>
        </w:rPr>
      </w:pPr>
      <w:bookmarkStart w:id="484" w:name="_Toc344391871"/>
      <w:r w:rsidRPr="00AE5070">
        <w:rPr>
          <w:lang w:val="es-ES_tradnl"/>
        </w:rPr>
        <w:t>Balance Hídrico</w:t>
      </w:r>
      <w:bookmarkEnd w:id="484"/>
    </w:p>
    <w:p w:rsidR="0006407C" w:rsidRPr="00AE5070" w:rsidRDefault="0006407C" w:rsidP="0006407C">
      <w:pPr>
        <w:rPr>
          <w:lang w:val="es-ES_tradnl"/>
        </w:rPr>
      </w:pPr>
    </w:p>
    <w:p w:rsidR="0006407C" w:rsidRDefault="0006407C" w:rsidP="0006407C">
      <w:pPr>
        <w:rPr>
          <w:lang w:val="es-ES_tradnl"/>
        </w:rPr>
      </w:pPr>
      <w:r w:rsidRPr="00AE5070">
        <w:rPr>
          <w:lang w:val="es-ES_tradnl"/>
        </w:rPr>
        <w:t xml:space="preserve">El balance hídrico de cada subcuenca se realizó considerando la interacción entre las variables precipitación, evapotranspiración, demandas estimadas y caudales afluentes y efluentes, los cuales </w:t>
      </w:r>
      <w:r w:rsidRPr="00AE5070">
        <w:t>tienen interiorizados la condición actu</w:t>
      </w:r>
      <w:r w:rsidR="00AA517F">
        <w:t>al de extracciones de la cuenca</w:t>
      </w:r>
      <w:r w:rsidRPr="00AE5070">
        <w:rPr>
          <w:lang w:val="es-ES_tradnl"/>
        </w:rPr>
        <w:t>.</w:t>
      </w:r>
      <w:r w:rsidR="00AA517F">
        <w:rPr>
          <w:lang w:val="es-ES_tradnl"/>
        </w:rPr>
        <w:t xml:space="preserve"> </w:t>
      </w:r>
    </w:p>
    <w:p w:rsidR="00AA517F" w:rsidRDefault="00AA517F" w:rsidP="0006407C">
      <w:pPr>
        <w:rPr>
          <w:lang w:val="es-ES_tradnl"/>
        </w:rPr>
      </w:pPr>
    </w:p>
    <w:p w:rsidR="00AA517F" w:rsidRPr="00AE5070" w:rsidRDefault="00AA517F" w:rsidP="0006407C">
      <w:r>
        <w:rPr>
          <w:lang w:val="es-ES_tradnl"/>
        </w:rPr>
        <w:t xml:space="preserve">La diferencia en el cierre de este balance </w:t>
      </w:r>
      <w:r>
        <w:rPr>
          <w:rFonts w:cs="Arial"/>
          <w:lang w:val="es-ES_tradnl"/>
        </w:rPr>
        <w:t>Δ</w:t>
      </w:r>
      <w:r>
        <w:rPr>
          <w:lang w:val="es-ES_tradnl"/>
        </w:rPr>
        <w:t>, corresponde a la interacción entre infiltración y afloramiento, bombeo e incertidumbre de las variables del balance. El supuesto principal que se consideró es la extracción de la totalidad de las demandas asociadas a cada una de las cuencas. En las cuencas costeras se utilizó un modelo pluvial para determinar la oferta, la cual se compara con la demanda para determinar el balance.</w:t>
      </w:r>
    </w:p>
    <w:p w:rsidR="0006407C" w:rsidRPr="00AA517F" w:rsidRDefault="0006407C" w:rsidP="00AA517F"/>
    <w:p w:rsidR="0006407C" w:rsidRPr="00AE5070" w:rsidRDefault="0006407C" w:rsidP="0006407C">
      <w:pPr>
        <w:pStyle w:val="NormalSangra"/>
        <w:ind w:firstLine="0"/>
        <w:rPr>
          <w:sz w:val="22"/>
          <w:szCs w:val="22"/>
          <w:lang w:val="es-ES_tradnl"/>
        </w:rPr>
      </w:pPr>
      <w:r w:rsidRPr="00AE5070">
        <w:rPr>
          <w:sz w:val="22"/>
          <w:szCs w:val="22"/>
          <w:lang w:val="es-ES_tradnl"/>
        </w:rPr>
        <w:t>Los resultad</w:t>
      </w:r>
      <w:r w:rsidR="00AA517F">
        <w:rPr>
          <w:sz w:val="22"/>
          <w:szCs w:val="22"/>
          <w:lang w:val="es-ES_tradnl"/>
        </w:rPr>
        <w:t>os indican que para el escenario</w:t>
      </w:r>
      <w:r w:rsidRPr="00AE5070">
        <w:rPr>
          <w:sz w:val="22"/>
          <w:szCs w:val="22"/>
          <w:lang w:val="es-ES_tradnl"/>
        </w:rPr>
        <w:t xml:space="preserve"> de demandas actual</w:t>
      </w:r>
      <w:r w:rsidR="00AA517F">
        <w:rPr>
          <w:sz w:val="22"/>
          <w:szCs w:val="22"/>
          <w:lang w:val="es-ES_tradnl"/>
        </w:rPr>
        <w:t>es y una condición media</w:t>
      </w:r>
      <w:r w:rsidRPr="00AE5070">
        <w:rPr>
          <w:sz w:val="22"/>
          <w:szCs w:val="22"/>
          <w:lang w:val="es-ES_tradnl"/>
        </w:rPr>
        <w:t xml:space="preserve">, las cuencas de los ríos Cachapoal y Tinguiririca bajo presentan </w:t>
      </w:r>
      <w:r w:rsidR="00AA517F">
        <w:rPr>
          <w:sz w:val="22"/>
          <w:szCs w:val="22"/>
          <w:lang w:val="es-ES_tradnl"/>
        </w:rPr>
        <w:t>suficientes recursos</w:t>
      </w:r>
      <w:r w:rsidRPr="00AE5070">
        <w:rPr>
          <w:sz w:val="22"/>
          <w:szCs w:val="22"/>
          <w:lang w:val="es-ES_tradnl"/>
        </w:rPr>
        <w:t xml:space="preserve"> para satisfacer el balance superficial. Los resultados muestran que dado el incremento de las demandas a futuro para prácticamente todas las subcuencas pertenecientes a la cuenca del río Rapel, se necesitará disponer de una mayor cantidad de recursos lo que se puede obtener </w:t>
      </w:r>
      <w:r w:rsidR="00AA517F">
        <w:rPr>
          <w:sz w:val="22"/>
          <w:szCs w:val="22"/>
          <w:lang w:val="es-ES_tradnl"/>
        </w:rPr>
        <w:t xml:space="preserve">en algunos casos </w:t>
      </w:r>
      <w:r w:rsidRPr="00AE5070">
        <w:rPr>
          <w:sz w:val="22"/>
          <w:szCs w:val="22"/>
          <w:lang w:val="es-ES_tradnl"/>
        </w:rPr>
        <w:t xml:space="preserve">del acuífero o bien del excedente de aguas superficiales que actualmente existe a nivel de cuenca. </w:t>
      </w:r>
    </w:p>
    <w:p w:rsidR="0006407C" w:rsidRPr="00AE5070" w:rsidRDefault="0006407C" w:rsidP="0006407C">
      <w:pPr>
        <w:pStyle w:val="NormalSangra"/>
        <w:ind w:firstLine="0"/>
        <w:rPr>
          <w:sz w:val="22"/>
          <w:szCs w:val="22"/>
          <w:lang w:val="es-ES_tradnl"/>
        </w:rPr>
      </w:pPr>
    </w:p>
    <w:p w:rsidR="0006407C" w:rsidRPr="00AE5070" w:rsidRDefault="0006407C" w:rsidP="0006407C">
      <w:pPr>
        <w:pStyle w:val="NormalSangra"/>
        <w:ind w:firstLine="0"/>
        <w:rPr>
          <w:sz w:val="22"/>
          <w:szCs w:val="22"/>
          <w:lang w:val="es-ES_tradnl"/>
        </w:rPr>
      </w:pPr>
      <w:r w:rsidRPr="00AE5070">
        <w:rPr>
          <w:sz w:val="22"/>
          <w:szCs w:val="22"/>
          <w:lang w:val="es-ES_tradnl"/>
        </w:rPr>
        <w:t>En el caso de las cuencas costeras, el balance a nivel promedio anual indica que existe disponibilidad del recurso hídrico para satisfacer las demandas actuales y futuras de todas las cuencas. Sin embargo, se necesita de regulación para ajustarse a la estacionalidad de las demandas.</w:t>
      </w:r>
    </w:p>
    <w:p w:rsidR="0006407C" w:rsidRPr="0006407C" w:rsidRDefault="0006407C" w:rsidP="00B51B51">
      <w:pPr>
        <w:widowControl w:val="0"/>
        <w:rPr>
          <w:lang w:val="es-ES_tradnl"/>
        </w:rPr>
        <w:sectPr w:rsidR="0006407C" w:rsidRPr="0006407C" w:rsidSect="00BC2443">
          <w:headerReference w:type="even" r:id="rId246"/>
          <w:pgSz w:w="12242" w:h="15842" w:code="1"/>
          <w:pgMar w:top="1701" w:right="1418" w:bottom="1418" w:left="1418" w:header="851" w:footer="851" w:gutter="284"/>
          <w:cols w:space="708"/>
          <w:docGrid w:linePitch="360"/>
        </w:sectPr>
      </w:pPr>
    </w:p>
    <w:p w:rsidR="007853F0" w:rsidRPr="00AE5070" w:rsidRDefault="007853F0" w:rsidP="00B51B51">
      <w:pPr>
        <w:pStyle w:val="Epgrafe"/>
        <w:widowControl w:val="0"/>
      </w:pPr>
      <w:r w:rsidRPr="00AE5070">
        <w:lastRenderedPageBreak/>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13</w:t>
      </w:r>
      <w:r w:rsidR="007F3102">
        <w:fldChar w:fldCharType="end"/>
      </w:r>
      <w:r w:rsidRPr="00AE5070">
        <w:t xml:space="preserve"> Resumen de Demandas de Aguas según Uso Situación Actual</w:t>
      </w:r>
    </w:p>
    <w:tbl>
      <w:tblPr>
        <w:tblW w:w="13740" w:type="dxa"/>
        <w:jc w:val="center"/>
        <w:tblInd w:w="55" w:type="dxa"/>
        <w:tblCellMar>
          <w:left w:w="70" w:type="dxa"/>
          <w:right w:w="70" w:type="dxa"/>
        </w:tblCellMar>
        <w:tblLook w:val="04A0" w:firstRow="1" w:lastRow="0" w:firstColumn="1" w:lastColumn="0" w:noHBand="0" w:noVBand="1"/>
      </w:tblPr>
      <w:tblGrid>
        <w:gridCol w:w="1233"/>
        <w:gridCol w:w="1118"/>
        <w:gridCol w:w="1334"/>
        <w:gridCol w:w="763"/>
        <w:gridCol w:w="759"/>
        <w:gridCol w:w="759"/>
        <w:gridCol w:w="759"/>
        <w:gridCol w:w="759"/>
        <w:gridCol w:w="759"/>
        <w:gridCol w:w="763"/>
        <w:gridCol w:w="763"/>
        <w:gridCol w:w="763"/>
        <w:gridCol w:w="763"/>
        <w:gridCol w:w="763"/>
        <w:gridCol w:w="763"/>
        <w:gridCol w:w="919"/>
      </w:tblGrid>
      <w:tr w:rsidR="000E3F12" w:rsidRPr="000E3F12">
        <w:trPr>
          <w:trHeight w:val="450"/>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Nombre Cuenca</w:t>
            </w:r>
          </w:p>
        </w:tc>
        <w:tc>
          <w:tcPr>
            <w:tcW w:w="11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Código Subcuenca</w:t>
            </w:r>
          </w:p>
        </w:tc>
        <w:tc>
          <w:tcPr>
            <w:tcW w:w="134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Usos</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Abr</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May</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Jun</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Jul</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Ago</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Sep</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Oct</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Nov</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Dic</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Ene</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Feb</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Mar</w:t>
            </w:r>
          </w:p>
        </w:tc>
        <w:tc>
          <w:tcPr>
            <w:tcW w:w="9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Promedio Anual</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Río Maipo (057)</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571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621,8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2.759,7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5.815,0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7.842,4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7.954,8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6.860,5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3.882,5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2.988,5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91,3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92,0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88,8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91,5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97,7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111,8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101,1</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99,8</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Río Rapel (060)</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600</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23,4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134,6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210,1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16,2</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57,0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205,6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190,5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191,9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185,2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190,9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203,8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218,3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229,3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210,9</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208,2</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2.333,0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2.333,0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12.359,8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429,9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29.695,5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61.891,1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89.229,1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93.010,1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84.034,9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51.171,8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35.151,8</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1.093,1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1.012,7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1.020,3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984,7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1.014,8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1.083,4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1.103,1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1.160,9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1.231,3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1.219,4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1.239,8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1.121,3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1.107,1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1.069,5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602</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483,2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979,5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830,8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702,8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175,1</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268,0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603</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7.002,3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1.683,8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20.817,0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41.405,0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57.081,0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58.757,9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49.053,1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28.025,4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21.985,5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365,1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367,8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355,0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365,8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397,7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443,9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439,6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447,0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404,2</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399,1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604</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1.404,9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532,4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4.460,6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8.531,5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12.232,5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12.989,8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10.873,2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5.877,8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4.741,9</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16,9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19,9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21,1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19,2</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19,0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605</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1.112,0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500,5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5.375,5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10.601,8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14.155,7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14.772,6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12.076,1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7.061,3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5.471,3</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46,4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46,7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45,1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46,5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49,6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50,5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53,1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56,4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56,8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51,3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50,7</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bl>
    <w:p w:rsidR="007853F0" w:rsidRPr="00AE5070" w:rsidRDefault="007853F0" w:rsidP="00B51B51">
      <w:pPr>
        <w:widowControl w:val="0"/>
      </w:pPr>
    </w:p>
    <w:p w:rsidR="007853F0" w:rsidRPr="00AE5070" w:rsidRDefault="007853F0" w:rsidP="00B51B51">
      <w:pPr>
        <w:pStyle w:val="Epgrafe"/>
        <w:widowControl w:val="0"/>
      </w:pPr>
      <w:r w:rsidRPr="00AE5070">
        <w:br w:type="page"/>
      </w:r>
      <w:r w:rsidRPr="00AE5070">
        <w:lastRenderedPageBreak/>
        <w:t xml:space="preserve">Tabla </w:t>
      </w:r>
      <w:r w:rsidRPr="00AE5070">
        <w:fldChar w:fldCharType="begin"/>
      </w:r>
      <w:r w:rsidRPr="00AE5070">
        <w:instrText xml:space="preserve"> STYLEREF 1 \s </w:instrText>
      </w:r>
      <w:r w:rsidRPr="00AE5070">
        <w:fldChar w:fldCharType="separate"/>
      </w:r>
      <w:r w:rsidR="00264070">
        <w:rPr>
          <w:noProof/>
        </w:rPr>
        <w:t>8</w:t>
      </w:r>
      <w:r w:rsidRPr="00AE5070">
        <w:fldChar w:fldCharType="end"/>
      </w:r>
      <w:r w:rsidR="005A79DA">
        <w:t>.12</w:t>
      </w:r>
      <w:r w:rsidRPr="00AE5070">
        <w:t xml:space="preserve"> Resumen de Demandas de Aguas según Uso Situación Actual (continuación)</w:t>
      </w:r>
    </w:p>
    <w:tbl>
      <w:tblPr>
        <w:tblW w:w="13740" w:type="dxa"/>
        <w:jc w:val="center"/>
        <w:tblInd w:w="55" w:type="dxa"/>
        <w:tblCellMar>
          <w:left w:w="70" w:type="dxa"/>
          <w:right w:w="70" w:type="dxa"/>
        </w:tblCellMar>
        <w:tblLook w:val="04A0" w:firstRow="1" w:lastRow="0" w:firstColumn="1" w:lastColumn="0" w:noHBand="0" w:noVBand="1"/>
      </w:tblPr>
      <w:tblGrid>
        <w:gridCol w:w="1240"/>
        <w:gridCol w:w="1120"/>
        <w:gridCol w:w="1340"/>
        <w:gridCol w:w="760"/>
        <w:gridCol w:w="760"/>
        <w:gridCol w:w="760"/>
        <w:gridCol w:w="760"/>
        <w:gridCol w:w="760"/>
        <w:gridCol w:w="760"/>
        <w:gridCol w:w="760"/>
        <w:gridCol w:w="760"/>
        <w:gridCol w:w="760"/>
        <w:gridCol w:w="760"/>
        <w:gridCol w:w="760"/>
        <w:gridCol w:w="760"/>
        <w:gridCol w:w="920"/>
      </w:tblGrid>
      <w:tr w:rsidR="000E3F12" w:rsidRPr="000E3F12">
        <w:trPr>
          <w:trHeight w:val="450"/>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Nombre Cuenca</w:t>
            </w:r>
          </w:p>
        </w:tc>
        <w:tc>
          <w:tcPr>
            <w:tcW w:w="11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Código Subcuenca</w:t>
            </w:r>
          </w:p>
        </w:tc>
        <w:tc>
          <w:tcPr>
            <w:tcW w:w="134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Usos</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Abr</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May</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Jun</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Jul</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Ago</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Sep</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Oct</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Nov</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Dic</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Ene</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Feb</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Mar</w:t>
            </w:r>
          </w:p>
        </w:tc>
        <w:tc>
          <w:tcPr>
            <w:tcW w:w="9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Promedio Anual</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Costeras Rapel - E.Nilahue (061)</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610</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25,3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56,3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55,3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48,8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21,9</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308,7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597,8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794,5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755,7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652,8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348,2</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290,4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3,7</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612</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22,5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9,9</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31,9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32,1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31,9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36,5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35,3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34,8</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613</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320,1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1.243,2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2.483,7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3.306,6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3.430,4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2.958,8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1.787,7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1.301,3</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22,7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22,5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22,9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614</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9,1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bl>
    <w:p w:rsidR="007853F0" w:rsidRPr="00AE5070" w:rsidRDefault="007853F0" w:rsidP="00B51B51">
      <w:pPr>
        <w:widowControl w:val="0"/>
      </w:pPr>
    </w:p>
    <w:p w:rsidR="007853F0" w:rsidRPr="00AE5070" w:rsidRDefault="007853F0" w:rsidP="00B51B51">
      <w:pPr>
        <w:widowControl w:val="0"/>
      </w:pPr>
      <w:r w:rsidRPr="00AE5070">
        <w:br w:type="page"/>
      </w:r>
    </w:p>
    <w:p w:rsidR="007853F0" w:rsidRPr="00AE5070" w:rsidRDefault="007853F0" w:rsidP="00B51B51">
      <w:pPr>
        <w:pStyle w:val="Epgrafe"/>
        <w:widowControl w:val="0"/>
      </w:pPr>
      <w:r w:rsidRPr="00AE507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14</w:t>
      </w:r>
      <w:r w:rsidR="007F3102">
        <w:fldChar w:fldCharType="end"/>
      </w:r>
      <w:r w:rsidRPr="00AE5070">
        <w:t xml:space="preserve"> Resumen de Demandas de Aguas según Uso Situación Futura</w:t>
      </w:r>
    </w:p>
    <w:tbl>
      <w:tblPr>
        <w:tblW w:w="13740" w:type="dxa"/>
        <w:jc w:val="center"/>
        <w:tblInd w:w="55" w:type="dxa"/>
        <w:tblCellMar>
          <w:left w:w="70" w:type="dxa"/>
          <w:right w:w="70" w:type="dxa"/>
        </w:tblCellMar>
        <w:tblLook w:val="04A0" w:firstRow="1" w:lastRow="0" w:firstColumn="1" w:lastColumn="0" w:noHBand="0" w:noVBand="1"/>
      </w:tblPr>
      <w:tblGrid>
        <w:gridCol w:w="1233"/>
        <w:gridCol w:w="1118"/>
        <w:gridCol w:w="1334"/>
        <w:gridCol w:w="763"/>
        <w:gridCol w:w="759"/>
        <w:gridCol w:w="759"/>
        <w:gridCol w:w="759"/>
        <w:gridCol w:w="759"/>
        <w:gridCol w:w="759"/>
        <w:gridCol w:w="763"/>
        <w:gridCol w:w="763"/>
        <w:gridCol w:w="763"/>
        <w:gridCol w:w="763"/>
        <w:gridCol w:w="763"/>
        <w:gridCol w:w="763"/>
        <w:gridCol w:w="919"/>
      </w:tblGrid>
      <w:tr w:rsidR="000E3F12" w:rsidRPr="000E3F12">
        <w:trPr>
          <w:trHeight w:val="450"/>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Nombre Cuenca</w:t>
            </w:r>
          </w:p>
        </w:tc>
        <w:tc>
          <w:tcPr>
            <w:tcW w:w="11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Código Subcuenca</w:t>
            </w:r>
          </w:p>
        </w:tc>
        <w:tc>
          <w:tcPr>
            <w:tcW w:w="134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Usos</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Abr</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May</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Jun</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Jul</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Ago</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Sep</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Oct</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Nov</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Dic</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Ene</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Feb</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Mar</w:t>
            </w:r>
          </w:p>
        </w:tc>
        <w:tc>
          <w:tcPr>
            <w:tcW w:w="9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Promedio Anual</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Río Maipo (057)</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571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604,8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107,2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2.670,5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5.786,0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7.869,6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8.012,3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6.908,6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3.902,5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2.988,4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117,9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109,2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106,2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109,4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116,8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119,0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125,2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132,8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131,5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120,9</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119,4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Río Rapel (060)</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600</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128,3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205,1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167,9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139,2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23,3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57,1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267,8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248,1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250,0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265,4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270,3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284,4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301,7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298,7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303,8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274,7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271,2</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2.083,3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2.083,3</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4.418,5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12.292,2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415,8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29.495,9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61.935,8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89.204,7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92.957,4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84.117,4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51.404,7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35.152,0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1.382,7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1.280,9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1.290,6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1.245,5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1.283,6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1.370,4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1.395,3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1.468,4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1.557,4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1.542,4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1.568,3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1.418,3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1.400,3</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4.418,5</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4.418,5</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602</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482,6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997,5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847,0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694,5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154,6</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267,9</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603</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6.729,6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1.478,2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20.373,3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41.505,4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57.008,5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58.839,0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49.208,9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28.682,3</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21.985,4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489,8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453,7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457,2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441,2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454,7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485,4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494,3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520,2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551,7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546,4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555,5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502,4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496,0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604</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1.761,0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522,1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4.430,9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8.445,4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11.894,0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12.605,0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10.914,6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6.331,7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4.742,1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26,7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25,0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26,5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29,8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27,1</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605</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1.273,3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429,1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5.268,5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10.456,2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14.012,1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14.676,3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12.304,4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7.234,9</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5.471,2</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72,9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67,5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68,0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65,6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67,6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72,2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73,5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82,1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81,3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82,6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74,7</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73,8</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r>
    </w:tbl>
    <w:p w:rsidR="007853F0" w:rsidRPr="00AE5070" w:rsidRDefault="007853F0" w:rsidP="00B51B51">
      <w:pPr>
        <w:widowControl w:val="0"/>
      </w:pPr>
    </w:p>
    <w:p w:rsidR="007853F0" w:rsidRPr="00AE5070" w:rsidRDefault="007853F0" w:rsidP="00B51B51">
      <w:pPr>
        <w:pStyle w:val="Epgrafe"/>
        <w:widowControl w:val="0"/>
      </w:pPr>
      <w:r w:rsidRPr="00AE5070">
        <w:br w:type="page"/>
      </w:r>
      <w:r w:rsidRPr="00AE5070">
        <w:lastRenderedPageBreak/>
        <w:t xml:space="preserve">Tabla </w:t>
      </w:r>
      <w:r w:rsidR="00AE103B">
        <w:fldChar w:fldCharType="begin"/>
      </w:r>
      <w:r w:rsidR="00AE103B">
        <w:instrText xml:space="preserve"> STYLEREF 1 \s </w:instrText>
      </w:r>
      <w:r w:rsidR="00AE103B">
        <w:fldChar w:fldCharType="separate"/>
      </w:r>
      <w:r w:rsidR="00264070">
        <w:rPr>
          <w:noProof/>
        </w:rPr>
        <w:t>8</w:t>
      </w:r>
      <w:r w:rsidR="00AE103B">
        <w:fldChar w:fldCharType="end"/>
      </w:r>
      <w:r w:rsidR="00AE103B">
        <w:t>.</w:t>
      </w:r>
      <w:r w:rsidR="005A79DA">
        <w:t>13</w:t>
      </w:r>
      <w:r w:rsidRPr="00AE5070">
        <w:t xml:space="preserve"> Resumen de Demandas de Aguas según Uso Situación Futura (continuación)</w:t>
      </w:r>
    </w:p>
    <w:tbl>
      <w:tblPr>
        <w:tblW w:w="13740" w:type="dxa"/>
        <w:jc w:val="center"/>
        <w:tblInd w:w="55" w:type="dxa"/>
        <w:tblCellMar>
          <w:left w:w="70" w:type="dxa"/>
          <w:right w:w="70" w:type="dxa"/>
        </w:tblCellMar>
        <w:tblLook w:val="04A0" w:firstRow="1" w:lastRow="0" w:firstColumn="1" w:lastColumn="0" w:noHBand="0" w:noVBand="1"/>
      </w:tblPr>
      <w:tblGrid>
        <w:gridCol w:w="1238"/>
        <w:gridCol w:w="1119"/>
        <w:gridCol w:w="1338"/>
        <w:gridCol w:w="760"/>
        <w:gridCol w:w="759"/>
        <w:gridCol w:w="759"/>
        <w:gridCol w:w="759"/>
        <w:gridCol w:w="759"/>
        <w:gridCol w:w="760"/>
        <w:gridCol w:w="760"/>
        <w:gridCol w:w="760"/>
        <w:gridCol w:w="763"/>
        <w:gridCol w:w="763"/>
        <w:gridCol w:w="763"/>
        <w:gridCol w:w="760"/>
        <w:gridCol w:w="920"/>
      </w:tblGrid>
      <w:tr w:rsidR="000E3F12" w:rsidRPr="000E3F12">
        <w:trPr>
          <w:trHeight w:val="450"/>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Nombre Cuenca</w:t>
            </w:r>
          </w:p>
        </w:tc>
        <w:tc>
          <w:tcPr>
            <w:tcW w:w="11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Código Subcuenca</w:t>
            </w:r>
          </w:p>
        </w:tc>
        <w:tc>
          <w:tcPr>
            <w:tcW w:w="134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Usos</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Abr</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May</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Jun</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Jul</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Ago</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Sep</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Oct</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Nov</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Dic</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Ene</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Feb</w:t>
            </w:r>
          </w:p>
        </w:tc>
        <w:tc>
          <w:tcPr>
            <w:tcW w:w="76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Mar</w:t>
            </w:r>
          </w:p>
        </w:tc>
        <w:tc>
          <w:tcPr>
            <w:tcW w:w="920" w:type="dxa"/>
            <w:tcBorders>
              <w:top w:val="single" w:sz="4" w:space="0" w:color="auto"/>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Promedio Anual</w:t>
            </w:r>
          </w:p>
        </w:tc>
      </w:tr>
      <w:tr w:rsidR="000E3F12" w:rsidRPr="000E3F12">
        <w:trPr>
          <w:trHeight w:val="225"/>
          <w:jc w:val="center"/>
        </w:trPr>
        <w:tc>
          <w:tcPr>
            <w:tcW w:w="124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Costeras Rapel - E.Nilahue (061)</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610</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24,5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59,6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56,8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26,9</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22,12</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1,57</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611</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279,7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593,9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797,8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781,7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659,2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349,6</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290,40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5,4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5,34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612</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18,4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26,8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22,5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12,4</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9,87</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38,6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36,1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34,8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35,9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38,3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41,0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43,5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43,1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43,8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39,6</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39,14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613</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1.603,9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1.204,3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5.597,2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9.742,3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12.566,7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13.089,9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11.760,6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6.915,0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5.206,66</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25,2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25,4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24,5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25,2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28,9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30,8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27,9</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27,54</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val="restart"/>
            <w:tcBorders>
              <w:top w:val="nil"/>
              <w:left w:val="single" w:sz="4" w:space="0" w:color="auto"/>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614</w:t>
            </w: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Riego</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4,1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6,1</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5,5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2,12</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Agua Potable</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11,5</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10,3</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10,7</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11,4</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11,6</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12,2</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12,9</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12,8</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13,0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11,8</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11,63</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Minería</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r w:rsidR="000E3F12" w:rsidRPr="000E3F12">
        <w:trPr>
          <w:trHeight w:val="225"/>
          <w:jc w:val="center"/>
        </w:trPr>
        <w:tc>
          <w:tcPr>
            <w:tcW w:w="124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120" w:type="dxa"/>
            <w:vMerge/>
            <w:tcBorders>
              <w:top w:val="nil"/>
              <w:left w:val="single" w:sz="4" w:space="0" w:color="auto"/>
              <w:bottom w:val="single" w:sz="4" w:space="0" w:color="auto"/>
              <w:right w:val="single" w:sz="4" w:space="0" w:color="auto"/>
            </w:tcBorders>
            <w:vAlign w:val="center"/>
          </w:tcPr>
          <w:p w:rsidR="000E3F12" w:rsidRPr="000E3F12" w:rsidRDefault="000E3F12" w:rsidP="000E3F12">
            <w:pPr>
              <w:jc w:val="left"/>
              <w:rPr>
                <w:rFonts w:cs="Arial"/>
                <w:color w:val="000000"/>
                <w:sz w:val="16"/>
                <w:szCs w:val="16"/>
                <w:lang w:val="es-CL" w:eastAsia="es-CL"/>
              </w:rPr>
            </w:pPr>
          </w:p>
        </w:tc>
        <w:tc>
          <w:tcPr>
            <w:tcW w:w="134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Industrial</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76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color w:val="000000"/>
                <w:sz w:val="16"/>
                <w:szCs w:val="16"/>
                <w:lang w:val="es-CL" w:eastAsia="es-CL"/>
              </w:rPr>
            </w:pPr>
            <w:r w:rsidRPr="000E3F12">
              <w:rPr>
                <w:rFonts w:cs="Arial"/>
                <w:color w:val="000000"/>
                <w:sz w:val="16"/>
                <w:szCs w:val="16"/>
                <w:lang w:val="es-CL" w:eastAsia="es-CL"/>
              </w:rPr>
              <w:t>0,0</w:t>
            </w:r>
          </w:p>
        </w:tc>
        <w:tc>
          <w:tcPr>
            <w:tcW w:w="920" w:type="dxa"/>
            <w:tcBorders>
              <w:top w:val="nil"/>
              <w:left w:val="nil"/>
              <w:bottom w:val="single" w:sz="4" w:space="0" w:color="auto"/>
              <w:right w:val="single" w:sz="4" w:space="0" w:color="auto"/>
            </w:tcBorders>
            <w:shd w:val="clear" w:color="auto" w:fill="auto"/>
            <w:vAlign w:val="center"/>
          </w:tcPr>
          <w:p w:rsidR="000E3F12" w:rsidRPr="000E3F12" w:rsidRDefault="000E3F12" w:rsidP="000E3F12">
            <w:pPr>
              <w:jc w:val="center"/>
              <w:rPr>
                <w:rFonts w:cs="Arial"/>
                <w:sz w:val="16"/>
                <w:szCs w:val="16"/>
                <w:lang w:val="es-CL" w:eastAsia="es-CL"/>
              </w:rPr>
            </w:pPr>
            <w:r w:rsidRPr="000E3F12">
              <w:rPr>
                <w:rFonts w:cs="Arial"/>
                <w:sz w:val="16"/>
                <w:szCs w:val="16"/>
                <w:lang w:val="es-CL" w:eastAsia="es-CL"/>
              </w:rPr>
              <w:t>0,00</w:t>
            </w:r>
          </w:p>
        </w:tc>
      </w:tr>
    </w:tbl>
    <w:p w:rsidR="007853F0" w:rsidRPr="00AE5070" w:rsidRDefault="007853F0" w:rsidP="00B51B51">
      <w:pPr>
        <w:widowControl w:val="0"/>
      </w:pPr>
    </w:p>
    <w:p w:rsidR="000A1474" w:rsidRPr="00AE5070" w:rsidRDefault="000A1474"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F67420" w:rsidRPr="00AE5070" w:rsidRDefault="00F67420" w:rsidP="00B51B51">
      <w:pPr>
        <w:widowControl w:val="0"/>
        <w:tabs>
          <w:tab w:val="left" w:pos="1418"/>
        </w:tabs>
        <w:rPr>
          <w:rFonts w:cs="Arial"/>
        </w:rPr>
      </w:pPr>
    </w:p>
    <w:p w:rsidR="00A87F61" w:rsidRDefault="00A87F61" w:rsidP="0025712A">
      <w:pPr>
        <w:pStyle w:val="Ttulo2"/>
        <w:numPr>
          <w:ilvl w:val="0"/>
          <w:numId w:val="0"/>
        </w:numPr>
        <w:ind w:left="576"/>
        <w:rPr>
          <w:lang w:val="es-ES_tradnl"/>
        </w:rPr>
      </w:pPr>
    </w:p>
    <w:p w:rsidR="0025712A" w:rsidRPr="0025712A" w:rsidRDefault="0025712A" w:rsidP="0025712A">
      <w:pPr>
        <w:rPr>
          <w:lang w:val="es-ES_tradnl"/>
        </w:rPr>
        <w:sectPr w:rsidR="0025712A" w:rsidRPr="0025712A" w:rsidSect="007853F0">
          <w:headerReference w:type="even" r:id="rId247"/>
          <w:pgSz w:w="15842" w:h="12242" w:orient="landscape" w:code="1"/>
          <w:pgMar w:top="1418" w:right="1701" w:bottom="1418" w:left="1418" w:header="851" w:footer="851" w:gutter="284"/>
          <w:cols w:space="708"/>
          <w:docGrid w:linePitch="360"/>
        </w:sectPr>
      </w:pPr>
    </w:p>
    <w:p w:rsidR="00F67420" w:rsidRDefault="0025712A" w:rsidP="0025712A">
      <w:r>
        <w:lastRenderedPageBreak/>
        <w:t>El resumen con los balances se muestran en las siguientes tablas:</w:t>
      </w:r>
    </w:p>
    <w:p w:rsidR="0025712A" w:rsidRDefault="0025712A" w:rsidP="0025712A"/>
    <w:p w:rsidR="0025712A" w:rsidRDefault="0025712A" w:rsidP="0025712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15</w:t>
      </w:r>
      <w:r w:rsidR="007F3102">
        <w:fldChar w:fldCharType="end"/>
      </w:r>
      <w:r>
        <w:t xml:space="preserve"> Balance Hídrico Situación Actual Condición Media Subcuencas VI Región</w:t>
      </w:r>
    </w:p>
    <w:tbl>
      <w:tblPr>
        <w:tblW w:w="7761" w:type="dxa"/>
        <w:jc w:val="center"/>
        <w:tblInd w:w="65" w:type="dxa"/>
        <w:tblCellMar>
          <w:left w:w="70" w:type="dxa"/>
          <w:right w:w="70" w:type="dxa"/>
        </w:tblCellMar>
        <w:tblLook w:val="04A0" w:firstRow="1" w:lastRow="0" w:firstColumn="1" w:lastColumn="0" w:noHBand="0" w:noVBand="1"/>
      </w:tblPr>
      <w:tblGrid>
        <w:gridCol w:w="1141"/>
        <w:gridCol w:w="1120"/>
        <w:gridCol w:w="1120"/>
        <w:gridCol w:w="1120"/>
        <w:gridCol w:w="1120"/>
        <w:gridCol w:w="1120"/>
        <w:gridCol w:w="1020"/>
      </w:tblGrid>
      <w:tr w:rsidR="0025712A" w:rsidRPr="0025712A">
        <w:trPr>
          <w:trHeight w:val="255"/>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Pr>
                <w:rFonts w:cs="Arial"/>
                <w:color w:val="000000"/>
                <w:sz w:val="20"/>
                <w:szCs w:val="20"/>
                <w:lang w:val="es-CL" w:eastAsia="es-CL"/>
              </w:rPr>
              <w:t>Subc</w:t>
            </w:r>
            <w:r w:rsidRPr="0025712A">
              <w:rPr>
                <w:rFonts w:cs="Arial"/>
                <w:color w:val="000000"/>
                <w:sz w:val="20"/>
                <w:szCs w:val="20"/>
                <w:lang w:val="es-CL" w:eastAsia="es-CL"/>
              </w:rPr>
              <w:t>uenca</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P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Qe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E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D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Qs [l/s]</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ascii="Calibri" w:hAnsi="Calibri" w:cs="Arial"/>
                <w:color w:val="000000"/>
                <w:sz w:val="20"/>
                <w:szCs w:val="20"/>
                <w:lang w:val="es-CL" w:eastAsia="es-CL"/>
              </w:rPr>
              <w:t>Δ</w:t>
            </w:r>
            <w:r w:rsidRPr="0025712A">
              <w:rPr>
                <w:rFonts w:cs="Arial"/>
                <w:color w:val="000000"/>
                <w:sz w:val="20"/>
                <w:szCs w:val="20"/>
                <w:lang w:val="es-CL" w:eastAsia="es-CL"/>
              </w:rPr>
              <w:t xml:space="preserve"> [l/s]</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0571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752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373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3835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4916</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-237</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1568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3682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92593</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-887</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702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96065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326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46116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90534</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2233</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0602-0603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1117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28216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59522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-2616</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560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331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5946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5063</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-659</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584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157034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409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6890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156506</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5333</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396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510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617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367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2789</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630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2380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453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1647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11449</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649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3584</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bl>
    <w:p w:rsidR="0025712A" w:rsidRDefault="0025712A" w:rsidP="0025712A"/>
    <w:p w:rsidR="0025712A" w:rsidRDefault="0025712A" w:rsidP="0025712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16</w:t>
      </w:r>
      <w:r w:rsidR="007F3102">
        <w:fldChar w:fldCharType="end"/>
      </w:r>
      <w:r>
        <w:t xml:space="preserve"> Balance Hídrico Situación Actual Condición 85% Probabilidad de Excedencia Subcuencas VI Región</w:t>
      </w:r>
    </w:p>
    <w:tbl>
      <w:tblPr>
        <w:tblW w:w="7761" w:type="dxa"/>
        <w:jc w:val="center"/>
        <w:tblInd w:w="65" w:type="dxa"/>
        <w:tblCellMar>
          <w:left w:w="70" w:type="dxa"/>
          <w:right w:w="70" w:type="dxa"/>
        </w:tblCellMar>
        <w:tblLook w:val="04A0" w:firstRow="1" w:lastRow="0" w:firstColumn="1" w:lastColumn="0" w:noHBand="0" w:noVBand="1"/>
      </w:tblPr>
      <w:tblGrid>
        <w:gridCol w:w="1141"/>
        <w:gridCol w:w="1120"/>
        <w:gridCol w:w="1120"/>
        <w:gridCol w:w="1120"/>
        <w:gridCol w:w="1120"/>
        <w:gridCol w:w="1120"/>
        <w:gridCol w:w="1020"/>
      </w:tblGrid>
      <w:tr w:rsidR="0025712A" w:rsidRPr="0025712A">
        <w:trPr>
          <w:trHeight w:val="255"/>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Pr>
                <w:rFonts w:cs="Arial"/>
                <w:color w:val="000000"/>
                <w:sz w:val="20"/>
                <w:szCs w:val="20"/>
                <w:lang w:val="es-CL" w:eastAsia="es-CL"/>
              </w:rPr>
              <w:t>Subc</w:t>
            </w:r>
            <w:r w:rsidRPr="0025712A">
              <w:rPr>
                <w:rFonts w:cs="Arial"/>
                <w:color w:val="000000"/>
                <w:sz w:val="20"/>
                <w:szCs w:val="20"/>
                <w:lang w:val="es-CL" w:eastAsia="es-CL"/>
              </w:rPr>
              <w:t>uenca</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P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Qe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E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D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Qs [l/s]</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ascii="Calibri" w:hAnsi="Calibri" w:cs="Arial"/>
                <w:color w:val="000000"/>
                <w:sz w:val="20"/>
                <w:szCs w:val="20"/>
                <w:lang w:val="es-CL" w:eastAsia="es-CL"/>
              </w:rPr>
              <w:t>Δ</w:t>
            </w:r>
            <w:r w:rsidRPr="0025712A">
              <w:rPr>
                <w:rFonts w:cs="Arial"/>
                <w:color w:val="000000"/>
                <w:sz w:val="20"/>
                <w:szCs w:val="20"/>
                <w:lang w:val="es-CL" w:eastAsia="es-CL"/>
              </w:rPr>
              <w:t xml:space="preserve"> [l/s]</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0571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292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3835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2611</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-3789</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908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3682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66212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-29561</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66212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253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46116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48250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-9183</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0602-0603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391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28216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22722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-12020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219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5946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1069</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-3900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357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72041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302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6890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80087</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-11223</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348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331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421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400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367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408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239</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476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1647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508</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426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402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416</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bl>
    <w:p w:rsidR="0025712A" w:rsidRDefault="0025712A" w:rsidP="0025712A"/>
    <w:p w:rsidR="0025712A" w:rsidRDefault="0025712A" w:rsidP="0025712A">
      <w:pPr>
        <w:pStyle w:val="Epgrafe"/>
        <w:keepNext/>
      </w:pPr>
      <w:r>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17</w:t>
      </w:r>
      <w:r w:rsidR="007F3102">
        <w:fldChar w:fldCharType="end"/>
      </w:r>
      <w:r>
        <w:t xml:space="preserve"> Balance Hídrico Situación Futura Condición Media Subcuencas VI Región</w:t>
      </w:r>
    </w:p>
    <w:tbl>
      <w:tblPr>
        <w:tblW w:w="7761" w:type="dxa"/>
        <w:jc w:val="center"/>
        <w:tblInd w:w="65" w:type="dxa"/>
        <w:tblCellMar>
          <w:left w:w="70" w:type="dxa"/>
          <w:right w:w="70" w:type="dxa"/>
        </w:tblCellMar>
        <w:tblLook w:val="04A0" w:firstRow="1" w:lastRow="0" w:firstColumn="1" w:lastColumn="0" w:noHBand="0" w:noVBand="1"/>
      </w:tblPr>
      <w:tblGrid>
        <w:gridCol w:w="1141"/>
        <w:gridCol w:w="1120"/>
        <w:gridCol w:w="1120"/>
        <w:gridCol w:w="1120"/>
        <w:gridCol w:w="1120"/>
        <w:gridCol w:w="1120"/>
        <w:gridCol w:w="1020"/>
      </w:tblGrid>
      <w:tr w:rsidR="0025712A" w:rsidRPr="0025712A">
        <w:trPr>
          <w:trHeight w:val="255"/>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Pr>
                <w:rFonts w:cs="Arial"/>
                <w:color w:val="000000"/>
                <w:sz w:val="20"/>
                <w:szCs w:val="20"/>
                <w:lang w:val="es-CL" w:eastAsia="es-CL"/>
              </w:rPr>
              <w:t>Subc</w:t>
            </w:r>
            <w:r w:rsidRPr="0025712A">
              <w:rPr>
                <w:rFonts w:cs="Arial"/>
                <w:color w:val="000000"/>
                <w:sz w:val="20"/>
                <w:szCs w:val="20"/>
                <w:lang w:val="es-CL" w:eastAsia="es-CL"/>
              </w:rPr>
              <w:t>uenca</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P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Qe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E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D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Qs [l/s]</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ascii="Calibri" w:hAnsi="Calibri" w:cs="Arial"/>
                <w:color w:val="000000"/>
                <w:sz w:val="20"/>
                <w:szCs w:val="20"/>
                <w:lang w:val="es-CL" w:eastAsia="es-CL"/>
              </w:rPr>
              <w:t>Δ</w:t>
            </w:r>
            <w:r w:rsidRPr="0025712A">
              <w:rPr>
                <w:rFonts w:cs="Arial"/>
                <w:color w:val="000000"/>
                <w:sz w:val="20"/>
                <w:szCs w:val="20"/>
                <w:lang w:val="es-CL" w:eastAsia="es-CL"/>
              </w:rPr>
              <w:t xml:space="preserve"> [l/s]</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0571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752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340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4916</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-749</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1568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455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6868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92593</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-4049</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702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96065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64259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90534</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-5677</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0602-0603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1117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37492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59522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-5546</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560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318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7911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5063</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-2049</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584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157034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9170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156506</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4412</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396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617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2668</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630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2372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453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6536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6560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649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3580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bl>
    <w:p w:rsidR="0025712A" w:rsidRDefault="0025712A" w:rsidP="0025712A"/>
    <w:p w:rsidR="0025712A" w:rsidRDefault="0025712A" w:rsidP="0025712A"/>
    <w:p w:rsidR="0025712A" w:rsidRDefault="0025712A" w:rsidP="0025712A">
      <w:pPr>
        <w:pStyle w:val="Epgrafe"/>
        <w:keepNext/>
      </w:pPr>
      <w:r>
        <w:lastRenderedPageBreak/>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18</w:t>
      </w:r>
      <w:r w:rsidR="007F3102">
        <w:fldChar w:fldCharType="end"/>
      </w:r>
      <w:r>
        <w:t xml:space="preserve"> Balance Hídrico Situación Futura Condición 85% Probabilidad de Excedencia Subcuencas VI Región</w:t>
      </w:r>
    </w:p>
    <w:tbl>
      <w:tblPr>
        <w:tblW w:w="7761" w:type="dxa"/>
        <w:jc w:val="center"/>
        <w:tblInd w:w="65" w:type="dxa"/>
        <w:tblCellMar>
          <w:left w:w="70" w:type="dxa"/>
          <w:right w:w="70" w:type="dxa"/>
        </w:tblCellMar>
        <w:tblLook w:val="04A0" w:firstRow="1" w:lastRow="0" w:firstColumn="1" w:lastColumn="0" w:noHBand="0" w:noVBand="1"/>
      </w:tblPr>
      <w:tblGrid>
        <w:gridCol w:w="1141"/>
        <w:gridCol w:w="1120"/>
        <w:gridCol w:w="1120"/>
        <w:gridCol w:w="1120"/>
        <w:gridCol w:w="1120"/>
        <w:gridCol w:w="1120"/>
        <w:gridCol w:w="1020"/>
      </w:tblGrid>
      <w:tr w:rsidR="0025712A" w:rsidRPr="0025712A">
        <w:trPr>
          <w:trHeight w:val="255"/>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Pr>
                <w:rFonts w:cs="Arial"/>
                <w:color w:val="000000"/>
                <w:sz w:val="20"/>
                <w:szCs w:val="20"/>
                <w:lang w:val="es-CL" w:eastAsia="es-CL"/>
              </w:rPr>
              <w:t>Subc</w:t>
            </w:r>
            <w:r w:rsidRPr="0025712A">
              <w:rPr>
                <w:rFonts w:cs="Arial"/>
                <w:color w:val="000000"/>
                <w:sz w:val="20"/>
                <w:szCs w:val="20"/>
                <w:lang w:val="es-CL" w:eastAsia="es-CL"/>
              </w:rPr>
              <w:t>uenca</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P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Qe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E [mm]</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D [l/s]</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Qs [l/s]</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ascii="Calibri" w:hAnsi="Calibri" w:cs="Arial"/>
                <w:color w:val="000000"/>
                <w:sz w:val="20"/>
                <w:szCs w:val="20"/>
                <w:lang w:val="es-CL" w:eastAsia="es-CL"/>
              </w:rPr>
              <w:t>Δ</w:t>
            </w:r>
            <w:r w:rsidRPr="0025712A">
              <w:rPr>
                <w:rFonts w:cs="Arial"/>
                <w:color w:val="000000"/>
                <w:sz w:val="20"/>
                <w:szCs w:val="20"/>
                <w:lang w:val="es-CL" w:eastAsia="es-CL"/>
              </w:rPr>
              <w:t xml:space="preserve"> [l/s]</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0571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5965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5088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2611</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-4462</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908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37493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6868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66212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-32724</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66212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20856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64259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48250</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-19405</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0602-0603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703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43039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37492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22722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-15578</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9499</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7911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1069</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-5485</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0605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357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72041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19193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9170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80087</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-12501</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348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1115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38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21</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421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6911</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488</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-117</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0612</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5263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56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231</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0613</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476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24657</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6536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-4381</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r w:rsidR="0025712A" w:rsidRPr="0025712A">
        <w:trPr>
          <w:trHeight w:val="255"/>
          <w:jc w:val="center"/>
        </w:trPr>
        <w:tc>
          <w:tcPr>
            <w:tcW w:w="1141" w:type="dxa"/>
            <w:tcBorders>
              <w:top w:val="nil"/>
              <w:left w:val="single" w:sz="4" w:space="0" w:color="auto"/>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b/>
                <w:bCs/>
                <w:color w:val="000000"/>
                <w:sz w:val="20"/>
                <w:szCs w:val="20"/>
                <w:lang w:val="es-CL" w:eastAsia="es-CL"/>
              </w:rPr>
            </w:pPr>
            <w:r w:rsidRPr="0025712A">
              <w:rPr>
                <w:rFonts w:cs="Arial"/>
                <w:b/>
                <w:bCs/>
                <w:color w:val="000000"/>
                <w:sz w:val="20"/>
                <w:szCs w:val="20"/>
                <w:lang w:val="es-CL" w:eastAsia="es-CL"/>
              </w:rPr>
              <w:t>0614</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426</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7160</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15</w:t>
            </w:r>
          </w:p>
        </w:tc>
        <w:tc>
          <w:tcPr>
            <w:tcW w:w="11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412</w:t>
            </w:r>
          </w:p>
        </w:tc>
        <w:tc>
          <w:tcPr>
            <w:tcW w:w="1020" w:type="dxa"/>
            <w:tcBorders>
              <w:top w:val="nil"/>
              <w:left w:val="nil"/>
              <w:bottom w:val="single" w:sz="4" w:space="0" w:color="auto"/>
              <w:right w:val="single" w:sz="4" w:space="0" w:color="auto"/>
            </w:tcBorders>
            <w:shd w:val="clear" w:color="auto" w:fill="auto"/>
            <w:noWrap/>
            <w:vAlign w:val="bottom"/>
          </w:tcPr>
          <w:p w:rsidR="0025712A" w:rsidRPr="0025712A" w:rsidRDefault="0025712A" w:rsidP="0025712A">
            <w:pPr>
              <w:jc w:val="center"/>
              <w:rPr>
                <w:rFonts w:cs="Arial"/>
                <w:color w:val="000000"/>
                <w:sz w:val="20"/>
                <w:szCs w:val="20"/>
                <w:lang w:val="es-CL" w:eastAsia="es-CL"/>
              </w:rPr>
            </w:pPr>
            <w:r w:rsidRPr="0025712A">
              <w:rPr>
                <w:rFonts w:cs="Arial"/>
                <w:color w:val="000000"/>
                <w:sz w:val="20"/>
                <w:szCs w:val="20"/>
                <w:lang w:val="es-CL" w:eastAsia="es-CL"/>
              </w:rPr>
              <w:t>0</w:t>
            </w:r>
          </w:p>
        </w:tc>
      </w:tr>
    </w:tbl>
    <w:p w:rsidR="00F67420" w:rsidRDefault="00F67420" w:rsidP="00B51B51">
      <w:pPr>
        <w:widowControl w:val="0"/>
        <w:tabs>
          <w:tab w:val="left" w:pos="1418"/>
        </w:tabs>
        <w:rPr>
          <w:rFonts w:cs="Arial"/>
        </w:rPr>
      </w:pPr>
    </w:p>
    <w:p w:rsidR="00A87F61" w:rsidRDefault="00A87F61" w:rsidP="00A87F61">
      <w:pPr>
        <w:pStyle w:val="Ttulo2"/>
        <w:rPr>
          <w:lang w:val="es-ES_tradnl"/>
        </w:rPr>
      </w:pPr>
      <w:bookmarkStart w:id="485" w:name="_Toc344391872"/>
      <w:r>
        <w:rPr>
          <w:lang w:val="es-ES_tradnl"/>
        </w:rPr>
        <w:t>Soluciones Propuestas</w:t>
      </w:r>
      <w:bookmarkEnd w:id="485"/>
    </w:p>
    <w:p w:rsidR="00A2610D" w:rsidRDefault="00A2610D" w:rsidP="00A2610D">
      <w:pPr>
        <w:rPr>
          <w:rFonts w:cs="Arial"/>
          <w:szCs w:val="22"/>
          <w:lang w:val="es-CL"/>
        </w:rPr>
      </w:pPr>
    </w:p>
    <w:p w:rsidR="00A2610D" w:rsidRDefault="00A2610D" w:rsidP="00A2610D">
      <w:pPr>
        <w:rPr>
          <w:rFonts w:cs="Arial"/>
          <w:szCs w:val="22"/>
          <w:lang w:val="es-CL"/>
        </w:rPr>
      </w:pPr>
      <w:r>
        <w:rPr>
          <w:rFonts w:cs="Arial"/>
          <w:szCs w:val="22"/>
          <w:lang w:val="es-CL"/>
        </w:rPr>
        <w:t xml:space="preserve">Finalmente se realizó </w:t>
      </w:r>
      <w:r w:rsidRPr="00A4396D">
        <w:rPr>
          <w:rFonts w:cs="Arial"/>
          <w:szCs w:val="22"/>
          <w:lang w:val="es-CL"/>
        </w:rPr>
        <w:t xml:space="preserve">una propuesta de las posibles soluciones potenciales de implementar a nivel de las subcuencas de </w:t>
      </w:r>
      <w:smartTag w:uri="urn:schemas-microsoft-com:office:smarttags" w:element="PersonName">
        <w:smartTagPr>
          <w:attr w:name="ProductID" w:val="la Región"/>
        </w:smartTagPr>
        <w:r w:rsidRPr="00A4396D">
          <w:rPr>
            <w:rFonts w:cs="Arial"/>
            <w:szCs w:val="22"/>
            <w:lang w:val="es-CL"/>
          </w:rPr>
          <w:t>la Región</w:t>
        </w:r>
      </w:smartTag>
      <w:r w:rsidRPr="00A4396D">
        <w:rPr>
          <w:rFonts w:cs="Arial"/>
          <w:szCs w:val="22"/>
          <w:lang w:val="es-CL"/>
        </w:rPr>
        <w:t xml:space="preserve"> </w:t>
      </w:r>
      <w:r w:rsidRPr="0075051F">
        <w:rPr>
          <w:rFonts w:cs="Arial"/>
          <w:szCs w:val="22"/>
          <w:lang w:val="es-CL"/>
        </w:rPr>
        <w:t>de</w:t>
      </w:r>
      <w:r>
        <w:rPr>
          <w:rFonts w:cs="Arial"/>
          <w:szCs w:val="22"/>
          <w:lang w:val="es-CL"/>
        </w:rPr>
        <w:t>l</w:t>
      </w:r>
      <w:r>
        <w:rPr>
          <w:szCs w:val="22"/>
          <w:lang w:val="es-CL"/>
        </w:rPr>
        <w:t xml:space="preserve"> </w:t>
      </w:r>
      <w:r w:rsidRPr="0075051F">
        <w:rPr>
          <w:rFonts w:cs="Arial"/>
          <w:szCs w:val="22"/>
          <w:lang w:val="es-CL"/>
        </w:rPr>
        <w:t>Libertador General Bernardo O'Higgins</w:t>
      </w:r>
      <w:r w:rsidRPr="00A4396D">
        <w:rPr>
          <w:rFonts w:cs="Arial"/>
          <w:szCs w:val="22"/>
          <w:lang w:val="es-CL"/>
        </w:rPr>
        <w:t>, teniendo como base los resultados del balance oferta-demanda</w:t>
      </w:r>
      <w:r>
        <w:rPr>
          <w:rFonts w:cs="Arial"/>
          <w:szCs w:val="22"/>
          <w:lang w:val="es-CL"/>
        </w:rPr>
        <w:t>.</w:t>
      </w:r>
      <w:r w:rsidR="000D1055">
        <w:rPr>
          <w:rFonts w:cs="Arial"/>
          <w:szCs w:val="22"/>
          <w:lang w:val="es-CL"/>
        </w:rPr>
        <w:t xml:space="preserve"> Estas soluciones se resumen en la siguiente tabla.</w:t>
      </w:r>
    </w:p>
    <w:p w:rsidR="000D1055" w:rsidRDefault="000D1055" w:rsidP="000D1055">
      <w:pPr>
        <w:pStyle w:val="Epgrafe"/>
        <w:jc w:val="both"/>
      </w:pPr>
    </w:p>
    <w:p w:rsidR="000D1055" w:rsidRPr="007E29B0" w:rsidRDefault="000D1055" w:rsidP="000D1055">
      <w:pPr>
        <w:pStyle w:val="Epgrafe"/>
      </w:pPr>
      <w:r w:rsidRPr="007E29B0">
        <w:t xml:space="preserve">Tabla </w:t>
      </w:r>
      <w:r w:rsidR="007F3102">
        <w:fldChar w:fldCharType="begin"/>
      </w:r>
      <w:r w:rsidR="007F3102">
        <w:instrText xml:space="preserve"> STYLEREF 1 \s </w:instrText>
      </w:r>
      <w:r w:rsidR="007F3102">
        <w:fldChar w:fldCharType="separate"/>
      </w:r>
      <w:r w:rsidR="00264070">
        <w:rPr>
          <w:noProof/>
        </w:rPr>
        <w:t>8</w:t>
      </w:r>
      <w:r w:rsidR="007F3102">
        <w:fldChar w:fldCharType="end"/>
      </w:r>
      <w:r w:rsidR="007F3102">
        <w:t>.</w:t>
      </w:r>
      <w:r w:rsidR="007F3102">
        <w:fldChar w:fldCharType="begin"/>
      </w:r>
      <w:r w:rsidR="007F3102">
        <w:instrText xml:space="preserve"> SEQ Tabla \* ARABIC \s 1 </w:instrText>
      </w:r>
      <w:r w:rsidR="007F3102">
        <w:fldChar w:fldCharType="separate"/>
      </w:r>
      <w:r w:rsidR="00264070">
        <w:rPr>
          <w:noProof/>
        </w:rPr>
        <w:t>19</w:t>
      </w:r>
      <w:r w:rsidR="007F3102">
        <w:fldChar w:fldCharType="end"/>
      </w:r>
      <w:r w:rsidRPr="007E29B0">
        <w:t xml:space="preserve"> Resumen de Soluciones, Región de </w:t>
      </w:r>
      <w:r>
        <w:t>O´Higgins</w:t>
      </w:r>
    </w:p>
    <w:tbl>
      <w:tblPr>
        <w:tblW w:w="9160" w:type="dxa"/>
        <w:jc w:val="center"/>
        <w:tblInd w:w="55" w:type="dxa"/>
        <w:tblCellMar>
          <w:left w:w="70" w:type="dxa"/>
          <w:right w:w="70" w:type="dxa"/>
        </w:tblCellMar>
        <w:tblLook w:val="04A0" w:firstRow="1" w:lastRow="0" w:firstColumn="1" w:lastColumn="0" w:noHBand="0" w:noVBand="1"/>
      </w:tblPr>
      <w:tblGrid>
        <w:gridCol w:w="1560"/>
        <w:gridCol w:w="1160"/>
        <w:gridCol w:w="3704"/>
        <w:gridCol w:w="2736"/>
      </w:tblGrid>
      <w:tr w:rsidR="000D1055"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b/>
                <w:bCs/>
                <w:sz w:val="16"/>
                <w:szCs w:val="16"/>
                <w:lang w:val="es-CL" w:eastAsia="es-CL"/>
              </w:rPr>
            </w:pPr>
            <w:r w:rsidRPr="003459F7">
              <w:rPr>
                <w:rFonts w:cs="Arial"/>
                <w:b/>
                <w:bCs/>
                <w:sz w:val="16"/>
                <w:szCs w:val="16"/>
                <w:lang w:eastAsia="es-CL"/>
              </w:rPr>
              <w:t>Nombre de La Cuenca</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b/>
                <w:bCs/>
                <w:sz w:val="16"/>
                <w:szCs w:val="16"/>
                <w:lang w:val="es-CL" w:eastAsia="es-CL"/>
              </w:rPr>
            </w:pPr>
            <w:r w:rsidRPr="003459F7">
              <w:rPr>
                <w:rFonts w:cs="Arial"/>
                <w:b/>
                <w:bCs/>
                <w:sz w:val="16"/>
                <w:szCs w:val="16"/>
                <w:lang w:eastAsia="es-CL"/>
              </w:rPr>
              <w:t>Código Subcuenca</w:t>
            </w:r>
          </w:p>
        </w:tc>
        <w:tc>
          <w:tcPr>
            <w:tcW w:w="37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b/>
                <w:bCs/>
                <w:sz w:val="16"/>
                <w:szCs w:val="16"/>
                <w:lang w:val="es-CL" w:eastAsia="es-CL"/>
              </w:rPr>
            </w:pPr>
            <w:r w:rsidRPr="003459F7">
              <w:rPr>
                <w:rFonts w:cs="Arial"/>
                <w:b/>
                <w:bCs/>
                <w:sz w:val="16"/>
                <w:szCs w:val="16"/>
                <w:lang w:eastAsia="es-CL"/>
              </w:rPr>
              <w:t>Nombre Subcuenca</w:t>
            </w:r>
          </w:p>
        </w:tc>
        <w:tc>
          <w:tcPr>
            <w:tcW w:w="27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b/>
                <w:bCs/>
                <w:sz w:val="16"/>
                <w:szCs w:val="16"/>
                <w:lang w:val="es-CL" w:eastAsia="es-CL"/>
              </w:rPr>
            </w:pPr>
            <w:r w:rsidRPr="003459F7">
              <w:rPr>
                <w:rFonts w:cs="Arial"/>
                <w:b/>
                <w:bCs/>
                <w:sz w:val="16"/>
                <w:szCs w:val="16"/>
                <w:lang w:eastAsia="es-CL"/>
              </w:rPr>
              <w:t>Soluciones Propuestas</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b/>
                <w:bCs/>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b/>
                <w:bCs/>
                <w:sz w:val="16"/>
                <w:szCs w:val="16"/>
                <w:lang w:val="es-CL" w:eastAsia="es-CL"/>
              </w:rPr>
            </w:pPr>
          </w:p>
        </w:tc>
        <w:tc>
          <w:tcPr>
            <w:tcW w:w="3704"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b/>
                <w:bCs/>
                <w:sz w:val="16"/>
                <w:szCs w:val="16"/>
                <w:lang w:val="es-CL" w:eastAsia="es-CL"/>
              </w:rPr>
            </w:pPr>
          </w:p>
        </w:tc>
        <w:tc>
          <w:tcPr>
            <w:tcW w:w="2736"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b/>
                <w:bCs/>
                <w:sz w:val="16"/>
                <w:szCs w:val="16"/>
                <w:lang w:val="es-CL" w:eastAsia="es-CL"/>
              </w:rPr>
            </w:pPr>
          </w:p>
        </w:tc>
      </w:tr>
      <w:tr w:rsidR="000D1055"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Río Maipo (057)</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0571</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 xml:space="preserve">Forma Parte de </w:t>
            </w:r>
            <w:smartTag w:uri="urn:schemas-microsoft-com:office:smarttags" w:element="PersonName">
              <w:smartTagPr>
                <w:attr w:name="ProductID" w:val="La Subcuenca Del"/>
              </w:smartTagPr>
              <w:r w:rsidRPr="003459F7">
                <w:rPr>
                  <w:rFonts w:cs="Arial"/>
                  <w:sz w:val="16"/>
                  <w:szCs w:val="16"/>
                  <w:lang w:eastAsia="es-CL"/>
                </w:rPr>
                <w:t>La Subcuenca Del</w:t>
              </w:r>
            </w:smartTag>
            <w:r w:rsidRPr="003459F7">
              <w:rPr>
                <w:rFonts w:cs="Arial"/>
                <w:sz w:val="16"/>
                <w:szCs w:val="16"/>
                <w:lang w:eastAsia="es-CL"/>
              </w:rPr>
              <w:t xml:space="preserve"> Río Maipo Medio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0D1055" w:rsidRPr="003459F7" w:rsidRDefault="000D1055" w:rsidP="000D1055">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Río Rapel (060)</w:t>
            </w: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0600</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Río Cachapoal Alto (Hasta Bajo Junta Río Claro)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0601</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Cachapoal Bajo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0602</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Río Tinguiriríca Alto (Hasta Bajo Junta Río Claro)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0D1055" w:rsidRPr="003459F7" w:rsidRDefault="000D1055" w:rsidP="000D1055">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0603</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Tinguiririca Bajo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val="es-CL" w:eastAsia="es-CL"/>
              </w:rPr>
              <w:t>0604</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val="es-CL" w:eastAsia="es-CL"/>
              </w:rPr>
              <w:t>Estero Alhué</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0605</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Río Rapel</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0D1055" w:rsidRPr="003459F7" w:rsidRDefault="000D1055" w:rsidP="000D1055">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Costeras Rapel-E. Nilahue (061)</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0610</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Costeras Entre Río Rapel y Estero Topocalma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0D1055" w:rsidRPr="003459F7" w:rsidRDefault="000D1055" w:rsidP="000D1055">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0611</w:t>
            </w:r>
          </w:p>
        </w:tc>
        <w:tc>
          <w:tcPr>
            <w:tcW w:w="3704" w:type="dxa"/>
            <w:vMerge w:val="restart"/>
            <w:tcBorders>
              <w:top w:val="single" w:sz="4" w:space="0" w:color="auto"/>
              <w:left w:val="single" w:sz="4" w:space="0" w:color="auto"/>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Estero Topocalma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3704" w:type="dxa"/>
            <w:vMerge/>
            <w:tcBorders>
              <w:top w:val="single" w:sz="4" w:space="0" w:color="auto"/>
              <w:left w:val="single" w:sz="4" w:space="0" w:color="auto"/>
              <w:bottom w:val="single" w:sz="4" w:space="0" w:color="auto"/>
              <w:right w:val="nil"/>
            </w:tcBorders>
            <w:vAlign w:val="center"/>
          </w:tcPr>
          <w:p w:rsidR="000D1055" w:rsidRPr="003459F7" w:rsidRDefault="000D1055" w:rsidP="000D1055">
            <w:pPr>
              <w:rPr>
                <w:rFonts w:cs="Arial"/>
                <w:sz w:val="16"/>
                <w:szCs w:val="16"/>
                <w:lang w:val="es-CL" w:eastAsia="es-CL"/>
              </w:rPr>
            </w:pP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0612</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Costeras Entre E. Topocalma y E. Nilahue</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0613</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Estero Nilahue</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Eficiencia de Riego</w:t>
            </w:r>
          </w:p>
        </w:tc>
      </w:tr>
      <w:tr w:rsidR="000D1055" w:rsidRPr="003459F7">
        <w:trPr>
          <w:trHeight w:val="255"/>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0D1055" w:rsidRPr="003459F7" w:rsidRDefault="000D1055" w:rsidP="000D1055">
            <w:pPr>
              <w:rPr>
                <w:rFonts w:cs="Arial"/>
                <w:sz w:val="16"/>
                <w:szCs w:val="16"/>
                <w:lang w:val="es-CL" w:eastAsia="es-CL"/>
              </w:rPr>
            </w:pPr>
          </w:p>
        </w:tc>
        <w:tc>
          <w:tcPr>
            <w:tcW w:w="1160" w:type="dxa"/>
            <w:tcBorders>
              <w:top w:val="single" w:sz="4" w:space="0" w:color="auto"/>
              <w:left w:val="nil"/>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0614</w:t>
            </w:r>
          </w:p>
        </w:tc>
        <w:tc>
          <w:tcPr>
            <w:tcW w:w="3704" w:type="dxa"/>
            <w:tcBorders>
              <w:top w:val="single" w:sz="4" w:space="0" w:color="auto"/>
              <w:left w:val="nil"/>
              <w:bottom w:val="single" w:sz="4" w:space="0" w:color="auto"/>
              <w:right w:val="nil"/>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Costeras Entre Estero Nilahue y Límite Región</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0D1055" w:rsidRPr="003459F7" w:rsidRDefault="000D1055" w:rsidP="000D1055">
            <w:pPr>
              <w:jc w:val="center"/>
              <w:rPr>
                <w:rFonts w:cs="Arial"/>
                <w:sz w:val="16"/>
                <w:szCs w:val="16"/>
                <w:lang w:val="es-CL" w:eastAsia="es-CL"/>
              </w:rPr>
            </w:pPr>
            <w:r w:rsidRPr="003459F7">
              <w:rPr>
                <w:rFonts w:cs="Arial"/>
                <w:sz w:val="16"/>
                <w:szCs w:val="16"/>
                <w:lang w:eastAsia="es-CL"/>
              </w:rPr>
              <w:t>Mejoramiento de Red de Monitoreo</w:t>
            </w:r>
          </w:p>
        </w:tc>
      </w:tr>
    </w:tbl>
    <w:p w:rsidR="00A87F61" w:rsidRPr="00A2610D" w:rsidRDefault="00A87F61" w:rsidP="00A87F61">
      <w:pPr>
        <w:rPr>
          <w:lang w:val="es-CL"/>
        </w:rPr>
      </w:pPr>
    </w:p>
    <w:sectPr w:rsidR="00A87F61" w:rsidRPr="00A2610D" w:rsidSect="00A87F61">
      <w:pgSz w:w="12242" w:h="15842" w:code="1"/>
      <w:pgMar w:top="1701" w:right="1418" w:bottom="1418" w:left="1418" w:header="851" w:footer="851" w:gutter="28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453A" w:rsidRDefault="002A453A">
      <w:r>
        <w:separator/>
      </w:r>
    </w:p>
  </w:endnote>
  <w:endnote w:type="continuationSeparator" w:id="0">
    <w:p w:rsidR="002A453A" w:rsidRDefault="002A4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valon">
    <w:panose1 w:val="00000000000000000000"/>
    <w:charset w:val="00"/>
    <w:family w:val="auto"/>
    <w:notTrueType/>
    <w:pitch w:val="variable"/>
    <w:sig w:usb0="00000003" w:usb1="00000000" w:usb2="00000000" w:usb3="00000000" w:csb0="00000001" w:csb1="00000000"/>
  </w:font>
  <w:font w:name="ZapfHumnst BT">
    <w:altName w:val="Lucida Sans Unicode"/>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Default="007F3102" w:rsidP="00CD050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7F3102" w:rsidRDefault="007F3102" w:rsidP="00CD050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Default="007F3102" w:rsidP="00CD050D">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Pr="008A469E" w:rsidRDefault="007F3102" w:rsidP="00094332">
    <w:pPr>
      <w:pStyle w:val="Piedepgina"/>
      <w:pBdr>
        <w:top w:val="single" w:sz="4" w:space="1" w:color="auto"/>
      </w:pBdr>
      <w:ind w:right="360"/>
      <w:rPr>
        <w:sz w:val="16"/>
        <w:szCs w:val="16"/>
        <w:lang w:val="es-ES_tradnl"/>
      </w:rPr>
    </w:pPr>
    <w:r>
      <w:rPr>
        <w:sz w:val="16"/>
        <w:szCs w:val="16"/>
        <w:lang w:val="es-ES_tradnl"/>
      </w:rPr>
      <w:t xml:space="preserve">Estudio Hidrológico de Cuencas de </w:t>
    </w:r>
    <w:smartTag w:uri="urn:schemas-microsoft-com:office:smarttags" w:element="PersonName">
      <w:smartTagPr>
        <w:attr w:name="ProductID" w:val="la VI Región."/>
      </w:smartTagPr>
      <w:r>
        <w:rPr>
          <w:sz w:val="16"/>
          <w:szCs w:val="16"/>
          <w:lang w:val="es-ES_tradnl"/>
        </w:rPr>
        <w:t>la VI Región.</w:t>
      </w:r>
    </w:smartTag>
    <w:r>
      <w:rPr>
        <w:sz w:val="16"/>
        <w:szCs w:val="16"/>
        <w:lang w:val="es-ES_tradnl"/>
      </w:rPr>
      <w:t xml:space="preserve"> Informe Etapa 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453A" w:rsidRDefault="002A453A">
      <w:r>
        <w:separator/>
      </w:r>
    </w:p>
  </w:footnote>
  <w:footnote w:type="continuationSeparator" w:id="0">
    <w:p w:rsidR="002A453A" w:rsidRDefault="002A45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Default="007F3102" w:rsidP="00CD050D">
    <w:pPr>
      <w:pStyle w:val="Encabezado"/>
      <w:pBdr>
        <w:bottom w:val="single" w:sz="4" w:space="1" w:color="auto"/>
      </w:pBdr>
      <w:rPr>
        <w:sz w:val="18"/>
        <w:szCs w:val="18"/>
      </w:rPr>
    </w:pPr>
    <w:r>
      <w:t>CONIC-BF</w:t>
    </w:r>
    <w:r w:rsidRPr="006A3087">
      <w:rPr>
        <w:sz w:val="18"/>
        <w:szCs w:val="18"/>
      </w:rPr>
      <w:t xml:space="preserve"> Ingenieros Civiles Consultores Ltda.</w:t>
    </w:r>
  </w:p>
  <w:p w:rsidR="007F3102" w:rsidRDefault="007F3102" w:rsidP="00CD050D">
    <w:pPr>
      <w:pStyle w:val="Encabezado"/>
      <w:pBdr>
        <w:bottom w:val="single" w:sz="4" w:space="1" w:color="auto"/>
      </w:pBdr>
      <w:rPr>
        <w:sz w:val="18"/>
        <w:szCs w:val="18"/>
      </w:rPr>
    </w:pPr>
  </w:p>
  <w:p w:rsidR="007F3102" w:rsidRDefault="007F3102">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Pr="00DA3DDA" w:rsidRDefault="007F3102" w:rsidP="00934EB2">
    <w:pPr>
      <w:pStyle w:val="Piedepgina"/>
      <w:framePr w:wrap="around" w:vAnchor="text" w:hAnchor="margin" w:xAlign="right" w:y="1"/>
      <w:rPr>
        <w:rStyle w:val="Nmerodepgina"/>
        <w:rFonts w:cs="Arial"/>
        <w:sz w:val="16"/>
        <w:szCs w:val="16"/>
      </w:rPr>
    </w:pPr>
    <w:r w:rsidRPr="00DA3DDA">
      <w:rPr>
        <w:rStyle w:val="Nmerodepgina"/>
        <w:rFonts w:cs="Arial"/>
        <w:sz w:val="16"/>
        <w:szCs w:val="16"/>
      </w:rPr>
      <w:fldChar w:fldCharType="begin"/>
    </w:r>
    <w:r w:rsidRPr="00DA3DDA">
      <w:rPr>
        <w:rStyle w:val="Nmerodepgina"/>
        <w:rFonts w:cs="Arial"/>
        <w:sz w:val="16"/>
        <w:szCs w:val="16"/>
      </w:rPr>
      <w:instrText xml:space="preserve">PAGE  </w:instrText>
    </w:r>
    <w:r w:rsidRPr="00DA3DDA">
      <w:rPr>
        <w:rStyle w:val="Nmerodepgina"/>
        <w:rFonts w:cs="Arial"/>
        <w:sz w:val="16"/>
        <w:szCs w:val="16"/>
      </w:rPr>
      <w:fldChar w:fldCharType="separate"/>
    </w:r>
    <w:r w:rsidR="00254CE2">
      <w:rPr>
        <w:rStyle w:val="Nmerodepgina"/>
        <w:rFonts w:cs="Arial"/>
        <w:noProof/>
        <w:sz w:val="16"/>
        <w:szCs w:val="16"/>
      </w:rPr>
      <w:t>180</w:t>
    </w:r>
    <w:r w:rsidRPr="00DA3DDA">
      <w:rPr>
        <w:rStyle w:val="Nmerodepgina"/>
        <w:rFonts w:cs="Arial"/>
        <w:sz w:val="16"/>
        <w:szCs w:val="16"/>
      </w:rPr>
      <w:fldChar w:fldCharType="end"/>
    </w:r>
  </w:p>
  <w:p w:rsidR="007F3102" w:rsidRPr="0052776C" w:rsidRDefault="007F3102" w:rsidP="0052776C">
    <w:pPr>
      <w:pStyle w:val="Encabezado"/>
      <w:ind w:right="360"/>
      <w:rPr>
        <w:rFonts w:cs="Arial"/>
        <w:b/>
        <w:color w:val="000080"/>
        <w:sz w:val="18"/>
      </w:rPr>
    </w:pPr>
    <w:r w:rsidRPr="00043BC8">
      <w:rPr>
        <w:rStyle w:val="Nmerodepgina"/>
        <w:rFonts w:cs="Arial"/>
        <w:b/>
        <w:color w:val="000080"/>
        <w:spacing w:val="10"/>
        <w:szCs w:val="22"/>
      </w:rPr>
      <w:t>CONIC</w:t>
    </w:r>
    <w:r w:rsidRPr="00043BC8">
      <w:rPr>
        <w:rStyle w:val="Nmerodepgina"/>
        <w:rFonts w:cs="Arial"/>
        <w:b/>
        <w:color w:val="000080"/>
        <w:szCs w:val="22"/>
      </w:rPr>
      <w:t xml:space="preserve"> - </w:t>
    </w:r>
    <w:r w:rsidRPr="00043BC8">
      <w:rPr>
        <w:rStyle w:val="Nmerodepgina"/>
        <w:rFonts w:cs="Arial"/>
        <w:b/>
        <w:color w:val="000080"/>
        <w:spacing w:val="10"/>
        <w:szCs w:val="22"/>
      </w:rPr>
      <w:t>BF</w:t>
    </w:r>
    <w:r w:rsidRPr="0040476A">
      <w:rPr>
        <w:rStyle w:val="Nmerodepgina"/>
        <w:rFonts w:cs="Arial"/>
        <w:b/>
        <w:color w:val="000080"/>
        <w:sz w:val="20"/>
      </w:rPr>
      <w:t xml:space="preserve">  </w:t>
    </w:r>
    <w:r w:rsidRPr="0040476A">
      <w:rPr>
        <w:rStyle w:val="Nmerodepgina"/>
        <w:rFonts w:cs="Arial"/>
        <w:b/>
        <w:color w:val="000080"/>
        <w:sz w:val="18"/>
      </w:rPr>
      <w:t>Ingenieros Civiles Consultores Ltda.</w:t>
    </w:r>
    <w:r>
      <w:rPr>
        <w:rStyle w:val="Nmerodepgina"/>
        <w:rFonts w:cs="Arial"/>
        <w:b/>
        <w:color w:val="000080"/>
        <w:sz w:val="18"/>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Default="007F3102">
    <w:pPr>
      <w:pStyle w:val="Encabezado"/>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12</w:t>
    </w:r>
    <w:r>
      <w:rPr>
        <w:rStyle w:val="Nmerodepgina"/>
      </w:rPr>
      <w:fldChar w:fldCharType="end"/>
    </w:r>
  </w:p>
  <w:p w:rsidR="007F3102" w:rsidRDefault="007F3102">
    <w:pPr>
      <w:pStyle w:val="Encabezado"/>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102" w:rsidRDefault="007F3102">
    <w:pPr>
      <w:pStyle w:val="Encabezado"/>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12</w:t>
    </w:r>
    <w:r>
      <w:rPr>
        <w:rStyle w:val="Nmerodepgina"/>
      </w:rPr>
      <w:fldChar w:fldCharType="end"/>
    </w:r>
  </w:p>
  <w:p w:rsidR="007F3102" w:rsidRDefault="007F3102">
    <w:pPr>
      <w:pStyle w:val="Encabezado"/>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E68D5"/>
    <w:multiLevelType w:val="hybridMultilevel"/>
    <w:tmpl w:val="2CBC97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997198B"/>
    <w:multiLevelType w:val="hybridMultilevel"/>
    <w:tmpl w:val="A204F7C6"/>
    <w:lvl w:ilvl="0" w:tplc="440295A2">
      <w:numFmt w:val="bullet"/>
      <w:lvlText w:val="-"/>
      <w:lvlJc w:val="left"/>
      <w:pPr>
        <w:tabs>
          <w:tab w:val="num" w:pos="720"/>
        </w:tabs>
        <w:ind w:left="720" w:hanging="360"/>
      </w:pPr>
      <w:rPr>
        <w:rFonts w:ascii="Arial" w:eastAsia="Times New Roman" w:hAnsi="Arial" w:cs="Aria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FAB44BA"/>
    <w:multiLevelType w:val="hybridMultilevel"/>
    <w:tmpl w:val="094A9E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1114517A"/>
    <w:multiLevelType w:val="hybridMultilevel"/>
    <w:tmpl w:val="5AAAB9B2"/>
    <w:lvl w:ilvl="0" w:tplc="25801F84">
      <w:start w:val="19"/>
      <w:numFmt w:val="bullet"/>
      <w:lvlText w:val="-"/>
      <w:lvlJc w:val="left"/>
      <w:pPr>
        <w:ind w:left="720" w:hanging="360"/>
      </w:pPr>
      <w:rPr>
        <w:rFonts w:ascii="Verdana" w:eastAsia="Times New Roman" w:hAnsi="Verdana" w:hint="default"/>
      </w:rPr>
    </w:lvl>
    <w:lvl w:ilvl="1" w:tplc="340A0003">
      <w:start w:val="1"/>
      <w:numFmt w:val="bullet"/>
      <w:lvlText w:val="o"/>
      <w:lvlJc w:val="left"/>
      <w:pPr>
        <w:ind w:left="1440" w:hanging="360"/>
      </w:pPr>
      <w:rPr>
        <w:rFonts w:ascii="Courier New" w:hAnsi="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hint="default"/>
      </w:rPr>
    </w:lvl>
    <w:lvl w:ilvl="8" w:tplc="340A0005">
      <w:start w:val="1"/>
      <w:numFmt w:val="bullet"/>
      <w:lvlText w:val=""/>
      <w:lvlJc w:val="left"/>
      <w:pPr>
        <w:ind w:left="6480" w:hanging="360"/>
      </w:pPr>
      <w:rPr>
        <w:rFonts w:ascii="Wingdings" w:hAnsi="Wingdings" w:hint="default"/>
      </w:rPr>
    </w:lvl>
  </w:abstractNum>
  <w:abstractNum w:abstractNumId="4">
    <w:nsid w:val="12CC554C"/>
    <w:multiLevelType w:val="hybridMultilevel"/>
    <w:tmpl w:val="1C5A28EA"/>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55342DD"/>
    <w:multiLevelType w:val="hybridMultilevel"/>
    <w:tmpl w:val="D132250A"/>
    <w:lvl w:ilvl="0" w:tplc="81A8954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19C43C49"/>
    <w:multiLevelType w:val="hybridMultilevel"/>
    <w:tmpl w:val="587619C4"/>
    <w:lvl w:ilvl="0" w:tplc="B0043E46">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1AF1518E"/>
    <w:multiLevelType w:val="multilevel"/>
    <w:tmpl w:val="537E800A"/>
    <w:styleLink w:val="111111"/>
    <w:lvl w:ilvl="0">
      <w:start w:val="1"/>
      <w:numFmt w:val="decimal"/>
      <w:lvlText w:val="%1.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nsid w:val="2199275F"/>
    <w:multiLevelType w:val="hybridMultilevel"/>
    <w:tmpl w:val="5B683E8E"/>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
    <w:nsid w:val="23E70AE6"/>
    <w:multiLevelType w:val="hybridMultilevel"/>
    <w:tmpl w:val="3EFC9BA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382464"/>
    <w:multiLevelType w:val="hybridMultilevel"/>
    <w:tmpl w:val="0060D59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32105AD5"/>
    <w:multiLevelType w:val="hybridMultilevel"/>
    <w:tmpl w:val="D58036AE"/>
    <w:lvl w:ilvl="0" w:tplc="0C0A0017">
      <w:start w:val="1"/>
      <w:numFmt w:val="bullet"/>
      <w:lvlText w:val="-"/>
      <w:lvlJc w:val="left"/>
      <w:pPr>
        <w:ind w:left="720" w:hanging="360"/>
      </w:pPr>
      <w:rPr>
        <w:rFonts w:ascii="Arial" w:eastAsia="Times New Roman" w:hAnsi="Arial" w:cs="Aria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2">
    <w:nsid w:val="36F9324A"/>
    <w:multiLevelType w:val="hybridMultilevel"/>
    <w:tmpl w:val="E6EEBE30"/>
    <w:lvl w:ilvl="0" w:tplc="340A000B">
      <w:numFmt w:val="bullet"/>
      <w:lvlText w:val="-"/>
      <w:lvlJc w:val="left"/>
      <w:pPr>
        <w:tabs>
          <w:tab w:val="num" w:pos="870"/>
        </w:tabs>
        <w:ind w:left="870" w:hanging="870"/>
      </w:pPr>
      <w:rPr>
        <w:rFonts w:ascii="Arial" w:eastAsia="Times New Roman" w:hAnsi="Arial" w:cs="Arial" w:hint="default"/>
      </w:rPr>
    </w:lvl>
    <w:lvl w:ilvl="1" w:tplc="340A0003">
      <w:start w:val="1"/>
      <w:numFmt w:val="bullet"/>
      <w:lvlText w:val="o"/>
      <w:lvlJc w:val="left"/>
      <w:pPr>
        <w:tabs>
          <w:tab w:val="num" w:pos="24"/>
        </w:tabs>
        <w:ind w:left="24" w:hanging="360"/>
      </w:pPr>
      <w:rPr>
        <w:rFonts w:ascii="Courier New" w:hAnsi="Courier New" w:cs="Courier New" w:hint="default"/>
      </w:rPr>
    </w:lvl>
    <w:lvl w:ilvl="2" w:tplc="340A0005">
      <w:start w:val="1"/>
      <w:numFmt w:val="bullet"/>
      <w:lvlText w:val=""/>
      <w:lvlJc w:val="left"/>
      <w:pPr>
        <w:tabs>
          <w:tab w:val="num" w:pos="744"/>
        </w:tabs>
        <w:ind w:left="744" w:hanging="360"/>
      </w:pPr>
      <w:rPr>
        <w:rFonts w:ascii="Wingdings" w:hAnsi="Wingdings" w:hint="default"/>
      </w:rPr>
    </w:lvl>
    <w:lvl w:ilvl="3" w:tplc="340A0001">
      <w:start w:val="1"/>
      <w:numFmt w:val="bullet"/>
      <w:lvlText w:val=""/>
      <w:lvlJc w:val="left"/>
      <w:pPr>
        <w:tabs>
          <w:tab w:val="num" w:pos="1464"/>
        </w:tabs>
        <w:ind w:left="1464" w:hanging="360"/>
      </w:pPr>
      <w:rPr>
        <w:rFonts w:ascii="Symbol" w:hAnsi="Symbol" w:hint="default"/>
      </w:rPr>
    </w:lvl>
    <w:lvl w:ilvl="4" w:tplc="340A0003" w:tentative="1">
      <w:start w:val="1"/>
      <w:numFmt w:val="bullet"/>
      <w:lvlText w:val="o"/>
      <w:lvlJc w:val="left"/>
      <w:pPr>
        <w:tabs>
          <w:tab w:val="num" w:pos="2184"/>
        </w:tabs>
        <w:ind w:left="2184" w:hanging="360"/>
      </w:pPr>
      <w:rPr>
        <w:rFonts w:ascii="Courier New" w:hAnsi="Courier New" w:cs="Courier New" w:hint="default"/>
      </w:rPr>
    </w:lvl>
    <w:lvl w:ilvl="5" w:tplc="340A0005" w:tentative="1">
      <w:start w:val="1"/>
      <w:numFmt w:val="bullet"/>
      <w:lvlText w:val=""/>
      <w:lvlJc w:val="left"/>
      <w:pPr>
        <w:tabs>
          <w:tab w:val="num" w:pos="2904"/>
        </w:tabs>
        <w:ind w:left="2904" w:hanging="360"/>
      </w:pPr>
      <w:rPr>
        <w:rFonts w:ascii="Wingdings" w:hAnsi="Wingdings" w:hint="default"/>
      </w:rPr>
    </w:lvl>
    <w:lvl w:ilvl="6" w:tplc="340A0001" w:tentative="1">
      <w:start w:val="1"/>
      <w:numFmt w:val="bullet"/>
      <w:lvlText w:val=""/>
      <w:lvlJc w:val="left"/>
      <w:pPr>
        <w:tabs>
          <w:tab w:val="num" w:pos="3624"/>
        </w:tabs>
        <w:ind w:left="3624" w:hanging="360"/>
      </w:pPr>
      <w:rPr>
        <w:rFonts w:ascii="Symbol" w:hAnsi="Symbol" w:hint="default"/>
      </w:rPr>
    </w:lvl>
    <w:lvl w:ilvl="7" w:tplc="340A0003" w:tentative="1">
      <w:start w:val="1"/>
      <w:numFmt w:val="bullet"/>
      <w:lvlText w:val="o"/>
      <w:lvlJc w:val="left"/>
      <w:pPr>
        <w:tabs>
          <w:tab w:val="num" w:pos="4344"/>
        </w:tabs>
        <w:ind w:left="4344" w:hanging="360"/>
      </w:pPr>
      <w:rPr>
        <w:rFonts w:ascii="Courier New" w:hAnsi="Courier New" w:cs="Courier New" w:hint="default"/>
      </w:rPr>
    </w:lvl>
    <w:lvl w:ilvl="8" w:tplc="340A0005" w:tentative="1">
      <w:start w:val="1"/>
      <w:numFmt w:val="bullet"/>
      <w:lvlText w:val=""/>
      <w:lvlJc w:val="left"/>
      <w:pPr>
        <w:tabs>
          <w:tab w:val="num" w:pos="5064"/>
        </w:tabs>
        <w:ind w:left="5064" w:hanging="360"/>
      </w:pPr>
      <w:rPr>
        <w:rFonts w:ascii="Wingdings" w:hAnsi="Wingdings" w:hint="default"/>
      </w:rPr>
    </w:lvl>
  </w:abstractNum>
  <w:abstractNum w:abstractNumId="13">
    <w:nsid w:val="37DB0BC9"/>
    <w:multiLevelType w:val="multilevel"/>
    <w:tmpl w:val="4E94D692"/>
    <w:lvl w:ilvl="0">
      <w:start w:val="1"/>
      <w:numFmt w:val="decimal"/>
      <w:pStyle w:val="Ttulo1"/>
      <w:lvlText w:val="%1."/>
      <w:lvlJc w:val="left"/>
      <w:pPr>
        <w:tabs>
          <w:tab w:val="num" w:pos="0"/>
        </w:tabs>
        <w:ind w:left="432" w:hanging="432"/>
      </w:pPr>
      <w:rPr>
        <w:rFonts w:hint="default"/>
        <w:b/>
        <w:i w:val="0"/>
      </w:rPr>
    </w:lvl>
    <w:lvl w:ilvl="1">
      <w:start w:val="1"/>
      <w:numFmt w:val="decimal"/>
      <w:pStyle w:val="Ttulo2"/>
      <w:lvlText w:val="%1.%2"/>
      <w:lvlJc w:val="left"/>
      <w:pPr>
        <w:tabs>
          <w:tab w:val="num" w:pos="0"/>
        </w:tabs>
        <w:ind w:left="576" w:hanging="576"/>
      </w:pPr>
      <w:rPr>
        <w:rFonts w:hint="default"/>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sz w:val="24"/>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4">
    <w:nsid w:val="3BC24F7D"/>
    <w:multiLevelType w:val="hybridMultilevel"/>
    <w:tmpl w:val="B136FAA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15E04E3"/>
    <w:multiLevelType w:val="hybridMultilevel"/>
    <w:tmpl w:val="03FE66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EBC378E"/>
    <w:multiLevelType w:val="hybridMultilevel"/>
    <w:tmpl w:val="DEB2D058"/>
    <w:lvl w:ilvl="0" w:tplc="340A000B">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hint="default"/>
      </w:rPr>
    </w:lvl>
    <w:lvl w:ilvl="8" w:tplc="340A0005">
      <w:start w:val="1"/>
      <w:numFmt w:val="bullet"/>
      <w:lvlText w:val=""/>
      <w:lvlJc w:val="left"/>
      <w:pPr>
        <w:ind w:left="6480" w:hanging="360"/>
      </w:pPr>
      <w:rPr>
        <w:rFonts w:ascii="Wingdings" w:hAnsi="Wingdings" w:hint="default"/>
      </w:rPr>
    </w:lvl>
  </w:abstractNum>
  <w:abstractNum w:abstractNumId="17">
    <w:nsid w:val="502D1B8E"/>
    <w:multiLevelType w:val="multilevel"/>
    <w:tmpl w:val="ED2E7C1C"/>
    <w:lvl w:ilvl="0">
      <w:start w:val="1"/>
      <w:numFmt w:val="decimal"/>
      <w:lvlText w:val="%1."/>
      <w:lvlJc w:val="left"/>
      <w:pPr>
        <w:tabs>
          <w:tab w:val="num" w:pos="360"/>
        </w:tabs>
        <w:ind w:left="360" w:hanging="360"/>
      </w:pPr>
      <w:rPr>
        <w:rFonts w:hint="default"/>
      </w:rPr>
    </w:lvl>
    <w:lvl w:ilvl="1">
      <w:start w:val="1"/>
      <w:numFmt w:val="decimal"/>
      <w:pStyle w:val="Estilo1"/>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nsid w:val="52037BA2"/>
    <w:multiLevelType w:val="hybridMultilevel"/>
    <w:tmpl w:val="82403B1E"/>
    <w:lvl w:ilvl="0" w:tplc="B0043E46">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57EE0383"/>
    <w:multiLevelType w:val="hybridMultilevel"/>
    <w:tmpl w:val="DFAA258A"/>
    <w:lvl w:ilvl="0" w:tplc="81A8954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5E455292"/>
    <w:multiLevelType w:val="hybridMultilevel"/>
    <w:tmpl w:val="CCCE7CE4"/>
    <w:lvl w:ilvl="0" w:tplc="DF206B06">
      <w:start w:val="1"/>
      <w:numFmt w:val="bullet"/>
      <w:lvlText w:val=""/>
      <w:lvlJc w:val="left"/>
      <w:pPr>
        <w:tabs>
          <w:tab w:val="num" w:pos="720"/>
        </w:tabs>
        <w:ind w:left="720" w:hanging="360"/>
      </w:pPr>
      <w:rPr>
        <w:rFonts w:ascii="Symbol" w:hAnsi="Symbol" w:hint="default"/>
        <w:color w:val="auto"/>
      </w:rPr>
    </w:lvl>
    <w:lvl w:ilvl="1" w:tplc="600AB992">
      <w:start w:val="1"/>
      <w:numFmt w:val="lowerRoman"/>
      <w:lvlText w:val="%2."/>
      <w:lvlJc w:val="right"/>
      <w:pPr>
        <w:tabs>
          <w:tab w:val="num" w:pos="1260"/>
        </w:tabs>
        <w:ind w:left="1260" w:hanging="180"/>
      </w:pPr>
      <w:rPr>
        <w:rFonts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5F517C16"/>
    <w:multiLevelType w:val="hybridMultilevel"/>
    <w:tmpl w:val="716CDD52"/>
    <w:lvl w:ilvl="0" w:tplc="81A8954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611B05D5"/>
    <w:multiLevelType w:val="hybridMultilevel"/>
    <w:tmpl w:val="FB0231D4"/>
    <w:lvl w:ilvl="0" w:tplc="FFFFFFFF">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64E871E9"/>
    <w:multiLevelType w:val="hybridMultilevel"/>
    <w:tmpl w:val="509616CE"/>
    <w:lvl w:ilvl="0" w:tplc="A900E232">
      <w:start w:val="7"/>
      <w:numFmt w:val="bullet"/>
      <w:lvlText w:val="-"/>
      <w:lvlJc w:val="left"/>
      <w:pPr>
        <w:tabs>
          <w:tab w:val="num" w:pos="1065"/>
        </w:tabs>
        <w:ind w:left="1065" w:hanging="705"/>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657E6818"/>
    <w:multiLevelType w:val="hybridMultilevel"/>
    <w:tmpl w:val="60981336"/>
    <w:lvl w:ilvl="0" w:tplc="340A000B">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66B86F09"/>
    <w:multiLevelType w:val="hybridMultilevel"/>
    <w:tmpl w:val="8B469FC2"/>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69220861"/>
    <w:multiLevelType w:val="hybridMultilevel"/>
    <w:tmpl w:val="6916D736"/>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ACE3FA4"/>
    <w:multiLevelType w:val="hybridMultilevel"/>
    <w:tmpl w:val="7090BC64"/>
    <w:lvl w:ilvl="0" w:tplc="81A8954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74D1517D"/>
    <w:multiLevelType w:val="hybridMultilevel"/>
    <w:tmpl w:val="C46CE94A"/>
    <w:lvl w:ilvl="0" w:tplc="81A8954E">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nsid w:val="750B6DAB"/>
    <w:multiLevelType w:val="hybridMultilevel"/>
    <w:tmpl w:val="DF0461E2"/>
    <w:lvl w:ilvl="0" w:tplc="B0043E46">
      <w:start w:val="1"/>
      <w:numFmt w:val="bullet"/>
      <w:lvlText w:val=""/>
      <w:lvlJc w:val="left"/>
      <w:pPr>
        <w:tabs>
          <w:tab w:val="num" w:pos="360"/>
        </w:tabs>
        <w:ind w:left="360" w:hanging="360"/>
      </w:pPr>
      <w:rPr>
        <w:rFonts w:ascii="Symbol" w:hAnsi="Symbol" w:hint="default"/>
        <w:color w:val="auto"/>
      </w:rPr>
    </w:lvl>
    <w:lvl w:ilvl="1" w:tplc="9DD68C9C">
      <w:start w:val="10"/>
      <w:numFmt w:val="bullet"/>
      <w:lvlText w:val="-"/>
      <w:lvlJc w:val="left"/>
      <w:pPr>
        <w:tabs>
          <w:tab w:val="num" w:pos="1440"/>
        </w:tabs>
        <w:ind w:left="1440" w:hanging="360"/>
      </w:pPr>
      <w:rPr>
        <w:rFonts w:ascii="Arial" w:eastAsia="Times New Roman" w:hAnsi="Arial" w:cs="Arial"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751A2BE0"/>
    <w:multiLevelType w:val="hybridMultilevel"/>
    <w:tmpl w:val="E410FBC4"/>
    <w:lvl w:ilvl="0" w:tplc="B0043E46">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79EF06FF"/>
    <w:multiLevelType w:val="hybridMultilevel"/>
    <w:tmpl w:val="FB3273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C424667"/>
    <w:multiLevelType w:val="hybridMultilevel"/>
    <w:tmpl w:val="646624DE"/>
    <w:lvl w:ilvl="0" w:tplc="A2FAFCC2">
      <w:numFmt w:val="bullet"/>
      <w:lvlText w:val="-"/>
      <w:lvlJc w:val="left"/>
      <w:pPr>
        <w:ind w:left="720" w:hanging="360"/>
      </w:pPr>
      <w:rPr>
        <w:rFonts w:ascii="Calibri" w:eastAsia="Times New Roman" w:hAnsi="Calibri" w:hint="default"/>
      </w:rPr>
    </w:lvl>
    <w:lvl w:ilvl="1" w:tplc="2C0A0003">
      <w:start w:val="1"/>
      <w:numFmt w:val="bullet"/>
      <w:lvlText w:val="o"/>
      <w:lvlJc w:val="left"/>
      <w:pPr>
        <w:ind w:left="1440" w:hanging="360"/>
      </w:pPr>
      <w:rPr>
        <w:rFonts w:ascii="Courier New" w:hAnsi="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hint="default"/>
      </w:rPr>
    </w:lvl>
    <w:lvl w:ilvl="8" w:tplc="2C0A0005">
      <w:start w:val="1"/>
      <w:numFmt w:val="bullet"/>
      <w:lvlText w:val=""/>
      <w:lvlJc w:val="left"/>
      <w:pPr>
        <w:ind w:left="6480" w:hanging="360"/>
      </w:pPr>
      <w:rPr>
        <w:rFonts w:ascii="Wingdings" w:hAnsi="Wingdings" w:hint="default"/>
      </w:rPr>
    </w:lvl>
  </w:abstractNum>
  <w:num w:numId="1">
    <w:abstractNumId w:val="12"/>
  </w:num>
  <w:num w:numId="2">
    <w:abstractNumId w:val="17"/>
  </w:num>
  <w:num w:numId="3">
    <w:abstractNumId w:val="7"/>
  </w:num>
  <w:num w:numId="4">
    <w:abstractNumId w:val="8"/>
  </w:num>
  <w:num w:numId="5">
    <w:abstractNumId w:val="11"/>
  </w:num>
  <w:num w:numId="6">
    <w:abstractNumId w:val="2"/>
  </w:num>
  <w:num w:numId="7">
    <w:abstractNumId w:val="14"/>
  </w:num>
  <w:num w:numId="8">
    <w:abstractNumId w:val="18"/>
  </w:num>
  <w:num w:numId="9">
    <w:abstractNumId w:val="29"/>
  </w:num>
  <w:num w:numId="10">
    <w:abstractNumId w:val="6"/>
  </w:num>
  <w:num w:numId="11">
    <w:abstractNumId w:val="30"/>
  </w:num>
  <w:num w:numId="12">
    <w:abstractNumId w:val="22"/>
  </w:num>
  <w:num w:numId="13">
    <w:abstractNumId w:val="4"/>
  </w:num>
  <w:num w:numId="14">
    <w:abstractNumId w:val="19"/>
  </w:num>
  <w:num w:numId="15">
    <w:abstractNumId w:val="5"/>
  </w:num>
  <w:num w:numId="16">
    <w:abstractNumId w:val="27"/>
  </w:num>
  <w:num w:numId="17">
    <w:abstractNumId w:val="28"/>
  </w:num>
  <w:num w:numId="18">
    <w:abstractNumId w:val="21"/>
  </w:num>
  <w:num w:numId="19">
    <w:abstractNumId w:val="26"/>
  </w:num>
  <w:num w:numId="20">
    <w:abstractNumId w:val="9"/>
  </w:num>
  <w:num w:numId="21">
    <w:abstractNumId w:val="1"/>
  </w:num>
  <w:num w:numId="22">
    <w:abstractNumId w:val="20"/>
  </w:num>
  <w:num w:numId="23">
    <w:abstractNumId w:val="3"/>
  </w:num>
  <w:num w:numId="24">
    <w:abstractNumId w:val="25"/>
  </w:num>
  <w:num w:numId="25">
    <w:abstractNumId w:val="32"/>
  </w:num>
  <w:num w:numId="26">
    <w:abstractNumId w:val="16"/>
  </w:num>
  <w:num w:numId="27">
    <w:abstractNumId w:val="24"/>
  </w:num>
  <w:num w:numId="28">
    <w:abstractNumId w:val="10"/>
  </w:num>
  <w:num w:numId="29">
    <w:abstractNumId w:val="23"/>
  </w:num>
  <w:num w:numId="30">
    <w:abstractNumId w:val="13"/>
  </w:num>
  <w:num w:numId="31">
    <w:abstractNumId w:val="0"/>
  </w:num>
  <w:num w:numId="32">
    <w:abstractNumId w:val="15"/>
  </w:num>
  <w:num w:numId="33">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7350"/>
    <w:rsid w:val="00000CFB"/>
    <w:rsid w:val="00001434"/>
    <w:rsid w:val="00001BA9"/>
    <w:rsid w:val="00003E02"/>
    <w:rsid w:val="00005881"/>
    <w:rsid w:val="00005A56"/>
    <w:rsid w:val="000062D8"/>
    <w:rsid w:val="00010B6B"/>
    <w:rsid w:val="00011920"/>
    <w:rsid w:val="000127AA"/>
    <w:rsid w:val="00013503"/>
    <w:rsid w:val="00014D3D"/>
    <w:rsid w:val="00014FA9"/>
    <w:rsid w:val="000150C2"/>
    <w:rsid w:val="00015330"/>
    <w:rsid w:val="00015834"/>
    <w:rsid w:val="00015D03"/>
    <w:rsid w:val="0001627F"/>
    <w:rsid w:val="000166C5"/>
    <w:rsid w:val="00016BAB"/>
    <w:rsid w:val="000171AB"/>
    <w:rsid w:val="00017343"/>
    <w:rsid w:val="000205C5"/>
    <w:rsid w:val="000209DC"/>
    <w:rsid w:val="00020BE6"/>
    <w:rsid w:val="0002134B"/>
    <w:rsid w:val="00021814"/>
    <w:rsid w:val="00021EF6"/>
    <w:rsid w:val="00023E20"/>
    <w:rsid w:val="000240CE"/>
    <w:rsid w:val="000254F1"/>
    <w:rsid w:val="000261F0"/>
    <w:rsid w:val="0002758A"/>
    <w:rsid w:val="00027854"/>
    <w:rsid w:val="00031949"/>
    <w:rsid w:val="00031D88"/>
    <w:rsid w:val="00032A78"/>
    <w:rsid w:val="000335FC"/>
    <w:rsid w:val="00033DB9"/>
    <w:rsid w:val="00034C06"/>
    <w:rsid w:val="000360D7"/>
    <w:rsid w:val="00036C98"/>
    <w:rsid w:val="00037B4F"/>
    <w:rsid w:val="00041402"/>
    <w:rsid w:val="000426A2"/>
    <w:rsid w:val="00043596"/>
    <w:rsid w:val="00043BC8"/>
    <w:rsid w:val="00043BEE"/>
    <w:rsid w:val="00045040"/>
    <w:rsid w:val="0005388A"/>
    <w:rsid w:val="000551EF"/>
    <w:rsid w:val="0006084F"/>
    <w:rsid w:val="00060DCB"/>
    <w:rsid w:val="00061319"/>
    <w:rsid w:val="00061643"/>
    <w:rsid w:val="00061D7F"/>
    <w:rsid w:val="00063817"/>
    <w:rsid w:val="0006407C"/>
    <w:rsid w:val="00064701"/>
    <w:rsid w:val="0006493D"/>
    <w:rsid w:val="00064A1E"/>
    <w:rsid w:val="00065839"/>
    <w:rsid w:val="00066430"/>
    <w:rsid w:val="00066B85"/>
    <w:rsid w:val="0007006B"/>
    <w:rsid w:val="000708E1"/>
    <w:rsid w:val="00071782"/>
    <w:rsid w:val="000718BE"/>
    <w:rsid w:val="0007292D"/>
    <w:rsid w:val="0007465B"/>
    <w:rsid w:val="00074EFD"/>
    <w:rsid w:val="00074F62"/>
    <w:rsid w:val="00075063"/>
    <w:rsid w:val="00076348"/>
    <w:rsid w:val="00077080"/>
    <w:rsid w:val="00080671"/>
    <w:rsid w:val="00081FFF"/>
    <w:rsid w:val="00082475"/>
    <w:rsid w:val="00082E01"/>
    <w:rsid w:val="00083111"/>
    <w:rsid w:val="00083B68"/>
    <w:rsid w:val="00083E18"/>
    <w:rsid w:val="00084291"/>
    <w:rsid w:val="0008432E"/>
    <w:rsid w:val="00084FBD"/>
    <w:rsid w:val="000856B8"/>
    <w:rsid w:val="00085B4E"/>
    <w:rsid w:val="000861CE"/>
    <w:rsid w:val="000907E6"/>
    <w:rsid w:val="00091355"/>
    <w:rsid w:val="000935A2"/>
    <w:rsid w:val="00094332"/>
    <w:rsid w:val="0009561B"/>
    <w:rsid w:val="00095DFC"/>
    <w:rsid w:val="00096C06"/>
    <w:rsid w:val="00097093"/>
    <w:rsid w:val="0009758B"/>
    <w:rsid w:val="000A090A"/>
    <w:rsid w:val="000A0B03"/>
    <w:rsid w:val="000A0FDC"/>
    <w:rsid w:val="000A1308"/>
    <w:rsid w:val="000A13CB"/>
    <w:rsid w:val="000A1474"/>
    <w:rsid w:val="000A2E5D"/>
    <w:rsid w:val="000A560C"/>
    <w:rsid w:val="000A582E"/>
    <w:rsid w:val="000A61BF"/>
    <w:rsid w:val="000A6D8A"/>
    <w:rsid w:val="000B0318"/>
    <w:rsid w:val="000B08A0"/>
    <w:rsid w:val="000B0CEA"/>
    <w:rsid w:val="000B1EB7"/>
    <w:rsid w:val="000B20F4"/>
    <w:rsid w:val="000B41BC"/>
    <w:rsid w:val="000B5B71"/>
    <w:rsid w:val="000B66AE"/>
    <w:rsid w:val="000B6DA6"/>
    <w:rsid w:val="000B78AF"/>
    <w:rsid w:val="000B7D8B"/>
    <w:rsid w:val="000C06E1"/>
    <w:rsid w:val="000C0828"/>
    <w:rsid w:val="000C12AE"/>
    <w:rsid w:val="000C229F"/>
    <w:rsid w:val="000C3A05"/>
    <w:rsid w:val="000C40F9"/>
    <w:rsid w:val="000C4152"/>
    <w:rsid w:val="000C5527"/>
    <w:rsid w:val="000C5955"/>
    <w:rsid w:val="000C670E"/>
    <w:rsid w:val="000C7772"/>
    <w:rsid w:val="000C7907"/>
    <w:rsid w:val="000C7B46"/>
    <w:rsid w:val="000D1055"/>
    <w:rsid w:val="000D1AAC"/>
    <w:rsid w:val="000D3B11"/>
    <w:rsid w:val="000D3C48"/>
    <w:rsid w:val="000D48DF"/>
    <w:rsid w:val="000D4BBB"/>
    <w:rsid w:val="000D4BF7"/>
    <w:rsid w:val="000D4D44"/>
    <w:rsid w:val="000D699E"/>
    <w:rsid w:val="000D6AA1"/>
    <w:rsid w:val="000D72C4"/>
    <w:rsid w:val="000D74A3"/>
    <w:rsid w:val="000D7B08"/>
    <w:rsid w:val="000D7F29"/>
    <w:rsid w:val="000D7FF5"/>
    <w:rsid w:val="000E0192"/>
    <w:rsid w:val="000E090D"/>
    <w:rsid w:val="000E0ADF"/>
    <w:rsid w:val="000E0CB2"/>
    <w:rsid w:val="000E0DD5"/>
    <w:rsid w:val="000E16BF"/>
    <w:rsid w:val="000E16CD"/>
    <w:rsid w:val="000E3298"/>
    <w:rsid w:val="000E3864"/>
    <w:rsid w:val="000E3F12"/>
    <w:rsid w:val="000E4302"/>
    <w:rsid w:val="000E4DA1"/>
    <w:rsid w:val="000E6102"/>
    <w:rsid w:val="000F01CE"/>
    <w:rsid w:val="000F0C2A"/>
    <w:rsid w:val="000F1A8D"/>
    <w:rsid w:val="000F2D6A"/>
    <w:rsid w:val="000F342C"/>
    <w:rsid w:val="000F3572"/>
    <w:rsid w:val="000F3986"/>
    <w:rsid w:val="000F43F6"/>
    <w:rsid w:val="000F4A74"/>
    <w:rsid w:val="000F4E27"/>
    <w:rsid w:val="000F6A78"/>
    <w:rsid w:val="000F6FF9"/>
    <w:rsid w:val="000F7B97"/>
    <w:rsid w:val="00100BAE"/>
    <w:rsid w:val="00100CD4"/>
    <w:rsid w:val="001013E8"/>
    <w:rsid w:val="0010145C"/>
    <w:rsid w:val="00101BCC"/>
    <w:rsid w:val="00103181"/>
    <w:rsid w:val="00103D2D"/>
    <w:rsid w:val="0010438E"/>
    <w:rsid w:val="0010482B"/>
    <w:rsid w:val="00105743"/>
    <w:rsid w:val="00105977"/>
    <w:rsid w:val="00105A54"/>
    <w:rsid w:val="001063F6"/>
    <w:rsid w:val="00107064"/>
    <w:rsid w:val="00107DAA"/>
    <w:rsid w:val="0011055C"/>
    <w:rsid w:val="001107C8"/>
    <w:rsid w:val="0011114F"/>
    <w:rsid w:val="001116FD"/>
    <w:rsid w:val="001143C3"/>
    <w:rsid w:val="0011727F"/>
    <w:rsid w:val="00117A1A"/>
    <w:rsid w:val="00117B5A"/>
    <w:rsid w:val="00117D39"/>
    <w:rsid w:val="00117FD6"/>
    <w:rsid w:val="00120226"/>
    <w:rsid w:val="001216D6"/>
    <w:rsid w:val="00122DB6"/>
    <w:rsid w:val="001230BF"/>
    <w:rsid w:val="0012392C"/>
    <w:rsid w:val="0012479D"/>
    <w:rsid w:val="00124DED"/>
    <w:rsid w:val="00124FEF"/>
    <w:rsid w:val="00125464"/>
    <w:rsid w:val="00125C2F"/>
    <w:rsid w:val="00126020"/>
    <w:rsid w:val="001272D2"/>
    <w:rsid w:val="0012762C"/>
    <w:rsid w:val="0012781F"/>
    <w:rsid w:val="00130D62"/>
    <w:rsid w:val="0013190D"/>
    <w:rsid w:val="00132E23"/>
    <w:rsid w:val="0013417A"/>
    <w:rsid w:val="00134F57"/>
    <w:rsid w:val="001351FA"/>
    <w:rsid w:val="0013605B"/>
    <w:rsid w:val="001367D4"/>
    <w:rsid w:val="00136AD9"/>
    <w:rsid w:val="00137921"/>
    <w:rsid w:val="00140395"/>
    <w:rsid w:val="001405BE"/>
    <w:rsid w:val="00141332"/>
    <w:rsid w:val="00142007"/>
    <w:rsid w:val="0014241B"/>
    <w:rsid w:val="00142BB2"/>
    <w:rsid w:val="00143069"/>
    <w:rsid w:val="001431D8"/>
    <w:rsid w:val="00144D5A"/>
    <w:rsid w:val="00145762"/>
    <w:rsid w:val="00145D43"/>
    <w:rsid w:val="0014795E"/>
    <w:rsid w:val="0015252B"/>
    <w:rsid w:val="0015343B"/>
    <w:rsid w:val="00153688"/>
    <w:rsid w:val="00153A98"/>
    <w:rsid w:val="001556C2"/>
    <w:rsid w:val="00155B25"/>
    <w:rsid w:val="00155E8D"/>
    <w:rsid w:val="00156EFE"/>
    <w:rsid w:val="00157E61"/>
    <w:rsid w:val="00157F22"/>
    <w:rsid w:val="00160CDD"/>
    <w:rsid w:val="0016275F"/>
    <w:rsid w:val="001639F2"/>
    <w:rsid w:val="00165CFC"/>
    <w:rsid w:val="00165E40"/>
    <w:rsid w:val="001665C6"/>
    <w:rsid w:val="001703A9"/>
    <w:rsid w:val="00171A2E"/>
    <w:rsid w:val="00175DEE"/>
    <w:rsid w:val="0017655B"/>
    <w:rsid w:val="00176CD2"/>
    <w:rsid w:val="001803CF"/>
    <w:rsid w:val="0018057B"/>
    <w:rsid w:val="001809A3"/>
    <w:rsid w:val="00180EB7"/>
    <w:rsid w:val="00180F0A"/>
    <w:rsid w:val="00181F4F"/>
    <w:rsid w:val="0018309E"/>
    <w:rsid w:val="00184DE7"/>
    <w:rsid w:val="00185E55"/>
    <w:rsid w:val="00185EBA"/>
    <w:rsid w:val="0018657A"/>
    <w:rsid w:val="00186C13"/>
    <w:rsid w:val="00187A94"/>
    <w:rsid w:val="00191362"/>
    <w:rsid w:val="00192200"/>
    <w:rsid w:val="001929A3"/>
    <w:rsid w:val="0019355B"/>
    <w:rsid w:val="00193AA6"/>
    <w:rsid w:val="0019465E"/>
    <w:rsid w:val="001946EA"/>
    <w:rsid w:val="0019507F"/>
    <w:rsid w:val="001962DB"/>
    <w:rsid w:val="00196B08"/>
    <w:rsid w:val="00196B99"/>
    <w:rsid w:val="00197559"/>
    <w:rsid w:val="001A0188"/>
    <w:rsid w:val="001A0309"/>
    <w:rsid w:val="001A0AA9"/>
    <w:rsid w:val="001A1379"/>
    <w:rsid w:val="001A2397"/>
    <w:rsid w:val="001A24E7"/>
    <w:rsid w:val="001A3BB9"/>
    <w:rsid w:val="001A3F94"/>
    <w:rsid w:val="001A4D3D"/>
    <w:rsid w:val="001A4DE7"/>
    <w:rsid w:val="001A5CAE"/>
    <w:rsid w:val="001A654E"/>
    <w:rsid w:val="001A67D5"/>
    <w:rsid w:val="001A68D0"/>
    <w:rsid w:val="001A7275"/>
    <w:rsid w:val="001A7DCD"/>
    <w:rsid w:val="001B2409"/>
    <w:rsid w:val="001B315E"/>
    <w:rsid w:val="001B3B8D"/>
    <w:rsid w:val="001B493A"/>
    <w:rsid w:val="001B4BC2"/>
    <w:rsid w:val="001B5EF5"/>
    <w:rsid w:val="001B66F0"/>
    <w:rsid w:val="001B6821"/>
    <w:rsid w:val="001B773A"/>
    <w:rsid w:val="001B788F"/>
    <w:rsid w:val="001C02C1"/>
    <w:rsid w:val="001C0A57"/>
    <w:rsid w:val="001C18D8"/>
    <w:rsid w:val="001C51FD"/>
    <w:rsid w:val="001C71B3"/>
    <w:rsid w:val="001C75C7"/>
    <w:rsid w:val="001C772A"/>
    <w:rsid w:val="001C7D43"/>
    <w:rsid w:val="001D0102"/>
    <w:rsid w:val="001D05B4"/>
    <w:rsid w:val="001D0B67"/>
    <w:rsid w:val="001D18E0"/>
    <w:rsid w:val="001D2850"/>
    <w:rsid w:val="001D6285"/>
    <w:rsid w:val="001D6A79"/>
    <w:rsid w:val="001D7A1F"/>
    <w:rsid w:val="001E0293"/>
    <w:rsid w:val="001E084B"/>
    <w:rsid w:val="001E0ABA"/>
    <w:rsid w:val="001E1B1F"/>
    <w:rsid w:val="001E336A"/>
    <w:rsid w:val="001E466F"/>
    <w:rsid w:val="001E4BF8"/>
    <w:rsid w:val="001E4FE1"/>
    <w:rsid w:val="001E5A91"/>
    <w:rsid w:val="001E63C4"/>
    <w:rsid w:val="001E6776"/>
    <w:rsid w:val="001E7740"/>
    <w:rsid w:val="001E7820"/>
    <w:rsid w:val="001F0E7E"/>
    <w:rsid w:val="001F1EA5"/>
    <w:rsid w:val="001F3D2B"/>
    <w:rsid w:val="001F4C54"/>
    <w:rsid w:val="001F508D"/>
    <w:rsid w:val="001F569C"/>
    <w:rsid w:val="001F5B86"/>
    <w:rsid w:val="001F6144"/>
    <w:rsid w:val="001F795C"/>
    <w:rsid w:val="00201848"/>
    <w:rsid w:val="00202BCD"/>
    <w:rsid w:val="002034AC"/>
    <w:rsid w:val="00203688"/>
    <w:rsid w:val="00204B76"/>
    <w:rsid w:val="00205C33"/>
    <w:rsid w:val="00206B2A"/>
    <w:rsid w:val="00207098"/>
    <w:rsid w:val="00210446"/>
    <w:rsid w:val="002118F7"/>
    <w:rsid w:val="00211D2C"/>
    <w:rsid w:val="00213133"/>
    <w:rsid w:val="00213F5B"/>
    <w:rsid w:val="00214CF1"/>
    <w:rsid w:val="00214E2D"/>
    <w:rsid w:val="00216BB1"/>
    <w:rsid w:val="00217B8C"/>
    <w:rsid w:val="002211A3"/>
    <w:rsid w:val="0022160F"/>
    <w:rsid w:val="00221AD5"/>
    <w:rsid w:val="00221C36"/>
    <w:rsid w:val="00222271"/>
    <w:rsid w:val="00222362"/>
    <w:rsid w:val="002227A3"/>
    <w:rsid w:val="0022431F"/>
    <w:rsid w:val="0022496C"/>
    <w:rsid w:val="00225B28"/>
    <w:rsid w:val="002303EA"/>
    <w:rsid w:val="00230A04"/>
    <w:rsid w:val="00231F25"/>
    <w:rsid w:val="0023305F"/>
    <w:rsid w:val="00233754"/>
    <w:rsid w:val="00234C54"/>
    <w:rsid w:val="00235665"/>
    <w:rsid w:val="00236573"/>
    <w:rsid w:val="00241C73"/>
    <w:rsid w:val="00243D9E"/>
    <w:rsid w:val="002443F9"/>
    <w:rsid w:val="00244AA2"/>
    <w:rsid w:val="00245804"/>
    <w:rsid w:val="002458EE"/>
    <w:rsid w:val="0024776B"/>
    <w:rsid w:val="0024798F"/>
    <w:rsid w:val="00250A99"/>
    <w:rsid w:val="00250B31"/>
    <w:rsid w:val="00251338"/>
    <w:rsid w:val="002514EC"/>
    <w:rsid w:val="002517ED"/>
    <w:rsid w:val="00251A30"/>
    <w:rsid w:val="00251AE0"/>
    <w:rsid w:val="00252D9E"/>
    <w:rsid w:val="00252F63"/>
    <w:rsid w:val="0025312F"/>
    <w:rsid w:val="00253978"/>
    <w:rsid w:val="00254CE2"/>
    <w:rsid w:val="0025712A"/>
    <w:rsid w:val="00257B6E"/>
    <w:rsid w:val="00260360"/>
    <w:rsid w:val="00260457"/>
    <w:rsid w:val="00260D60"/>
    <w:rsid w:val="00263D01"/>
    <w:rsid w:val="00263DC9"/>
    <w:rsid w:val="00263DE1"/>
    <w:rsid w:val="00264070"/>
    <w:rsid w:val="002643FC"/>
    <w:rsid w:val="0026537A"/>
    <w:rsid w:val="00265E1B"/>
    <w:rsid w:val="00266665"/>
    <w:rsid w:val="00267922"/>
    <w:rsid w:val="00267D0D"/>
    <w:rsid w:val="00267DB0"/>
    <w:rsid w:val="00270016"/>
    <w:rsid w:val="00273EDC"/>
    <w:rsid w:val="0027597D"/>
    <w:rsid w:val="00275C93"/>
    <w:rsid w:val="00276A04"/>
    <w:rsid w:val="00276F9A"/>
    <w:rsid w:val="00280A59"/>
    <w:rsid w:val="00281104"/>
    <w:rsid w:val="00282D34"/>
    <w:rsid w:val="0028332A"/>
    <w:rsid w:val="00285367"/>
    <w:rsid w:val="002854E2"/>
    <w:rsid w:val="00286788"/>
    <w:rsid w:val="00287538"/>
    <w:rsid w:val="002877F5"/>
    <w:rsid w:val="00290175"/>
    <w:rsid w:val="002933CB"/>
    <w:rsid w:val="002937C9"/>
    <w:rsid w:val="00293ECA"/>
    <w:rsid w:val="0029459A"/>
    <w:rsid w:val="0029491D"/>
    <w:rsid w:val="0029628C"/>
    <w:rsid w:val="00297137"/>
    <w:rsid w:val="00297581"/>
    <w:rsid w:val="00297DDD"/>
    <w:rsid w:val="002A0E0B"/>
    <w:rsid w:val="002A31B5"/>
    <w:rsid w:val="002A453A"/>
    <w:rsid w:val="002A4A77"/>
    <w:rsid w:val="002A59AC"/>
    <w:rsid w:val="002A68BF"/>
    <w:rsid w:val="002A7449"/>
    <w:rsid w:val="002B07FA"/>
    <w:rsid w:val="002B2594"/>
    <w:rsid w:val="002B2DBB"/>
    <w:rsid w:val="002B42BF"/>
    <w:rsid w:val="002B4D05"/>
    <w:rsid w:val="002B745E"/>
    <w:rsid w:val="002C051C"/>
    <w:rsid w:val="002C1230"/>
    <w:rsid w:val="002C173C"/>
    <w:rsid w:val="002C1B4D"/>
    <w:rsid w:val="002C1F05"/>
    <w:rsid w:val="002C2CF8"/>
    <w:rsid w:val="002C3D81"/>
    <w:rsid w:val="002C4250"/>
    <w:rsid w:val="002C5256"/>
    <w:rsid w:val="002C6BC5"/>
    <w:rsid w:val="002C7654"/>
    <w:rsid w:val="002D1DFA"/>
    <w:rsid w:val="002D3970"/>
    <w:rsid w:val="002D52E6"/>
    <w:rsid w:val="002D55E5"/>
    <w:rsid w:val="002D5BD7"/>
    <w:rsid w:val="002D7C1E"/>
    <w:rsid w:val="002E0086"/>
    <w:rsid w:val="002E13ED"/>
    <w:rsid w:val="002E2AB2"/>
    <w:rsid w:val="002E3B0B"/>
    <w:rsid w:val="002E40AE"/>
    <w:rsid w:val="002E43C6"/>
    <w:rsid w:val="002E4896"/>
    <w:rsid w:val="002E55F1"/>
    <w:rsid w:val="002E5661"/>
    <w:rsid w:val="002E6847"/>
    <w:rsid w:val="002E7636"/>
    <w:rsid w:val="002F1959"/>
    <w:rsid w:val="002F267F"/>
    <w:rsid w:val="002F3A83"/>
    <w:rsid w:val="002F4BAF"/>
    <w:rsid w:val="002F5483"/>
    <w:rsid w:val="002F7024"/>
    <w:rsid w:val="002F7585"/>
    <w:rsid w:val="003000FE"/>
    <w:rsid w:val="0030201D"/>
    <w:rsid w:val="00303258"/>
    <w:rsid w:val="00303BB4"/>
    <w:rsid w:val="00304DD2"/>
    <w:rsid w:val="00306799"/>
    <w:rsid w:val="0030728C"/>
    <w:rsid w:val="00307448"/>
    <w:rsid w:val="00307A32"/>
    <w:rsid w:val="00310355"/>
    <w:rsid w:val="00310717"/>
    <w:rsid w:val="003115AD"/>
    <w:rsid w:val="00311A05"/>
    <w:rsid w:val="00315143"/>
    <w:rsid w:val="003155DE"/>
    <w:rsid w:val="003156B8"/>
    <w:rsid w:val="00316083"/>
    <w:rsid w:val="00317CC4"/>
    <w:rsid w:val="003201FA"/>
    <w:rsid w:val="0032026D"/>
    <w:rsid w:val="00320A7E"/>
    <w:rsid w:val="00320DC7"/>
    <w:rsid w:val="0032171E"/>
    <w:rsid w:val="00321A1D"/>
    <w:rsid w:val="00323311"/>
    <w:rsid w:val="003237B8"/>
    <w:rsid w:val="00323A7C"/>
    <w:rsid w:val="003248B2"/>
    <w:rsid w:val="00324B82"/>
    <w:rsid w:val="00327789"/>
    <w:rsid w:val="003302A9"/>
    <w:rsid w:val="0033052F"/>
    <w:rsid w:val="00330B44"/>
    <w:rsid w:val="0033232E"/>
    <w:rsid w:val="00332A5A"/>
    <w:rsid w:val="00332D6B"/>
    <w:rsid w:val="00332F89"/>
    <w:rsid w:val="0033328E"/>
    <w:rsid w:val="00333729"/>
    <w:rsid w:val="00333967"/>
    <w:rsid w:val="00333BBE"/>
    <w:rsid w:val="00335056"/>
    <w:rsid w:val="00335FD4"/>
    <w:rsid w:val="003362D7"/>
    <w:rsid w:val="0033788C"/>
    <w:rsid w:val="003379AA"/>
    <w:rsid w:val="003400D1"/>
    <w:rsid w:val="003406D8"/>
    <w:rsid w:val="0034089B"/>
    <w:rsid w:val="00340C56"/>
    <w:rsid w:val="0034137F"/>
    <w:rsid w:val="003423DA"/>
    <w:rsid w:val="00342FC5"/>
    <w:rsid w:val="003436CA"/>
    <w:rsid w:val="0034480F"/>
    <w:rsid w:val="00345194"/>
    <w:rsid w:val="0034624A"/>
    <w:rsid w:val="00346D76"/>
    <w:rsid w:val="00346FA4"/>
    <w:rsid w:val="00347BEE"/>
    <w:rsid w:val="0035011D"/>
    <w:rsid w:val="0035028D"/>
    <w:rsid w:val="003504C0"/>
    <w:rsid w:val="00350DDA"/>
    <w:rsid w:val="00351638"/>
    <w:rsid w:val="00353707"/>
    <w:rsid w:val="003537BC"/>
    <w:rsid w:val="00353868"/>
    <w:rsid w:val="00355026"/>
    <w:rsid w:val="003552AD"/>
    <w:rsid w:val="0035597B"/>
    <w:rsid w:val="00355AE4"/>
    <w:rsid w:val="00355D5A"/>
    <w:rsid w:val="003571D3"/>
    <w:rsid w:val="00357630"/>
    <w:rsid w:val="00360C0C"/>
    <w:rsid w:val="0036125A"/>
    <w:rsid w:val="0036235E"/>
    <w:rsid w:val="00362688"/>
    <w:rsid w:val="00362A7A"/>
    <w:rsid w:val="003643B6"/>
    <w:rsid w:val="003652C7"/>
    <w:rsid w:val="003655A6"/>
    <w:rsid w:val="00365D9F"/>
    <w:rsid w:val="00366CD3"/>
    <w:rsid w:val="00367CE7"/>
    <w:rsid w:val="00367EF8"/>
    <w:rsid w:val="00371323"/>
    <w:rsid w:val="00371474"/>
    <w:rsid w:val="00371A66"/>
    <w:rsid w:val="00371C98"/>
    <w:rsid w:val="00372E74"/>
    <w:rsid w:val="003744D8"/>
    <w:rsid w:val="003757D0"/>
    <w:rsid w:val="00375905"/>
    <w:rsid w:val="0037617C"/>
    <w:rsid w:val="003769D7"/>
    <w:rsid w:val="00376B74"/>
    <w:rsid w:val="00376E5F"/>
    <w:rsid w:val="00377A71"/>
    <w:rsid w:val="00377F5F"/>
    <w:rsid w:val="003805DC"/>
    <w:rsid w:val="00380652"/>
    <w:rsid w:val="00380726"/>
    <w:rsid w:val="00380B3B"/>
    <w:rsid w:val="00380C53"/>
    <w:rsid w:val="003824C5"/>
    <w:rsid w:val="00382503"/>
    <w:rsid w:val="00382D64"/>
    <w:rsid w:val="00383A17"/>
    <w:rsid w:val="00383B80"/>
    <w:rsid w:val="00386CF4"/>
    <w:rsid w:val="003879EC"/>
    <w:rsid w:val="00387DA1"/>
    <w:rsid w:val="00390180"/>
    <w:rsid w:val="003906BE"/>
    <w:rsid w:val="00390BA4"/>
    <w:rsid w:val="00391071"/>
    <w:rsid w:val="0039177B"/>
    <w:rsid w:val="00391BF7"/>
    <w:rsid w:val="00391F2F"/>
    <w:rsid w:val="0039241F"/>
    <w:rsid w:val="003927C4"/>
    <w:rsid w:val="00393686"/>
    <w:rsid w:val="00393AFF"/>
    <w:rsid w:val="00394785"/>
    <w:rsid w:val="00394B97"/>
    <w:rsid w:val="003A149F"/>
    <w:rsid w:val="003A17DD"/>
    <w:rsid w:val="003A1D58"/>
    <w:rsid w:val="003A3B91"/>
    <w:rsid w:val="003A4646"/>
    <w:rsid w:val="003A4B56"/>
    <w:rsid w:val="003A4E65"/>
    <w:rsid w:val="003A5323"/>
    <w:rsid w:val="003A6BA5"/>
    <w:rsid w:val="003A6C42"/>
    <w:rsid w:val="003A78AA"/>
    <w:rsid w:val="003B0BE3"/>
    <w:rsid w:val="003B15E3"/>
    <w:rsid w:val="003B2200"/>
    <w:rsid w:val="003B2726"/>
    <w:rsid w:val="003B2A29"/>
    <w:rsid w:val="003B4150"/>
    <w:rsid w:val="003B46B3"/>
    <w:rsid w:val="003B4707"/>
    <w:rsid w:val="003B4F4D"/>
    <w:rsid w:val="003B51B9"/>
    <w:rsid w:val="003B61EE"/>
    <w:rsid w:val="003B6ABD"/>
    <w:rsid w:val="003B7C84"/>
    <w:rsid w:val="003C0589"/>
    <w:rsid w:val="003C0992"/>
    <w:rsid w:val="003C0D72"/>
    <w:rsid w:val="003C2A04"/>
    <w:rsid w:val="003C3311"/>
    <w:rsid w:val="003C3418"/>
    <w:rsid w:val="003C3D2F"/>
    <w:rsid w:val="003C5076"/>
    <w:rsid w:val="003C5FA7"/>
    <w:rsid w:val="003C7967"/>
    <w:rsid w:val="003D1515"/>
    <w:rsid w:val="003D1C4F"/>
    <w:rsid w:val="003D1C78"/>
    <w:rsid w:val="003D39E8"/>
    <w:rsid w:val="003D403D"/>
    <w:rsid w:val="003D4865"/>
    <w:rsid w:val="003D48EF"/>
    <w:rsid w:val="003D499F"/>
    <w:rsid w:val="003D4ADF"/>
    <w:rsid w:val="003D56AD"/>
    <w:rsid w:val="003D722F"/>
    <w:rsid w:val="003D737E"/>
    <w:rsid w:val="003D7A13"/>
    <w:rsid w:val="003E0723"/>
    <w:rsid w:val="003E08C1"/>
    <w:rsid w:val="003E097D"/>
    <w:rsid w:val="003E09E2"/>
    <w:rsid w:val="003E1A90"/>
    <w:rsid w:val="003E1DF5"/>
    <w:rsid w:val="003E30FE"/>
    <w:rsid w:val="003E37B9"/>
    <w:rsid w:val="003E464B"/>
    <w:rsid w:val="003E5D35"/>
    <w:rsid w:val="003E5D9D"/>
    <w:rsid w:val="003E66BD"/>
    <w:rsid w:val="003E6C66"/>
    <w:rsid w:val="003E75D1"/>
    <w:rsid w:val="003F0194"/>
    <w:rsid w:val="003F1E0D"/>
    <w:rsid w:val="003F4490"/>
    <w:rsid w:val="003F5093"/>
    <w:rsid w:val="003F6E6B"/>
    <w:rsid w:val="004005E6"/>
    <w:rsid w:val="00401B64"/>
    <w:rsid w:val="00402694"/>
    <w:rsid w:val="00402BB3"/>
    <w:rsid w:val="00402F72"/>
    <w:rsid w:val="00403A73"/>
    <w:rsid w:val="004046AB"/>
    <w:rsid w:val="0040476A"/>
    <w:rsid w:val="004047EF"/>
    <w:rsid w:val="00404CCF"/>
    <w:rsid w:val="00406003"/>
    <w:rsid w:val="00406CC2"/>
    <w:rsid w:val="00407547"/>
    <w:rsid w:val="00407DB3"/>
    <w:rsid w:val="00411363"/>
    <w:rsid w:val="004128EE"/>
    <w:rsid w:val="00413193"/>
    <w:rsid w:val="00414555"/>
    <w:rsid w:val="0041528D"/>
    <w:rsid w:val="00416979"/>
    <w:rsid w:val="00420750"/>
    <w:rsid w:val="00421686"/>
    <w:rsid w:val="00421CB7"/>
    <w:rsid w:val="00421E3F"/>
    <w:rsid w:val="004225EE"/>
    <w:rsid w:val="004225FC"/>
    <w:rsid w:val="004236F8"/>
    <w:rsid w:val="00423F76"/>
    <w:rsid w:val="0042430F"/>
    <w:rsid w:val="004246CB"/>
    <w:rsid w:val="004252D5"/>
    <w:rsid w:val="00425BDD"/>
    <w:rsid w:val="00427B1E"/>
    <w:rsid w:val="004307EE"/>
    <w:rsid w:val="00432D4F"/>
    <w:rsid w:val="00433219"/>
    <w:rsid w:val="00433631"/>
    <w:rsid w:val="004338C9"/>
    <w:rsid w:val="004352F7"/>
    <w:rsid w:val="00435980"/>
    <w:rsid w:val="00436BEE"/>
    <w:rsid w:val="00436FB8"/>
    <w:rsid w:val="0043782A"/>
    <w:rsid w:val="00441AE7"/>
    <w:rsid w:val="004428FB"/>
    <w:rsid w:val="004438A8"/>
    <w:rsid w:val="004450D2"/>
    <w:rsid w:val="00445EA2"/>
    <w:rsid w:val="00446B48"/>
    <w:rsid w:val="00450790"/>
    <w:rsid w:val="00452D7E"/>
    <w:rsid w:val="00452FDD"/>
    <w:rsid w:val="00453410"/>
    <w:rsid w:val="004543F7"/>
    <w:rsid w:val="00454439"/>
    <w:rsid w:val="00454703"/>
    <w:rsid w:val="00454721"/>
    <w:rsid w:val="0045520E"/>
    <w:rsid w:val="0045679D"/>
    <w:rsid w:val="00456ED1"/>
    <w:rsid w:val="00457098"/>
    <w:rsid w:val="00457500"/>
    <w:rsid w:val="00461BD7"/>
    <w:rsid w:val="00462843"/>
    <w:rsid w:val="00462BDD"/>
    <w:rsid w:val="004652C7"/>
    <w:rsid w:val="00465451"/>
    <w:rsid w:val="00465753"/>
    <w:rsid w:val="0046688C"/>
    <w:rsid w:val="0047035F"/>
    <w:rsid w:val="00470564"/>
    <w:rsid w:val="00471E02"/>
    <w:rsid w:val="004721F0"/>
    <w:rsid w:val="00472B1B"/>
    <w:rsid w:val="00473B85"/>
    <w:rsid w:val="00473BAE"/>
    <w:rsid w:val="0047634F"/>
    <w:rsid w:val="00476828"/>
    <w:rsid w:val="0047698E"/>
    <w:rsid w:val="00476B36"/>
    <w:rsid w:val="00477288"/>
    <w:rsid w:val="00481091"/>
    <w:rsid w:val="00481F2A"/>
    <w:rsid w:val="00481F49"/>
    <w:rsid w:val="004829C0"/>
    <w:rsid w:val="00483762"/>
    <w:rsid w:val="00484563"/>
    <w:rsid w:val="004871C7"/>
    <w:rsid w:val="004878C2"/>
    <w:rsid w:val="004912A7"/>
    <w:rsid w:val="00491F8A"/>
    <w:rsid w:val="00493BD2"/>
    <w:rsid w:val="004945FA"/>
    <w:rsid w:val="00494685"/>
    <w:rsid w:val="00494A76"/>
    <w:rsid w:val="00494D2A"/>
    <w:rsid w:val="004950D2"/>
    <w:rsid w:val="0049518E"/>
    <w:rsid w:val="004951A8"/>
    <w:rsid w:val="00495576"/>
    <w:rsid w:val="00495AD0"/>
    <w:rsid w:val="00496BF7"/>
    <w:rsid w:val="0049760C"/>
    <w:rsid w:val="004A01C4"/>
    <w:rsid w:val="004A0CB1"/>
    <w:rsid w:val="004A106F"/>
    <w:rsid w:val="004A13B4"/>
    <w:rsid w:val="004A1AE3"/>
    <w:rsid w:val="004A2075"/>
    <w:rsid w:val="004A3340"/>
    <w:rsid w:val="004A3C18"/>
    <w:rsid w:val="004A4A41"/>
    <w:rsid w:val="004A5152"/>
    <w:rsid w:val="004A577F"/>
    <w:rsid w:val="004A659E"/>
    <w:rsid w:val="004A7338"/>
    <w:rsid w:val="004B04A5"/>
    <w:rsid w:val="004B0A9B"/>
    <w:rsid w:val="004B0BA6"/>
    <w:rsid w:val="004B0E35"/>
    <w:rsid w:val="004B0F2F"/>
    <w:rsid w:val="004B2B2C"/>
    <w:rsid w:val="004B33E6"/>
    <w:rsid w:val="004B3DFF"/>
    <w:rsid w:val="004B42A2"/>
    <w:rsid w:val="004B44FB"/>
    <w:rsid w:val="004B4728"/>
    <w:rsid w:val="004B567E"/>
    <w:rsid w:val="004B5680"/>
    <w:rsid w:val="004B5B47"/>
    <w:rsid w:val="004B631E"/>
    <w:rsid w:val="004B6547"/>
    <w:rsid w:val="004B6965"/>
    <w:rsid w:val="004C02A3"/>
    <w:rsid w:val="004C0F27"/>
    <w:rsid w:val="004C1B99"/>
    <w:rsid w:val="004C28E6"/>
    <w:rsid w:val="004C2AED"/>
    <w:rsid w:val="004C2EBB"/>
    <w:rsid w:val="004C2FFA"/>
    <w:rsid w:val="004C3636"/>
    <w:rsid w:val="004C3ED4"/>
    <w:rsid w:val="004C434C"/>
    <w:rsid w:val="004C4EE9"/>
    <w:rsid w:val="004C5962"/>
    <w:rsid w:val="004C703B"/>
    <w:rsid w:val="004C720D"/>
    <w:rsid w:val="004D0E24"/>
    <w:rsid w:val="004D0F34"/>
    <w:rsid w:val="004D24B2"/>
    <w:rsid w:val="004D2761"/>
    <w:rsid w:val="004D6591"/>
    <w:rsid w:val="004D69DE"/>
    <w:rsid w:val="004D7F16"/>
    <w:rsid w:val="004E10A4"/>
    <w:rsid w:val="004E2B6B"/>
    <w:rsid w:val="004E3638"/>
    <w:rsid w:val="004E6591"/>
    <w:rsid w:val="004F006D"/>
    <w:rsid w:val="004F012F"/>
    <w:rsid w:val="004F06CB"/>
    <w:rsid w:val="004F0B3D"/>
    <w:rsid w:val="004F0C79"/>
    <w:rsid w:val="004F0DF7"/>
    <w:rsid w:val="004F1577"/>
    <w:rsid w:val="004F16F1"/>
    <w:rsid w:val="004F1BEF"/>
    <w:rsid w:val="004F1D8F"/>
    <w:rsid w:val="004F2596"/>
    <w:rsid w:val="004F2CE8"/>
    <w:rsid w:val="004F333E"/>
    <w:rsid w:val="004F39EA"/>
    <w:rsid w:val="004F3B65"/>
    <w:rsid w:val="004F4BBC"/>
    <w:rsid w:val="004F4F63"/>
    <w:rsid w:val="004F5E48"/>
    <w:rsid w:val="00500B6D"/>
    <w:rsid w:val="00502D5A"/>
    <w:rsid w:val="00505BEA"/>
    <w:rsid w:val="00506780"/>
    <w:rsid w:val="00507D1F"/>
    <w:rsid w:val="00510742"/>
    <w:rsid w:val="00511E35"/>
    <w:rsid w:val="005137D6"/>
    <w:rsid w:val="00513C54"/>
    <w:rsid w:val="005142AD"/>
    <w:rsid w:val="00515529"/>
    <w:rsid w:val="00516CD8"/>
    <w:rsid w:val="00517D90"/>
    <w:rsid w:val="00520720"/>
    <w:rsid w:val="0052142F"/>
    <w:rsid w:val="005214A8"/>
    <w:rsid w:val="00521983"/>
    <w:rsid w:val="00521AC7"/>
    <w:rsid w:val="00523013"/>
    <w:rsid w:val="0052349E"/>
    <w:rsid w:val="005238FE"/>
    <w:rsid w:val="005247D2"/>
    <w:rsid w:val="00524EE7"/>
    <w:rsid w:val="005252EA"/>
    <w:rsid w:val="0052536B"/>
    <w:rsid w:val="00525535"/>
    <w:rsid w:val="00525AD0"/>
    <w:rsid w:val="005274A0"/>
    <w:rsid w:val="005275F3"/>
    <w:rsid w:val="0052776C"/>
    <w:rsid w:val="005279AC"/>
    <w:rsid w:val="00530675"/>
    <w:rsid w:val="00530880"/>
    <w:rsid w:val="00530F1A"/>
    <w:rsid w:val="00531788"/>
    <w:rsid w:val="0053352D"/>
    <w:rsid w:val="00533685"/>
    <w:rsid w:val="00535DA3"/>
    <w:rsid w:val="005360B3"/>
    <w:rsid w:val="00536CD9"/>
    <w:rsid w:val="00537151"/>
    <w:rsid w:val="00537747"/>
    <w:rsid w:val="00540240"/>
    <w:rsid w:val="00540845"/>
    <w:rsid w:val="00541586"/>
    <w:rsid w:val="00541B4E"/>
    <w:rsid w:val="005420EC"/>
    <w:rsid w:val="005428C8"/>
    <w:rsid w:val="00542AFE"/>
    <w:rsid w:val="0054306E"/>
    <w:rsid w:val="00543347"/>
    <w:rsid w:val="005449AB"/>
    <w:rsid w:val="0054616A"/>
    <w:rsid w:val="005470C4"/>
    <w:rsid w:val="00547147"/>
    <w:rsid w:val="0054790E"/>
    <w:rsid w:val="0054798E"/>
    <w:rsid w:val="00550453"/>
    <w:rsid w:val="00550C76"/>
    <w:rsid w:val="00552BB1"/>
    <w:rsid w:val="00552E6F"/>
    <w:rsid w:val="00553CE3"/>
    <w:rsid w:val="00553D2E"/>
    <w:rsid w:val="00554A6E"/>
    <w:rsid w:val="00554F11"/>
    <w:rsid w:val="00555591"/>
    <w:rsid w:val="00557855"/>
    <w:rsid w:val="0056079E"/>
    <w:rsid w:val="00560B29"/>
    <w:rsid w:val="00561604"/>
    <w:rsid w:val="005632D3"/>
    <w:rsid w:val="00563C4F"/>
    <w:rsid w:val="005642CB"/>
    <w:rsid w:val="00564D31"/>
    <w:rsid w:val="00564F8B"/>
    <w:rsid w:val="0056585E"/>
    <w:rsid w:val="005666D5"/>
    <w:rsid w:val="00566ABB"/>
    <w:rsid w:val="0056726C"/>
    <w:rsid w:val="00567A0D"/>
    <w:rsid w:val="00570684"/>
    <w:rsid w:val="00571851"/>
    <w:rsid w:val="0057275F"/>
    <w:rsid w:val="00573D03"/>
    <w:rsid w:val="0057504D"/>
    <w:rsid w:val="00575C66"/>
    <w:rsid w:val="00576A12"/>
    <w:rsid w:val="00576C9A"/>
    <w:rsid w:val="00577C2F"/>
    <w:rsid w:val="00577EED"/>
    <w:rsid w:val="00577FA4"/>
    <w:rsid w:val="00580A88"/>
    <w:rsid w:val="00581C26"/>
    <w:rsid w:val="00581E9B"/>
    <w:rsid w:val="005821E5"/>
    <w:rsid w:val="005832AF"/>
    <w:rsid w:val="005841B7"/>
    <w:rsid w:val="005842D3"/>
    <w:rsid w:val="0058516E"/>
    <w:rsid w:val="00585369"/>
    <w:rsid w:val="00586A26"/>
    <w:rsid w:val="00586E18"/>
    <w:rsid w:val="00590D8F"/>
    <w:rsid w:val="0059149E"/>
    <w:rsid w:val="00591C56"/>
    <w:rsid w:val="00591DCE"/>
    <w:rsid w:val="00595839"/>
    <w:rsid w:val="005A0605"/>
    <w:rsid w:val="005A13FB"/>
    <w:rsid w:val="005A1FCB"/>
    <w:rsid w:val="005A4AB3"/>
    <w:rsid w:val="005A4CA3"/>
    <w:rsid w:val="005A637B"/>
    <w:rsid w:val="005A76D5"/>
    <w:rsid w:val="005A7988"/>
    <w:rsid w:val="005A79DA"/>
    <w:rsid w:val="005B08A8"/>
    <w:rsid w:val="005B0EA1"/>
    <w:rsid w:val="005B15AA"/>
    <w:rsid w:val="005B415D"/>
    <w:rsid w:val="005B49DF"/>
    <w:rsid w:val="005B5FF0"/>
    <w:rsid w:val="005C2AC1"/>
    <w:rsid w:val="005C30E9"/>
    <w:rsid w:val="005C387D"/>
    <w:rsid w:val="005C38E7"/>
    <w:rsid w:val="005C4F29"/>
    <w:rsid w:val="005C511E"/>
    <w:rsid w:val="005C52C4"/>
    <w:rsid w:val="005C5E66"/>
    <w:rsid w:val="005C61A4"/>
    <w:rsid w:val="005C6A4C"/>
    <w:rsid w:val="005C6AAF"/>
    <w:rsid w:val="005C6F14"/>
    <w:rsid w:val="005C7D79"/>
    <w:rsid w:val="005D3F2D"/>
    <w:rsid w:val="005D422C"/>
    <w:rsid w:val="005D423B"/>
    <w:rsid w:val="005D44FA"/>
    <w:rsid w:val="005D4A6D"/>
    <w:rsid w:val="005D5165"/>
    <w:rsid w:val="005D550E"/>
    <w:rsid w:val="005D5971"/>
    <w:rsid w:val="005D7069"/>
    <w:rsid w:val="005D7B46"/>
    <w:rsid w:val="005E04C8"/>
    <w:rsid w:val="005E1191"/>
    <w:rsid w:val="005E199D"/>
    <w:rsid w:val="005E1AF8"/>
    <w:rsid w:val="005E26A5"/>
    <w:rsid w:val="005E33FD"/>
    <w:rsid w:val="005E4FE5"/>
    <w:rsid w:val="005E5AD9"/>
    <w:rsid w:val="005E6E77"/>
    <w:rsid w:val="005F0840"/>
    <w:rsid w:val="005F08CF"/>
    <w:rsid w:val="005F0DE5"/>
    <w:rsid w:val="005F0E23"/>
    <w:rsid w:val="005F147E"/>
    <w:rsid w:val="005F24BA"/>
    <w:rsid w:val="005F3231"/>
    <w:rsid w:val="005F39B0"/>
    <w:rsid w:val="005F6069"/>
    <w:rsid w:val="005F7A1C"/>
    <w:rsid w:val="005F7F09"/>
    <w:rsid w:val="00600920"/>
    <w:rsid w:val="006018D6"/>
    <w:rsid w:val="00601DEE"/>
    <w:rsid w:val="0060461B"/>
    <w:rsid w:val="006059C6"/>
    <w:rsid w:val="00605AA0"/>
    <w:rsid w:val="00606A28"/>
    <w:rsid w:val="00606D51"/>
    <w:rsid w:val="00606F3B"/>
    <w:rsid w:val="00607EEA"/>
    <w:rsid w:val="006103AC"/>
    <w:rsid w:val="00612DBF"/>
    <w:rsid w:val="00612DF7"/>
    <w:rsid w:val="00615735"/>
    <w:rsid w:val="00616A7F"/>
    <w:rsid w:val="00616FFC"/>
    <w:rsid w:val="0061726C"/>
    <w:rsid w:val="006216DB"/>
    <w:rsid w:val="0062185F"/>
    <w:rsid w:val="00621AB1"/>
    <w:rsid w:val="00621BF1"/>
    <w:rsid w:val="00623E9B"/>
    <w:rsid w:val="0062467C"/>
    <w:rsid w:val="0062586B"/>
    <w:rsid w:val="00630C7D"/>
    <w:rsid w:val="00632239"/>
    <w:rsid w:val="00632FC3"/>
    <w:rsid w:val="00633BE7"/>
    <w:rsid w:val="00635AEB"/>
    <w:rsid w:val="00635C17"/>
    <w:rsid w:val="00635F87"/>
    <w:rsid w:val="00637D77"/>
    <w:rsid w:val="006407D4"/>
    <w:rsid w:val="00641536"/>
    <w:rsid w:val="0064281F"/>
    <w:rsid w:val="006430DE"/>
    <w:rsid w:val="0064391F"/>
    <w:rsid w:val="00643CD7"/>
    <w:rsid w:val="006457A4"/>
    <w:rsid w:val="006468EA"/>
    <w:rsid w:val="0064704C"/>
    <w:rsid w:val="006470FA"/>
    <w:rsid w:val="0064752E"/>
    <w:rsid w:val="006476E2"/>
    <w:rsid w:val="00650213"/>
    <w:rsid w:val="00651CD0"/>
    <w:rsid w:val="00654651"/>
    <w:rsid w:val="00654A3B"/>
    <w:rsid w:val="00654CA5"/>
    <w:rsid w:val="0065609C"/>
    <w:rsid w:val="00656991"/>
    <w:rsid w:val="00660A58"/>
    <w:rsid w:val="006612F8"/>
    <w:rsid w:val="00661B3B"/>
    <w:rsid w:val="00661C7F"/>
    <w:rsid w:val="006626EF"/>
    <w:rsid w:val="00662F03"/>
    <w:rsid w:val="00663A42"/>
    <w:rsid w:val="00663DB9"/>
    <w:rsid w:val="006643E7"/>
    <w:rsid w:val="006654CC"/>
    <w:rsid w:val="0066715A"/>
    <w:rsid w:val="006672BD"/>
    <w:rsid w:val="00667768"/>
    <w:rsid w:val="00667E74"/>
    <w:rsid w:val="006702DB"/>
    <w:rsid w:val="006727E2"/>
    <w:rsid w:val="00672B93"/>
    <w:rsid w:val="00673433"/>
    <w:rsid w:val="006742E1"/>
    <w:rsid w:val="00675375"/>
    <w:rsid w:val="00675381"/>
    <w:rsid w:val="00675EC9"/>
    <w:rsid w:val="006773CB"/>
    <w:rsid w:val="006803FA"/>
    <w:rsid w:val="00680EC0"/>
    <w:rsid w:val="00681CD1"/>
    <w:rsid w:val="00683156"/>
    <w:rsid w:val="006834D5"/>
    <w:rsid w:val="00683787"/>
    <w:rsid w:val="00683860"/>
    <w:rsid w:val="00685449"/>
    <w:rsid w:val="0068672E"/>
    <w:rsid w:val="00686F30"/>
    <w:rsid w:val="00687043"/>
    <w:rsid w:val="006901F9"/>
    <w:rsid w:val="006907C5"/>
    <w:rsid w:val="0069129A"/>
    <w:rsid w:val="006912EF"/>
    <w:rsid w:val="00693736"/>
    <w:rsid w:val="00693740"/>
    <w:rsid w:val="00693911"/>
    <w:rsid w:val="00693E64"/>
    <w:rsid w:val="006951A4"/>
    <w:rsid w:val="0069523C"/>
    <w:rsid w:val="00695518"/>
    <w:rsid w:val="00695BC9"/>
    <w:rsid w:val="00697090"/>
    <w:rsid w:val="006971B7"/>
    <w:rsid w:val="006978A0"/>
    <w:rsid w:val="006A05F1"/>
    <w:rsid w:val="006A0696"/>
    <w:rsid w:val="006A12BB"/>
    <w:rsid w:val="006A164A"/>
    <w:rsid w:val="006A165C"/>
    <w:rsid w:val="006A1AAD"/>
    <w:rsid w:val="006A392F"/>
    <w:rsid w:val="006A4BDD"/>
    <w:rsid w:val="006A4CE7"/>
    <w:rsid w:val="006A5546"/>
    <w:rsid w:val="006A75DF"/>
    <w:rsid w:val="006A7715"/>
    <w:rsid w:val="006B0726"/>
    <w:rsid w:val="006B1F33"/>
    <w:rsid w:val="006B1F4A"/>
    <w:rsid w:val="006B310A"/>
    <w:rsid w:val="006B788C"/>
    <w:rsid w:val="006C10D2"/>
    <w:rsid w:val="006C2089"/>
    <w:rsid w:val="006C2467"/>
    <w:rsid w:val="006C2722"/>
    <w:rsid w:val="006C346B"/>
    <w:rsid w:val="006C3D5B"/>
    <w:rsid w:val="006C4E88"/>
    <w:rsid w:val="006C55CE"/>
    <w:rsid w:val="006C6AF4"/>
    <w:rsid w:val="006D01F9"/>
    <w:rsid w:val="006D0A7F"/>
    <w:rsid w:val="006D1D20"/>
    <w:rsid w:val="006D27C4"/>
    <w:rsid w:val="006D2AC3"/>
    <w:rsid w:val="006D3746"/>
    <w:rsid w:val="006D3B20"/>
    <w:rsid w:val="006D4407"/>
    <w:rsid w:val="006D5036"/>
    <w:rsid w:val="006D524A"/>
    <w:rsid w:val="006D55C8"/>
    <w:rsid w:val="006D5DB6"/>
    <w:rsid w:val="006D6097"/>
    <w:rsid w:val="006D6402"/>
    <w:rsid w:val="006D6432"/>
    <w:rsid w:val="006D6524"/>
    <w:rsid w:val="006D75E2"/>
    <w:rsid w:val="006D7979"/>
    <w:rsid w:val="006E1493"/>
    <w:rsid w:val="006E1C9B"/>
    <w:rsid w:val="006E6194"/>
    <w:rsid w:val="006E6829"/>
    <w:rsid w:val="006E6C79"/>
    <w:rsid w:val="006F0536"/>
    <w:rsid w:val="006F0A20"/>
    <w:rsid w:val="006F0AED"/>
    <w:rsid w:val="006F2346"/>
    <w:rsid w:val="006F28E5"/>
    <w:rsid w:val="006F3467"/>
    <w:rsid w:val="006F368C"/>
    <w:rsid w:val="006F36A6"/>
    <w:rsid w:val="006F3779"/>
    <w:rsid w:val="006F4181"/>
    <w:rsid w:val="006F438E"/>
    <w:rsid w:val="006F5FA8"/>
    <w:rsid w:val="006F6871"/>
    <w:rsid w:val="006F6C36"/>
    <w:rsid w:val="006F7120"/>
    <w:rsid w:val="006F75B7"/>
    <w:rsid w:val="006F7806"/>
    <w:rsid w:val="00702193"/>
    <w:rsid w:val="007032C9"/>
    <w:rsid w:val="00703F20"/>
    <w:rsid w:val="0070426E"/>
    <w:rsid w:val="0070466E"/>
    <w:rsid w:val="0070538F"/>
    <w:rsid w:val="00706932"/>
    <w:rsid w:val="00706C51"/>
    <w:rsid w:val="00710978"/>
    <w:rsid w:val="007117D2"/>
    <w:rsid w:val="0071184C"/>
    <w:rsid w:val="00712532"/>
    <w:rsid w:val="00712784"/>
    <w:rsid w:val="00713E9C"/>
    <w:rsid w:val="007148FD"/>
    <w:rsid w:val="00715B27"/>
    <w:rsid w:val="007205D0"/>
    <w:rsid w:val="00720755"/>
    <w:rsid w:val="00721813"/>
    <w:rsid w:val="0072210A"/>
    <w:rsid w:val="00722387"/>
    <w:rsid w:val="007224B1"/>
    <w:rsid w:val="00722872"/>
    <w:rsid w:val="00722897"/>
    <w:rsid w:val="0072640B"/>
    <w:rsid w:val="00726AAC"/>
    <w:rsid w:val="00726B81"/>
    <w:rsid w:val="00726D48"/>
    <w:rsid w:val="00726EE1"/>
    <w:rsid w:val="007308DA"/>
    <w:rsid w:val="00732303"/>
    <w:rsid w:val="00732C91"/>
    <w:rsid w:val="00733D2A"/>
    <w:rsid w:val="00734147"/>
    <w:rsid w:val="00736DD3"/>
    <w:rsid w:val="007379CD"/>
    <w:rsid w:val="00737CC5"/>
    <w:rsid w:val="007400B6"/>
    <w:rsid w:val="00742AA9"/>
    <w:rsid w:val="00742E78"/>
    <w:rsid w:val="0074394A"/>
    <w:rsid w:val="00744787"/>
    <w:rsid w:val="00744A09"/>
    <w:rsid w:val="00747704"/>
    <w:rsid w:val="007508CE"/>
    <w:rsid w:val="00754517"/>
    <w:rsid w:val="0075488F"/>
    <w:rsid w:val="00754CD1"/>
    <w:rsid w:val="00755256"/>
    <w:rsid w:val="00757780"/>
    <w:rsid w:val="00761392"/>
    <w:rsid w:val="00763922"/>
    <w:rsid w:val="00763942"/>
    <w:rsid w:val="00763AE7"/>
    <w:rsid w:val="00764306"/>
    <w:rsid w:val="007643C9"/>
    <w:rsid w:val="00764F33"/>
    <w:rsid w:val="007654C1"/>
    <w:rsid w:val="00766F26"/>
    <w:rsid w:val="00766F7F"/>
    <w:rsid w:val="0076786D"/>
    <w:rsid w:val="00771104"/>
    <w:rsid w:val="00771899"/>
    <w:rsid w:val="0077286E"/>
    <w:rsid w:val="00772C39"/>
    <w:rsid w:val="00773BD6"/>
    <w:rsid w:val="00774A0C"/>
    <w:rsid w:val="00774A65"/>
    <w:rsid w:val="00774AA5"/>
    <w:rsid w:val="00777607"/>
    <w:rsid w:val="007815AB"/>
    <w:rsid w:val="007823F1"/>
    <w:rsid w:val="00782CC6"/>
    <w:rsid w:val="00783CCF"/>
    <w:rsid w:val="007853F0"/>
    <w:rsid w:val="00785AB5"/>
    <w:rsid w:val="00786814"/>
    <w:rsid w:val="00786C05"/>
    <w:rsid w:val="00787207"/>
    <w:rsid w:val="007907E6"/>
    <w:rsid w:val="007912E9"/>
    <w:rsid w:val="0079153F"/>
    <w:rsid w:val="00791F11"/>
    <w:rsid w:val="007921E9"/>
    <w:rsid w:val="00793925"/>
    <w:rsid w:val="00795353"/>
    <w:rsid w:val="00797B52"/>
    <w:rsid w:val="007A0F7A"/>
    <w:rsid w:val="007A24B9"/>
    <w:rsid w:val="007A2E7E"/>
    <w:rsid w:val="007A65B0"/>
    <w:rsid w:val="007B1226"/>
    <w:rsid w:val="007B375E"/>
    <w:rsid w:val="007B4A47"/>
    <w:rsid w:val="007B6692"/>
    <w:rsid w:val="007C07DB"/>
    <w:rsid w:val="007C0825"/>
    <w:rsid w:val="007C0B00"/>
    <w:rsid w:val="007C11D4"/>
    <w:rsid w:val="007C13D8"/>
    <w:rsid w:val="007C1DAA"/>
    <w:rsid w:val="007C1F6D"/>
    <w:rsid w:val="007C2214"/>
    <w:rsid w:val="007C24AD"/>
    <w:rsid w:val="007C3444"/>
    <w:rsid w:val="007C4A0A"/>
    <w:rsid w:val="007C5297"/>
    <w:rsid w:val="007C57BD"/>
    <w:rsid w:val="007C5D6B"/>
    <w:rsid w:val="007C66C3"/>
    <w:rsid w:val="007C7E18"/>
    <w:rsid w:val="007D0795"/>
    <w:rsid w:val="007D089D"/>
    <w:rsid w:val="007D1913"/>
    <w:rsid w:val="007D1D7F"/>
    <w:rsid w:val="007D2336"/>
    <w:rsid w:val="007D3A68"/>
    <w:rsid w:val="007D441A"/>
    <w:rsid w:val="007D4805"/>
    <w:rsid w:val="007D4EA1"/>
    <w:rsid w:val="007D6757"/>
    <w:rsid w:val="007E1075"/>
    <w:rsid w:val="007E15FE"/>
    <w:rsid w:val="007E2A2A"/>
    <w:rsid w:val="007E2DF9"/>
    <w:rsid w:val="007E2F8C"/>
    <w:rsid w:val="007E3007"/>
    <w:rsid w:val="007E405C"/>
    <w:rsid w:val="007E45E2"/>
    <w:rsid w:val="007E472C"/>
    <w:rsid w:val="007E5251"/>
    <w:rsid w:val="007E58CF"/>
    <w:rsid w:val="007E65FB"/>
    <w:rsid w:val="007E677B"/>
    <w:rsid w:val="007F0570"/>
    <w:rsid w:val="007F06F9"/>
    <w:rsid w:val="007F0E0B"/>
    <w:rsid w:val="007F11C8"/>
    <w:rsid w:val="007F1221"/>
    <w:rsid w:val="007F1843"/>
    <w:rsid w:val="007F218C"/>
    <w:rsid w:val="007F2534"/>
    <w:rsid w:val="007F3102"/>
    <w:rsid w:val="007F440D"/>
    <w:rsid w:val="007F53F4"/>
    <w:rsid w:val="007F6125"/>
    <w:rsid w:val="007F722E"/>
    <w:rsid w:val="007F7306"/>
    <w:rsid w:val="008011B2"/>
    <w:rsid w:val="008013A9"/>
    <w:rsid w:val="00803185"/>
    <w:rsid w:val="00803ED7"/>
    <w:rsid w:val="0080419B"/>
    <w:rsid w:val="00804D6C"/>
    <w:rsid w:val="00805068"/>
    <w:rsid w:val="008057A2"/>
    <w:rsid w:val="008058B0"/>
    <w:rsid w:val="00805CD1"/>
    <w:rsid w:val="008069DB"/>
    <w:rsid w:val="00806C54"/>
    <w:rsid w:val="00806D41"/>
    <w:rsid w:val="00807A7A"/>
    <w:rsid w:val="008100AC"/>
    <w:rsid w:val="00810941"/>
    <w:rsid w:val="00810B20"/>
    <w:rsid w:val="008111D8"/>
    <w:rsid w:val="00812103"/>
    <w:rsid w:val="00812D68"/>
    <w:rsid w:val="00812E45"/>
    <w:rsid w:val="00812EC6"/>
    <w:rsid w:val="00813BB1"/>
    <w:rsid w:val="00813C2A"/>
    <w:rsid w:val="00816E0C"/>
    <w:rsid w:val="00816EE8"/>
    <w:rsid w:val="0082034B"/>
    <w:rsid w:val="00820889"/>
    <w:rsid w:val="00821ECD"/>
    <w:rsid w:val="0082200B"/>
    <w:rsid w:val="00823386"/>
    <w:rsid w:val="00823EF4"/>
    <w:rsid w:val="008240BE"/>
    <w:rsid w:val="00824E32"/>
    <w:rsid w:val="00825830"/>
    <w:rsid w:val="00825A3B"/>
    <w:rsid w:val="00826C69"/>
    <w:rsid w:val="00827281"/>
    <w:rsid w:val="0083001F"/>
    <w:rsid w:val="0083220F"/>
    <w:rsid w:val="00832CAA"/>
    <w:rsid w:val="00833957"/>
    <w:rsid w:val="0083493C"/>
    <w:rsid w:val="00835303"/>
    <w:rsid w:val="00835816"/>
    <w:rsid w:val="00835D14"/>
    <w:rsid w:val="00836A80"/>
    <w:rsid w:val="00836C58"/>
    <w:rsid w:val="008373F2"/>
    <w:rsid w:val="00837F37"/>
    <w:rsid w:val="00841C41"/>
    <w:rsid w:val="00842CE2"/>
    <w:rsid w:val="00844169"/>
    <w:rsid w:val="008443F5"/>
    <w:rsid w:val="00846E39"/>
    <w:rsid w:val="0084712F"/>
    <w:rsid w:val="0084724B"/>
    <w:rsid w:val="00851164"/>
    <w:rsid w:val="00851705"/>
    <w:rsid w:val="0085492F"/>
    <w:rsid w:val="00854F45"/>
    <w:rsid w:val="00856583"/>
    <w:rsid w:val="00857534"/>
    <w:rsid w:val="00862B42"/>
    <w:rsid w:val="00863C93"/>
    <w:rsid w:val="00865259"/>
    <w:rsid w:val="00865E1D"/>
    <w:rsid w:val="00867B90"/>
    <w:rsid w:val="008714A3"/>
    <w:rsid w:val="0087164F"/>
    <w:rsid w:val="00871DAC"/>
    <w:rsid w:val="00872165"/>
    <w:rsid w:val="00872DA5"/>
    <w:rsid w:val="0087385F"/>
    <w:rsid w:val="00874A38"/>
    <w:rsid w:val="0087580B"/>
    <w:rsid w:val="00876170"/>
    <w:rsid w:val="00877729"/>
    <w:rsid w:val="00877C4A"/>
    <w:rsid w:val="00877FEA"/>
    <w:rsid w:val="00880FCD"/>
    <w:rsid w:val="0088234A"/>
    <w:rsid w:val="008831F3"/>
    <w:rsid w:val="00883AA5"/>
    <w:rsid w:val="008856CF"/>
    <w:rsid w:val="00885C93"/>
    <w:rsid w:val="00886874"/>
    <w:rsid w:val="00886927"/>
    <w:rsid w:val="00886C4D"/>
    <w:rsid w:val="008877FD"/>
    <w:rsid w:val="00887C1F"/>
    <w:rsid w:val="00887C7D"/>
    <w:rsid w:val="00890E02"/>
    <w:rsid w:val="0089120E"/>
    <w:rsid w:val="008926D7"/>
    <w:rsid w:val="008945A8"/>
    <w:rsid w:val="0089513D"/>
    <w:rsid w:val="008954DF"/>
    <w:rsid w:val="00895F7B"/>
    <w:rsid w:val="00896D86"/>
    <w:rsid w:val="008A1EBA"/>
    <w:rsid w:val="008A27C5"/>
    <w:rsid w:val="008A2A1F"/>
    <w:rsid w:val="008A3150"/>
    <w:rsid w:val="008A3409"/>
    <w:rsid w:val="008A416B"/>
    <w:rsid w:val="008A4471"/>
    <w:rsid w:val="008A469E"/>
    <w:rsid w:val="008A54AC"/>
    <w:rsid w:val="008A58C1"/>
    <w:rsid w:val="008A6D46"/>
    <w:rsid w:val="008A73C3"/>
    <w:rsid w:val="008A74CF"/>
    <w:rsid w:val="008A76E0"/>
    <w:rsid w:val="008A7963"/>
    <w:rsid w:val="008B07CD"/>
    <w:rsid w:val="008B1898"/>
    <w:rsid w:val="008B2180"/>
    <w:rsid w:val="008B25FD"/>
    <w:rsid w:val="008B370F"/>
    <w:rsid w:val="008B4077"/>
    <w:rsid w:val="008B470A"/>
    <w:rsid w:val="008B477F"/>
    <w:rsid w:val="008B4835"/>
    <w:rsid w:val="008B4B4B"/>
    <w:rsid w:val="008B4D36"/>
    <w:rsid w:val="008B4E77"/>
    <w:rsid w:val="008B63A2"/>
    <w:rsid w:val="008B6950"/>
    <w:rsid w:val="008B6F75"/>
    <w:rsid w:val="008B7D21"/>
    <w:rsid w:val="008C198B"/>
    <w:rsid w:val="008C441A"/>
    <w:rsid w:val="008C4DE4"/>
    <w:rsid w:val="008C4E8C"/>
    <w:rsid w:val="008C587E"/>
    <w:rsid w:val="008C58F5"/>
    <w:rsid w:val="008C5D2A"/>
    <w:rsid w:val="008D02E1"/>
    <w:rsid w:val="008D0828"/>
    <w:rsid w:val="008D2943"/>
    <w:rsid w:val="008D48C5"/>
    <w:rsid w:val="008D643F"/>
    <w:rsid w:val="008D7772"/>
    <w:rsid w:val="008E1AE1"/>
    <w:rsid w:val="008E3905"/>
    <w:rsid w:val="008E4719"/>
    <w:rsid w:val="008E4A94"/>
    <w:rsid w:val="008E4B2A"/>
    <w:rsid w:val="008E4EEC"/>
    <w:rsid w:val="008E56E1"/>
    <w:rsid w:val="008E5D0E"/>
    <w:rsid w:val="008E61C6"/>
    <w:rsid w:val="008F1EA6"/>
    <w:rsid w:val="008F2FE2"/>
    <w:rsid w:val="008F30F5"/>
    <w:rsid w:val="008F3638"/>
    <w:rsid w:val="008F3C1B"/>
    <w:rsid w:val="008F5340"/>
    <w:rsid w:val="008F5410"/>
    <w:rsid w:val="008F5AAA"/>
    <w:rsid w:val="008F62DF"/>
    <w:rsid w:val="008F736F"/>
    <w:rsid w:val="008F7E37"/>
    <w:rsid w:val="009001D8"/>
    <w:rsid w:val="00901337"/>
    <w:rsid w:val="00902A41"/>
    <w:rsid w:val="00902C2D"/>
    <w:rsid w:val="009037BE"/>
    <w:rsid w:val="009057BF"/>
    <w:rsid w:val="00906A31"/>
    <w:rsid w:val="00907EAF"/>
    <w:rsid w:val="00910E02"/>
    <w:rsid w:val="009122FC"/>
    <w:rsid w:val="00912710"/>
    <w:rsid w:val="00912A5C"/>
    <w:rsid w:val="00913439"/>
    <w:rsid w:val="00913938"/>
    <w:rsid w:val="0091419A"/>
    <w:rsid w:val="0091512A"/>
    <w:rsid w:val="00915768"/>
    <w:rsid w:val="00916847"/>
    <w:rsid w:val="009171D5"/>
    <w:rsid w:val="00917457"/>
    <w:rsid w:val="009174CC"/>
    <w:rsid w:val="009214C9"/>
    <w:rsid w:val="0092253C"/>
    <w:rsid w:val="0092254D"/>
    <w:rsid w:val="00922F03"/>
    <w:rsid w:val="00923372"/>
    <w:rsid w:val="009233D8"/>
    <w:rsid w:val="0092372D"/>
    <w:rsid w:val="00923FF5"/>
    <w:rsid w:val="009247B6"/>
    <w:rsid w:val="00924A6B"/>
    <w:rsid w:val="0092699C"/>
    <w:rsid w:val="00926AC9"/>
    <w:rsid w:val="00927097"/>
    <w:rsid w:val="00927D71"/>
    <w:rsid w:val="0093075C"/>
    <w:rsid w:val="009313EB"/>
    <w:rsid w:val="00931468"/>
    <w:rsid w:val="00931788"/>
    <w:rsid w:val="00931B13"/>
    <w:rsid w:val="00931B24"/>
    <w:rsid w:val="00931C6D"/>
    <w:rsid w:val="00931E72"/>
    <w:rsid w:val="00932610"/>
    <w:rsid w:val="00932828"/>
    <w:rsid w:val="0093394C"/>
    <w:rsid w:val="009343CD"/>
    <w:rsid w:val="00934E3F"/>
    <w:rsid w:val="00934EB2"/>
    <w:rsid w:val="009356E4"/>
    <w:rsid w:val="00937DE7"/>
    <w:rsid w:val="00937F1B"/>
    <w:rsid w:val="00937F3A"/>
    <w:rsid w:val="00937F8A"/>
    <w:rsid w:val="00940297"/>
    <w:rsid w:val="0094231C"/>
    <w:rsid w:val="0094268E"/>
    <w:rsid w:val="00942862"/>
    <w:rsid w:val="009433A0"/>
    <w:rsid w:val="009434A8"/>
    <w:rsid w:val="009438CE"/>
    <w:rsid w:val="00943A55"/>
    <w:rsid w:val="00945096"/>
    <w:rsid w:val="00945980"/>
    <w:rsid w:val="009463D1"/>
    <w:rsid w:val="0094743C"/>
    <w:rsid w:val="0094773C"/>
    <w:rsid w:val="00947A8F"/>
    <w:rsid w:val="009512C2"/>
    <w:rsid w:val="00951FEC"/>
    <w:rsid w:val="009522A1"/>
    <w:rsid w:val="00952865"/>
    <w:rsid w:val="00954407"/>
    <w:rsid w:val="009547E2"/>
    <w:rsid w:val="0095492E"/>
    <w:rsid w:val="00955370"/>
    <w:rsid w:val="00955CB6"/>
    <w:rsid w:val="00957B11"/>
    <w:rsid w:val="00960833"/>
    <w:rsid w:val="009609BA"/>
    <w:rsid w:val="00960BCC"/>
    <w:rsid w:val="00960DD4"/>
    <w:rsid w:val="009613A3"/>
    <w:rsid w:val="009617C3"/>
    <w:rsid w:val="00961DD8"/>
    <w:rsid w:val="00962B1E"/>
    <w:rsid w:val="00962D24"/>
    <w:rsid w:val="009640D6"/>
    <w:rsid w:val="0096411E"/>
    <w:rsid w:val="009649A8"/>
    <w:rsid w:val="00964C4F"/>
    <w:rsid w:val="00965145"/>
    <w:rsid w:val="009669F6"/>
    <w:rsid w:val="00966D60"/>
    <w:rsid w:val="009675FB"/>
    <w:rsid w:val="00967913"/>
    <w:rsid w:val="009709AF"/>
    <w:rsid w:val="00970BAA"/>
    <w:rsid w:val="009710E3"/>
    <w:rsid w:val="00971932"/>
    <w:rsid w:val="00972AFB"/>
    <w:rsid w:val="0097348F"/>
    <w:rsid w:val="00973D01"/>
    <w:rsid w:val="0097441C"/>
    <w:rsid w:val="009744F0"/>
    <w:rsid w:val="00975E77"/>
    <w:rsid w:val="00976581"/>
    <w:rsid w:val="009804BB"/>
    <w:rsid w:val="00980D43"/>
    <w:rsid w:val="009835EC"/>
    <w:rsid w:val="0098403A"/>
    <w:rsid w:val="00985869"/>
    <w:rsid w:val="009863E2"/>
    <w:rsid w:val="00986A18"/>
    <w:rsid w:val="0099081D"/>
    <w:rsid w:val="00990E8B"/>
    <w:rsid w:val="00993B05"/>
    <w:rsid w:val="00993C21"/>
    <w:rsid w:val="00994B5D"/>
    <w:rsid w:val="00995255"/>
    <w:rsid w:val="00995B3A"/>
    <w:rsid w:val="00996F05"/>
    <w:rsid w:val="0099798D"/>
    <w:rsid w:val="009A030A"/>
    <w:rsid w:val="009A0A18"/>
    <w:rsid w:val="009A1E2D"/>
    <w:rsid w:val="009A2DCD"/>
    <w:rsid w:val="009A32C6"/>
    <w:rsid w:val="009A3B39"/>
    <w:rsid w:val="009A7C34"/>
    <w:rsid w:val="009B140E"/>
    <w:rsid w:val="009B2BB4"/>
    <w:rsid w:val="009B41C0"/>
    <w:rsid w:val="009B4A2E"/>
    <w:rsid w:val="009B501E"/>
    <w:rsid w:val="009B56E7"/>
    <w:rsid w:val="009B5949"/>
    <w:rsid w:val="009B6E5F"/>
    <w:rsid w:val="009B71BC"/>
    <w:rsid w:val="009B7BD5"/>
    <w:rsid w:val="009B7C69"/>
    <w:rsid w:val="009C02A8"/>
    <w:rsid w:val="009C141D"/>
    <w:rsid w:val="009C3871"/>
    <w:rsid w:val="009C5936"/>
    <w:rsid w:val="009C692E"/>
    <w:rsid w:val="009C6FD3"/>
    <w:rsid w:val="009D09C2"/>
    <w:rsid w:val="009D0D0A"/>
    <w:rsid w:val="009D1796"/>
    <w:rsid w:val="009D2B6C"/>
    <w:rsid w:val="009D38C9"/>
    <w:rsid w:val="009D4B42"/>
    <w:rsid w:val="009D53E1"/>
    <w:rsid w:val="009D603C"/>
    <w:rsid w:val="009D6FCC"/>
    <w:rsid w:val="009E058E"/>
    <w:rsid w:val="009E132E"/>
    <w:rsid w:val="009E1C22"/>
    <w:rsid w:val="009E3091"/>
    <w:rsid w:val="009E3568"/>
    <w:rsid w:val="009E3858"/>
    <w:rsid w:val="009E3B82"/>
    <w:rsid w:val="009E43FB"/>
    <w:rsid w:val="009E4A6A"/>
    <w:rsid w:val="009E63DF"/>
    <w:rsid w:val="009E714F"/>
    <w:rsid w:val="009F198C"/>
    <w:rsid w:val="009F454E"/>
    <w:rsid w:val="009F4685"/>
    <w:rsid w:val="009F4A8C"/>
    <w:rsid w:val="009F50AD"/>
    <w:rsid w:val="009F5F87"/>
    <w:rsid w:val="009F6907"/>
    <w:rsid w:val="009F743F"/>
    <w:rsid w:val="00A0023A"/>
    <w:rsid w:val="00A00F4D"/>
    <w:rsid w:val="00A01A72"/>
    <w:rsid w:val="00A01BEF"/>
    <w:rsid w:val="00A03871"/>
    <w:rsid w:val="00A03D63"/>
    <w:rsid w:val="00A03DBE"/>
    <w:rsid w:val="00A04604"/>
    <w:rsid w:val="00A04703"/>
    <w:rsid w:val="00A0548D"/>
    <w:rsid w:val="00A05A90"/>
    <w:rsid w:val="00A05BB2"/>
    <w:rsid w:val="00A06D12"/>
    <w:rsid w:val="00A07672"/>
    <w:rsid w:val="00A0772F"/>
    <w:rsid w:val="00A07BF9"/>
    <w:rsid w:val="00A07F3F"/>
    <w:rsid w:val="00A10A15"/>
    <w:rsid w:val="00A12D06"/>
    <w:rsid w:val="00A12F6A"/>
    <w:rsid w:val="00A130F3"/>
    <w:rsid w:val="00A13F9C"/>
    <w:rsid w:val="00A163BD"/>
    <w:rsid w:val="00A168D5"/>
    <w:rsid w:val="00A16A36"/>
    <w:rsid w:val="00A16BAB"/>
    <w:rsid w:val="00A1753B"/>
    <w:rsid w:val="00A17947"/>
    <w:rsid w:val="00A17EBC"/>
    <w:rsid w:val="00A20215"/>
    <w:rsid w:val="00A2206C"/>
    <w:rsid w:val="00A22B2F"/>
    <w:rsid w:val="00A24E25"/>
    <w:rsid w:val="00A2610D"/>
    <w:rsid w:val="00A2692F"/>
    <w:rsid w:val="00A26DB2"/>
    <w:rsid w:val="00A27328"/>
    <w:rsid w:val="00A27B1E"/>
    <w:rsid w:val="00A30873"/>
    <w:rsid w:val="00A313F0"/>
    <w:rsid w:val="00A3192E"/>
    <w:rsid w:val="00A32B26"/>
    <w:rsid w:val="00A33ACE"/>
    <w:rsid w:val="00A347DB"/>
    <w:rsid w:val="00A34805"/>
    <w:rsid w:val="00A35504"/>
    <w:rsid w:val="00A368E9"/>
    <w:rsid w:val="00A401C1"/>
    <w:rsid w:val="00A40A9B"/>
    <w:rsid w:val="00A412E0"/>
    <w:rsid w:val="00A418BF"/>
    <w:rsid w:val="00A41C48"/>
    <w:rsid w:val="00A42205"/>
    <w:rsid w:val="00A42824"/>
    <w:rsid w:val="00A447C4"/>
    <w:rsid w:val="00A44A85"/>
    <w:rsid w:val="00A44C39"/>
    <w:rsid w:val="00A45A62"/>
    <w:rsid w:val="00A45DA2"/>
    <w:rsid w:val="00A45E36"/>
    <w:rsid w:val="00A464DE"/>
    <w:rsid w:val="00A46FB9"/>
    <w:rsid w:val="00A4708E"/>
    <w:rsid w:val="00A4779B"/>
    <w:rsid w:val="00A477FC"/>
    <w:rsid w:val="00A501A7"/>
    <w:rsid w:val="00A519DB"/>
    <w:rsid w:val="00A5244F"/>
    <w:rsid w:val="00A52E70"/>
    <w:rsid w:val="00A53C0F"/>
    <w:rsid w:val="00A53C27"/>
    <w:rsid w:val="00A5497C"/>
    <w:rsid w:val="00A57216"/>
    <w:rsid w:val="00A57972"/>
    <w:rsid w:val="00A61519"/>
    <w:rsid w:val="00A62DCC"/>
    <w:rsid w:val="00A63F90"/>
    <w:rsid w:val="00A64791"/>
    <w:rsid w:val="00A65B96"/>
    <w:rsid w:val="00A6716D"/>
    <w:rsid w:val="00A677AE"/>
    <w:rsid w:val="00A705C4"/>
    <w:rsid w:val="00A734CA"/>
    <w:rsid w:val="00A73FB7"/>
    <w:rsid w:val="00A74899"/>
    <w:rsid w:val="00A74EF5"/>
    <w:rsid w:val="00A75162"/>
    <w:rsid w:val="00A7594A"/>
    <w:rsid w:val="00A76D19"/>
    <w:rsid w:val="00A77662"/>
    <w:rsid w:val="00A77CF9"/>
    <w:rsid w:val="00A80D27"/>
    <w:rsid w:val="00A8107D"/>
    <w:rsid w:val="00A8185D"/>
    <w:rsid w:val="00A81D34"/>
    <w:rsid w:val="00A822A7"/>
    <w:rsid w:val="00A82711"/>
    <w:rsid w:val="00A84325"/>
    <w:rsid w:val="00A84D43"/>
    <w:rsid w:val="00A84D66"/>
    <w:rsid w:val="00A84FD7"/>
    <w:rsid w:val="00A87EB6"/>
    <w:rsid w:val="00A87F61"/>
    <w:rsid w:val="00A90929"/>
    <w:rsid w:val="00A90CBB"/>
    <w:rsid w:val="00A9115E"/>
    <w:rsid w:val="00A923B9"/>
    <w:rsid w:val="00A92B0C"/>
    <w:rsid w:val="00A937E9"/>
    <w:rsid w:val="00A948C1"/>
    <w:rsid w:val="00A94E42"/>
    <w:rsid w:val="00A95870"/>
    <w:rsid w:val="00AA000E"/>
    <w:rsid w:val="00AA074E"/>
    <w:rsid w:val="00AA1617"/>
    <w:rsid w:val="00AA1C43"/>
    <w:rsid w:val="00AA20EA"/>
    <w:rsid w:val="00AA22F6"/>
    <w:rsid w:val="00AA25C9"/>
    <w:rsid w:val="00AA2CDB"/>
    <w:rsid w:val="00AA2D68"/>
    <w:rsid w:val="00AA369A"/>
    <w:rsid w:val="00AA3F19"/>
    <w:rsid w:val="00AA4141"/>
    <w:rsid w:val="00AA4149"/>
    <w:rsid w:val="00AA477B"/>
    <w:rsid w:val="00AA517F"/>
    <w:rsid w:val="00AA55BF"/>
    <w:rsid w:val="00AA581B"/>
    <w:rsid w:val="00AA6684"/>
    <w:rsid w:val="00AA746D"/>
    <w:rsid w:val="00AA7A84"/>
    <w:rsid w:val="00AB11EF"/>
    <w:rsid w:val="00AB16C4"/>
    <w:rsid w:val="00AB3281"/>
    <w:rsid w:val="00AB379B"/>
    <w:rsid w:val="00AB4E63"/>
    <w:rsid w:val="00AB65FB"/>
    <w:rsid w:val="00AB692F"/>
    <w:rsid w:val="00AB75CF"/>
    <w:rsid w:val="00AB79A2"/>
    <w:rsid w:val="00AB79F2"/>
    <w:rsid w:val="00AC0578"/>
    <w:rsid w:val="00AC11E8"/>
    <w:rsid w:val="00AC14BA"/>
    <w:rsid w:val="00AC32A5"/>
    <w:rsid w:val="00AC37D5"/>
    <w:rsid w:val="00AC3C0F"/>
    <w:rsid w:val="00AC60B4"/>
    <w:rsid w:val="00AC62B6"/>
    <w:rsid w:val="00AC6615"/>
    <w:rsid w:val="00AC6830"/>
    <w:rsid w:val="00AC7760"/>
    <w:rsid w:val="00AD10AE"/>
    <w:rsid w:val="00AD2670"/>
    <w:rsid w:val="00AD30D4"/>
    <w:rsid w:val="00AD30F8"/>
    <w:rsid w:val="00AD3D2A"/>
    <w:rsid w:val="00AD4C15"/>
    <w:rsid w:val="00AD4CD8"/>
    <w:rsid w:val="00AD57E1"/>
    <w:rsid w:val="00AD6359"/>
    <w:rsid w:val="00AD7548"/>
    <w:rsid w:val="00AD771B"/>
    <w:rsid w:val="00AE0293"/>
    <w:rsid w:val="00AE103B"/>
    <w:rsid w:val="00AE280E"/>
    <w:rsid w:val="00AE392C"/>
    <w:rsid w:val="00AE5070"/>
    <w:rsid w:val="00AE510C"/>
    <w:rsid w:val="00AE5160"/>
    <w:rsid w:val="00AE5AC4"/>
    <w:rsid w:val="00AE5D51"/>
    <w:rsid w:val="00AE622E"/>
    <w:rsid w:val="00AE7350"/>
    <w:rsid w:val="00AF0662"/>
    <w:rsid w:val="00AF0F53"/>
    <w:rsid w:val="00AF1F3D"/>
    <w:rsid w:val="00AF23C0"/>
    <w:rsid w:val="00AF3F42"/>
    <w:rsid w:val="00AF463C"/>
    <w:rsid w:val="00AF4844"/>
    <w:rsid w:val="00AF4EB9"/>
    <w:rsid w:val="00AF5B6F"/>
    <w:rsid w:val="00AF5F73"/>
    <w:rsid w:val="00AF6168"/>
    <w:rsid w:val="00AF6307"/>
    <w:rsid w:val="00AF65D3"/>
    <w:rsid w:val="00AF6E10"/>
    <w:rsid w:val="00B015CE"/>
    <w:rsid w:val="00B01B82"/>
    <w:rsid w:val="00B02D0B"/>
    <w:rsid w:val="00B02D4F"/>
    <w:rsid w:val="00B04706"/>
    <w:rsid w:val="00B04899"/>
    <w:rsid w:val="00B04FBC"/>
    <w:rsid w:val="00B0623C"/>
    <w:rsid w:val="00B06775"/>
    <w:rsid w:val="00B06F01"/>
    <w:rsid w:val="00B077E9"/>
    <w:rsid w:val="00B07F24"/>
    <w:rsid w:val="00B100C3"/>
    <w:rsid w:val="00B10E20"/>
    <w:rsid w:val="00B1256B"/>
    <w:rsid w:val="00B12F97"/>
    <w:rsid w:val="00B13B20"/>
    <w:rsid w:val="00B143F9"/>
    <w:rsid w:val="00B1465A"/>
    <w:rsid w:val="00B15C6A"/>
    <w:rsid w:val="00B16D72"/>
    <w:rsid w:val="00B16DBA"/>
    <w:rsid w:val="00B1736F"/>
    <w:rsid w:val="00B2003F"/>
    <w:rsid w:val="00B20E87"/>
    <w:rsid w:val="00B2241D"/>
    <w:rsid w:val="00B22569"/>
    <w:rsid w:val="00B24AFA"/>
    <w:rsid w:val="00B2517E"/>
    <w:rsid w:val="00B25DF8"/>
    <w:rsid w:val="00B25E63"/>
    <w:rsid w:val="00B262DF"/>
    <w:rsid w:val="00B27FAE"/>
    <w:rsid w:val="00B30CCF"/>
    <w:rsid w:val="00B32822"/>
    <w:rsid w:val="00B32F1E"/>
    <w:rsid w:val="00B333ED"/>
    <w:rsid w:val="00B337AC"/>
    <w:rsid w:val="00B34458"/>
    <w:rsid w:val="00B3456A"/>
    <w:rsid w:val="00B348E4"/>
    <w:rsid w:val="00B35FF8"/>
    <w:rsid w:val="00B3650D"/>
    <w:rsid w:val="00B36772"/>
    <w:rsid w:val="00B37C41"/>
    <w:rsid w:val="00B4033A"/>
    <w:rsid w:val="00B4062E"/>
    <w:rsid w:val="00B411B3"/>
    <w:rsid w:val="00B41643"/>
    <w:rsid w:val="00B430CE"/>
    <w:rsid w:val="00B438D9"/>
    <w:rsid w:val="00B43C5C"/>
    <w:rsid w:val="00B43F04"/>
    <w:rsid w:val="00B45871"/>
    <w:rsid w:val="00B46C16"/>
    <w:rsid w:val="00B46EF2"/>
    <w:rsid w:val="00B47581"/>
    <w:rsid w:val="00B476D7"/>
    <w:rsid w:val="00B478BD"/>
    <w:rsid w:val="00B47F13"/>
    <w:rsid w:val="00B5009A"/>
    <w:rsid w:val="00B5136A"/>
    <w:rsid w:val="00B51A28"/>
    <w:rsid w:val="00B51B51"/>
    <w:rsid w:val="00B51C5B"/>
    <w:rsid w:val="00B5491A"/>
    <w:rsid w:val="00B54D48"/>
    <w:rsid w:val="00B55AD0"/>
    <w:rsid w:val="00B57365"/>
    <w:rsid w:val="00B57610"/>
    <w:rsid w:val="00B6040D"/>
    <w:rsid w:val="00B62D48"/>
    <w:rsid w:val="00B63495"/>
    <w:rsid w:val="00B64D77"/>
    <w:rsid w:val="00B65200"/>
    <w:rsid w:val="00B657D1"/>
    <w:rsid w:val="00B65C5C"/>
    <w:rsid w:val="00B67186"/>
    <w:rsid w:val="00B67223"/>
    <w:rsid w:val="00B67303"/>
    <w:rsid w:val="00B67476"/>
    <w:rsid w:val="00B70B03"/>
    <w:rsid w:val="00B71446"/>
    <w:rsid w:val="00B71C5E"/>
    <w:rsid w:val="00B7317F"/>
    <w:rsid w:val="00B74B65"/>
    <w:rsid w:val="00B75DDD"/>
    <w:rsid w:val="00B762D4"/>
    <w:rsid w:val="00B7686D"/>
    <w:rsid w:val="00B77CA8"/>
    <w:rsid w:val="00B815C0"/>
    <w:rsid w:val="00B82226"/>
    <w:rsid w:val="00B850B8"/>
    <w:rsid w:val="00B85B7F"/>
    <w:rsid w:val="00B86609"/>
    <w:rsid w:val="00B87B53"/>
    <w:rsid w:val="00B91510"/>
    <w:rsid w:val="00B916EA"/>
    <w:rsid w:val="00B92C0D"/>
    <w:rsid w:val="00B933B1"/>
    <w:rsid w:val="00B93983"/>
    <w:rsid w:val="00B9563E"/>
    <w:rsid w:val="00B96938"/>
    <w:rsid w:val="00B9695E"/>
    <w:rsid w:val="00B969EB"/>
    <w:rsid w:val="00B97687"/>
    <w:rsid w:val="00BA00C0"/>
    <w:rsid w:val="00BA08C7"/>
    <w:rsid w:val="00BA0B13"/>
    <w:rsid w:val="00BA1DFE"/>
    <w:rsid w:val="00BA26A0"/>
    <w:rsid w:val="00BA2A2E"/>
    <w:rsid w:val="00BA37E1"/>
    <w:rsid w:val="00BA4135"/>
    <w:rsid w:val="00BA606D"/>
    <w:rsid w:val="00BA6550"/>
    <w:rsid w:val="00BA678B"/>
    <w:rsid w:val="00BA7259"/>
    <w:rsid w:val="00BA7445"/>
    <w:rsid w:val="00BA7D42"/>
    <w:rsid w:val="00BB04B8"/>
    <w:rsid w:val="00BB076C"/>
    <w:rsid w:val="00BB2441"/>
    <w:rsid w:val="00BB29B0"/>
    <w:rsid w:val="00BB3245"/>
    <w:rsid w:val="00BB3928"/>
    <w:rsid w:val="00BB41C7"/>
    <w:rsid w:val="00BB4620"/>
    <w:rsid w:val="00BB70E2"/>
    <w:rsid w:val="00BB79EB"/>
    <w:rsid w:val="00BB7AE0"/>
    <w:rsid w:val="00BC1064"/>
    <w:rsid w:val="00BC18B2"/>
    <w:rsid w:val="00BC2443"/>
    <w:rsid w:val="00BC2E0B"/>
    <w:rsid w:val="00BC38A3"/>
    <w:rsid w:val="00BC38BC"/>
    <w:rsid w:val="00BC3911"/>
    <w:rsid w:val="00BC3937"/>
    <w:rsid w:val="00BC4441"/>
    <w:rsid w:val="00BC495F"/>
    <w:rsid w:val="00BC4D40"/>
    <w:rsid w:val="00BC5CFD"/>
    <w:rsid w:val="00BC66D1"/>
    <w:rsid w:val="00BC7030"/>
    <w:rsid w:val="00BD020D"/>
    <w:rsid w:val="00BD0B4A"/>
    <w:rsid w:val="00BD1C20"/>
    <w:rsid w:val="00BD249D"/>
    <w:rsid w:val="00BD3EAB"/>
    <w:rsid w:val="00BD42E6"/>
    <w:rsid w:val="00BD4364"/>
    <w:rsid w:val="00BD4F87"/>
    <w:rsid w:val="00BD55CD"/>
    <w:rsid w:val="00BD59A4"/>
    <w:rsid w:val="00BD6AD5"/>
    <w:rsid w:val="00BD6D96"/>
    <w:rsid w:val="00BD6EA2"/>
    <w:rsid w:val="00BD728F"/>
    <w:rsid w:val="00BD7A16"/>
    <w:rsid w:val="00BD7B05"/>
    <w:rsid w:val="00BD7FCF"/>
    <w:rsid w:val="00BE1019"/>
    <w:rsid w:val="00BE174C"/>
    <w:rsid w:val="00BE33A6"/>
    <w:rsid w:val="00BE35C3"/>
    <w:rsid w:val="00BE4270"/>
    <w:rsid w:val="00BE693E"/>
    <w:rsid w:val="00BE75F5"/>
    <w:rsid w:val="00BE7E27"/>
    <w:rsid w:val="00BF07D5"/>
    <w:rsid w:val="00BF0C5E"/>
    <w:rsid w:val="00BF0FA5"/>
    <w:rsid w:val="00BF248C"/>
    <w:rsid w:val="00BF3CDD"/>
    <w:rsid w:val="00BF4739"/>
    <w:rsid w:val="00BF5D1C"/>
    <w:rsid w:val="00BF5FAC"/>
    <w:rsid w:val="00BF6521"/>
    <w:rsid w:val="00BF65B8"/>
    <w:rsid w:val="00BF7220"/>
    <w:rsid w:val="00BF76C5"/>
    <w:rsid w:val="00C015D7"/>
    <w:rsid w:val="00C01FE1"/>
    <w:rsid w:val="00C02F35"/>
    <w:rsid w:val="00C043F3"/>
    <w:rsid w:val="00C05258"/>
    <w:rsid w:val="00C069BB"/>
    <w:rsid w:val="00C07C5B"/>
    <w:rsid w:val="00C1155F"/>
    <w:rsid w:val="00C12144"/>
    <w:rsid w:val="00C15BFA"/>
    <w:rsid w:val="00C15F48"/>
    <w:rsid w:val="00C1624E"/>
    <w:rsid w:val="00C17143"/>
    <w:rsid w:val="00C17A58"/>
    <w:rsid w:val="00C17C13"/>
    <w:rsid w:val="00C20531"/>
    <w:rsid w:val="00C212AD"/>
    <w:rsid w:val="00C216EC"/>
    <w:rsid w:val="00C2173F"/>
    <w:rsid w:val="00C21A77"/>
    <w:rsid w:val="00C21BF0"/>
    <w:rsid w:val="00C21D3E"/>
    <w:rsid w:val="00C236C7"/>
    <w:rsid w:val="00C237FB"/>
    <w:rsid w:val="00C2457F"/>
    <w:rsid w:val="00C248F3"/>
    <w:rsid w:val="00C2581B"/>
    <w:rsid w:val="00C25B7C"/>
    <w:rsid w:val="00C263E5"/>
    <w:rsid w:val="00C270F5"/>
    <w:rsid w:val="00C27D5E"/>
    <w:rsid w:val="00C3010D"/>
    <w:rsid w:val="00C30F7C"/>
    <w:rsid w:val="00C31933"/>
    <w:rsid w:val="00C31A9D"/>
    <w:rsid w:val="00C3239F"/>
    <w:rsid w:val="00C32A18"/>
    <w:rsid w:val="00C32CAC"/>
    <w:rsid w:val="00C3468B"/>
    <w:rsid w:val="00C3491D"/>
    <w:rsid w:val="00C34AE6"/>
    <w:rsid w:val="00C353E7"/>
    <w:rsid w:val="00C35435"/>
    <w:rsid w:val="00C3648B"/>
    <w:rsid w:val="00C37BC3"/>
    <w:rsid w:val="00C4005E"/>
    <w:rsid w:val="00C401AE"/>
    <w:rsid w:val="00C40339"/>
    <w:rsid w:val="00C4074D"/>
    <w:rsid w:val="00C40AE8"/>
    <w:rsid w:val="00C42DB6"/>
    <w:rsid w:val="00C4406D"/>
    <w:rsid w:val="00C4591B"/>
    <w:rsid w:val="00C45E03"/>
    <w:rsid w:val="00C462EF"/>
    <w:rsid w:val="00C47614"/>
    <w:rsid w:val="00C500E2"/>
    <w:rsid w:val="00C51085"/>
    <w:rsid w:val="00C51D93"/>
    <w:rsid w:val="00C54747"/>
    <w:rsid w:val="00C54CDF"/>
    <w:rsid w:val="00C57213"/>
    <w:rsid w:val="00C57A85"/>
    <w:rsid w:val="00C61427"/>
    <w:rsid w:val="00C619A7"/>
    <w:rsid w:val="00C62E8B"/>
    <w:rsid w:val="00C6341E"/>
    <w:rsid w:val="00C63B9A"/>
    <w:rsid w:val="00C6409E"/>
    <w:rsid w:val="00C64450"/>
    <w:rsid w:val="00C648D5"/>
    <w:rsid w:val="00C64AB5"/>
    <w:rsid w:val="00C64E0E"/>
    <w:rsid w:val="00C66B36"/>
    <w:rsid w:val="00C67668"/>
    <w:rsid w:val="00C703B5"/>
    <w:rsid w:val="00C707AC"/>
    <w:rsid w:val="00C70BE0"/>
    <w:rsid w:val="00C71662"/>
    <w:rsid w:val="00C716A1"/>
    <w:rsid w:val="00C72F43"/>
    <w:rsid w:val="00C72F97"/>
    <w:rsid w:val="00C73B82"/>
    <w:rsid w:val="00C73C4B"/>
    <w:rsid w:val="00C74209"/>
    <w:rsid w:val="00C75E03"/>
    <w:rsid w:val="00C77DA3"/>
    <w:rsid w:val="00C80BDA"/>
    <w:rsid w:val="00C80FAB"/>
    <w:rsid w:val="00C81453"/>
    <w:rsid w:val="00C820C4"/>
    <w:rsid w:val="00C82986"/>
    <w:rsid w:val="00C86ADD"/>
    <w:rsid w:val="00C86F78"/>
    <w:rsid w:val="00C87C25"/>
    <w:rsid w:val="00C90ED4"/>
    <w:rsid w:val="00C91046"/>
    <w:rsid w:val="00C91312"/>
    <w:rsid w:val="00C9171D"/>
    <w:rsid w:val="00C9217C"/>
    <w:rsid w:val="00C94FE4"/>
    <w:rsid w:val="00C959D2"/>
    <w:rsid w:val="00C95AEE"/>
    <w:rsid w:val="00C97B2C"/>
    <w:rsid w:val="00CA0325"/>
    <w:rsid w:val="00CA2724"/>
    <w:rsid w:val="00CA2905"/>
    <w:rsid w:val="00CA2CA1"/>
    <w:rsid w:val="00CA37F6"/>
    <w:rsid w:val="00CA3AFD"/>
    <w:rsid w:val="00CA559E"/>
    <w:rsid w:val="00CA5B05"/>
    <w:rsid w:val="00CA67DF"/>
    <w:rsid w:val="00CA7623"/>
    <w:rsid w:val="00CB086B"/>
    <w:rsid w:val="00CB13DD"/>
    <w:rsid w:val="00CB144F"/>
    <w:rsid w:val="00CB5726"/>
    <w:rsid w:val="00CB5A2D"/>
    <w:rsid w:val="00CB6284"/>
    <w:rsid w:val="00CB6583"/>
    <w:rsid w:val="00CB65A7"/>
    <w:rsid w:val="00CB6637"/>
    <w:rsid w:val="00CC0269"/>
    <w:rsid w:val="00CC057D"/>
    <w:rsid w:val="00CC2112"/>
    <w:rsid w:val="00CC30A7"/>
    <w:rsid w:val="00CC4E93"/>
    <w:rsid w:val="00CC6FDE"/>
    <w:rsid w:val="00CD050D"/>
    <w:rsid w:val="00CD12A4"/>
    <w:rsid w:val="00CD2132"/>
    <w:rsid w:val="00CD2633"/>
    <w:rsid w:val="00CD4E43"/>
    <w:rsid w:val="00CD55E2"/>
    <w:rsid w:val="00CD5D09"/>
    <w:rsid w:val="00CD6437"/>
    <w:rsid w:val="00CE1E04"/>
    <w:rsid w:val="00CE2D03"/>
    <w:rsid w:val="00CE2EB3"/>
    <w:rsid w:val="00CE2EEE"/>
    <w:rsid w:val="00CE3279"/>
    <w:rsid w:val="00CE4408"/>
    <w:rsid w:val="00CE583F"/>
    <w:rsid w:val="00CE58D3"/>
    <w:rsid w:val="00CE7804"/>
    <w:rsid w:val="00CE79C3"/>
    <w:rsid w:val="00CE7FAE"/>
    <w:rsid w:val="00CF0EDD"/>
    <w:rsid w:val="00CF0F85"/>
    <w:rsid w:val="00CF2032"/>
    <w:rsid w:val="00CF3441"/>
    <w:rsid w:val="00CF4027"/>
    <w:rsid w:val="00CF408D"/>
    <w:rsid w:val="00CF5A24"/>
    <w:rsid w:val="00CF610C"/>
    <w:rsid w:val="00CF61BC"/>
    <w:rsid w:val="00CF684F"/>
    <w:rsid w:val="00D00B45"/>
    <w:rsid w:val="00D00BB5"/>
    <w:rsid w:val="00D013E6"/>
    <w:rsid w:val="00D026E4"/>
    <w:rsid w:val="00D02D6C"/>
    <w:rsid w:val="00D03595"/>
    <w:rsid w:val="00D03638"/>
    <w:rsid w:val="00D03F38"/>
    <w:rsid w:val="00D04117"/>
    <w:rsid w:val="00D05C36"/>
    <w:rsid w:val="00D10E49"/>
    <w:rsid w:val="00D1107C"/>
    <w:rsid w:val="00D11598"/>
    <w:rsid w:val="00D1258A"/>
    <w:rsid w:val="00D13026"/>
    <w:rsid w:val="00D13C6F"/>
    <w:rsid w:val="00D14033"/>
    <w:rsid w:val="00D149E3"/>
    <w:rsid w:val="00D149F0"/>
    <w:rsid w:val="00D15FEE"/>
    <w:rsid w:val="00D16483"/>
    <w:rsid w:val="00D16566"/>
    <w:rsid w:val="00D17344"/>
    <w:rsid w:val="00D176CC"/>
    <w:rsid w:val="00D2074B"/>
    <w:rsid w:val="00D20879"/>
    <w:rsid w:val="00D209FF"/>
    <w:rsid w:val="00D20F50"/>
    <w:rsid w:val="00D21AA6"/>
    <w:rsid w:val="00D21D33"/>
    <w:rsid w:val="00D23261"/>
    <w:rsid w:val="00D2393A"/>
    <w:rsid w:val="00D24446"/>
    <w:rsid w:val="00D25890"/>
    <w:rsid w:val="00D25909"/>
    <w:rsid w:val="00D261D3"/>
    <w:rsid w:val="00D2624B"/>
    <w:rsid w:val="00D27599"/>
    <w:rsid w:val="00D310EC"/>
    <w:rsid w:val="00D314A7"/>
    <w:rsid w:val="00D3152E"/>
    <w:rsid w:val="00D321DF"/>
    <w:rsid w:val="00D32D4D"/>
    <w:rsid w:val="00D33106"/>
    <w:rsid w:val="00D33176"/>
    <w:rsid w:val="00D33723"/>
    <w:rsid w:val="00D33810"/>
    <w:rsid w:val="00D33B36"/>
    <w:rsid w:val="00D33F0D"/>
    <w:rsid w:val="00D343EA"/>
    <w:rsid w:val="00D35C26"/>
    <w:rsid w:val="00D35CE5"/>
    <w:rsid w:val="00D4045C"/>
    <w:rsid w:val="00D41400"/>
    <w:rsid w:val="00D41881"/>
    <w:rsid w:val="00D420C1"/>
    <w:rsid w:val="00D425FE"/>
    <w:rsid w:val="00D42838"/>
    <w:rsid w:val="00D43C88"/>
    <w:rsid w:val="00D451C1"/>
    <w:rsid w:val="00D454BD"/>
    <w:rsid w:val="00D46CEB"/>
    <w:rsid w:val="00D478AC"/>
    <w:rsid w:val="00D47B2F"/>
    <w:rsid w:val="00D52D0E"/>
    <w:rsid w:val="00D52D52"/>
    <w:rsid w:val="00D53D2D"/>
    <w:rsid w:val="00D544B9"/>
    <w:rsid w:val="00D55A27"/>
    <w:rsid w:val="00D55BDF"/>
    <w:rsid w:val="00D56648"/>
    <w:rsid w:val="00D5665F"/>
    <w:rsid w:val="00D607FE"/>
    <w:rsid w:val="00D60BF3"/>
    <w:rsid w:val="00D6106E"/>
    <w:rsid w:val="00D616CF"/>
    <w:rsid w:val="00D61988"/>
    <w:rsid w:val="00D61AA2"/>
    <w:rsid w:val="00D629D7"/>
    <w:rsid w:val="00D62A31"/>
    <w:rsid w:val="00D62C79"/>
    <w:rsid w:val="00D633CC"/>
    <w:rsid w:val="00D6395A"/>
    <w:rsid w:val="00D63B05"/>
    <w:rsid w:val="00D6515E"/>
    <w:rsid w:val="00D65761"/>
    <w:rsid w:val="00D65F73"/>
    <w:rsid w:val="00D66052"/>
    <w:rsid w:val="00D6687A"/>
    <w:rsid w:val="00D66D77"/>
    <w:rsid w:val="00D67209"/>
    <w:rsid w:val="00D67CC0"/>
    <w:rsid w:val="00D70677"/>
    <w:rsid w:val="00D7230B"/>
    <w:rsid w:val="00D73995"/>
    <w:rsid w:val="00D744AD"/>
    <w:rsid w:val="00D74579"/>
    <w:rsid w:val="00D74FF3"/>
    <w:rsid w:val="00D7503D"/>
    <w:rsid w:val="00D751CB"/>
    <w:rsid w:val="00D75354"/>
    <w:rsid w:val="00D75DE3"/>
    <w:rsid w:val="00D7625A"/>
    <w:rsid w:val="00D807BA"/>
    <w:rsid w:val="00D81A23"/>
    <w:rsid w:val="00D81FE7"/>
    <w:rsid w:val="00D820E5"/>
    <w:rsid w:val="00D827D6"/>
    <w:rsid w:val="00D83D4B"/>
    <w:rsid w:val="00D840AE"/>
    <w:rsid w:val="00D84361"/>
    <w:rsid w:val="00D84ABA"/>
    <w:rsid w:val="00D84EFA"/>
    <w:rsid w:val="00D85424"/>
    <w:rsid w:val="00D878AB"/>
    <w:rsid w:val="00D87BB3"/>
    <w:rsid w:val="00D907D2"/>
    <w:rsid w:val="00D90D11"/>
    <w:rsid w:val="00D9155B"/>
    <w:rsid w:val="00D91E96"/>
    <w:rsid w:val="00D91EDD"/>
    <w:rsid w:val="00D91FE1"/>
    <w:rsid w:val="00D92DDB"/>
    <w:rsid w:val="00D92E4D"/>
    <w:rsid w:val="00D934E5"/>
    <w:rsid w:val="00D93BC6"/>
    <w:rsid w:val="00D93E68"/>
    <w:rsid w:val="00D94CC8"/>
    <w:rsid w:val="00D95C0B"/>
    <w:rsid w:val="00D97213"/>
    <w:rsid w:val="00D9783A"/>
    <w:rsid w:val="00D97ED9"/>
    <w:rsid w:val="00DA1E93"/>
    <w:rsid w:val="00DA24FE"/>
    <w:rsid w:val="00DA2FD6"/>
    <w:rsid w:val="00DA3896"/>
    <w:rsid w:val="00DA3DDA"/>
    <w:rsid w:val="00DA3EFF"/>
    <w:rsid w:val="00DA41B4"/>
    <w:rsid w:val="00DA4A86"/>
    <w:rsid w:val="00DA4BDB"/>
    <w:rsid w:val="00DA61EE"/>
    <w:rsid w:val="00DA74B0"/>
    <w:rsid w:val="00DB17C3"/>
    <w:rsid w:val="00DB1A82"/>
    <w:rsid w:val="00DB1D65"/>
    <w:rsid w:val="00DB3A34"/>
    <w:rsid w:val="00DB445C"/>
    <w:rsid w:val="00DB47F2"/>
    <w:rsid w:val="00DB4FE0"/>
    <w:rsid w:val="00DB58A7"/>
    <w:rsid w:val="00DB74BC"/>
    <w:rsid w:val="00DC0086"/>
    <w:rsid w:val="00DC07DD"/>
    <w:rsid w:val="00DC1539"/>
    <w:rsid w:val="00DC1F0A"/>
    <w:rsid w:val="00DC1FCB"/>
    <w:rsid w:val="00DC2431"/>
    <w:rsid w:val="00DC2FB2"/>
    <w:rsid w:val="00DC32BB"/>
    <w:rsid w:val="00DC3B6F"/>
    <w:rsid w:val="00DC3C6A"/>
    <w:rsid w:val="00DC3D50"/>
    <w:rsid w:val="00DC410C"/>
    <w:rsid w:val="00DC44F8"/>
    <w:rsid w:val="00DC6D96"/>
    <w:rsid w:val="00DD0095"/>
    <w:rsid w:val="00DD0D3B"/>
    <w:rsid w:val="00DD1346"/>
    <w:rsid w:val="00DD1A78"/>
    <w:rsid w:val="00DD1E30"/>
    <w:rsid w:val="00DD1EDD"/>
    <w:rsid w:val="00DD20B1"/>
    <w:rsid w:val="00DD2AC9"/>
    <w:rsid w:val="00DD2EB0"/>
    <w:rsid w:val="00DD6B9F"/>
    <w:rsid w:val="00DD73FF"/>
    <w:rsid w:val="00DE07D4"/>
    <w:rsid w:val="00DE1583"/>
    <w:rsid w:val="00DE1CA4"/>
    <w:rsid w:val="00DE3214"/>
    <w:rsid w:val="00DE374D"/>
    <w:rsid w:val="00DE3821"/>
    <w:rsid w:val="00DE3A40"/>
    <w:rsid w:val="00DE5A1B"/>
    <w:rsid w:val="00DE7359"/>
    <w:rsid w:val="00DE7551"/>
    <w:rsid w:val="00DE79A4"/>
    <w:rsid w:val="00DF0F44"/>
    <w:rsid w:val="00DF3EEB"/>
    <w:rsid w:val="00DF4103"/>
    <w:rsid w:val="00DF4842"/>
    <w:rsid w:val="00DF505F"/>
    <w:rsid w:val="00DF5750"/>
    <w:rsid w:val="00DF6AEE"/>
    <w:rsid w:val="00DF6B4A"/>
    <w:rsid w:val="00E00C9C"/>
    <w:rsid w:val="00E00ECE"/>
    <w:rsid w:val="00E024C7"/>
    <w:rsid w:val="00E04FE5"/>
    <w:rsid w:val="00E064F6"/>
    <w:rsid w:val="00E073DC"/>
    <w:rsid w:val="00E12EB7"/>
    <w:rsid w:val="00E1461D"/>
    <w:rsid w:val="00E1504A"/>
    <w:rsid w:val="00E165A4"/>
    <w:rsid w:val="00E16AC3"/>
    <w:rsid w:val="00E2088E"/>
    <w:rsid w:val="00E20A0F"/>
    <w:rsid w:val="00E2382E"/>
    <w:rsid w:val="00E243D2"/>
    <w:rsid w:val="00E25073"/>
    <w:rsid w:val="00E25256"/>
    <w:rsid w:val="00E2527E"/>
    <w:rsid w:val="00E26190"/>
    <w:rsid w:val="00E271DA"/>
    <w:rsid w:val="00E304E2"/>
    <w:rsid w:val="00E3068F"/>
    <w:rsid w:val="00E30EAC"/>
    <w:rsid w:val="00E316D4"/>
    <w:rsid w:val="00E3232D"/>
    <w:rsid w:val="00E34100"/>
    <w:rsid w:val="00E355BF"/>
    <w:rsid w:val="00E35688"/>
    <w:rsid w:val="00E358BA"/>
    <w:rsid w:val="00E362F8"/>
    <w:rsid w:val="00E37352"/>
    <w:rsid w:val="00E376F6"/>
    <w:rsid w:val="00E42AB0"/>
    <w:rsid w:val="00E44781"/>
    <w:rsid w:val="00E45C9A"/>
    <w:rsid w:val="00E45CA2"/>
    <w:rsid w:val="00E46270"/>
    <w:rsid w:val="00E462EE"/>
    <w:rsid w:val="00E46A6A"/>
    <w:rsid w:val="00E472B1"/>
    <w:rsid w:val="00E545F4"/>
    <w:rsid w:val="00E54D7F"/>
    <w:rsid w:val="00E55194"/>
    <w:rsid w:val="00E55D23"/>
    <w:rsid w:val="00E5672B"/>
    <w:rsid w:val="00E571C0"/>
    <w:rsid w:val="00E57271"/>
    <w:rsid w:val="00E602FE"/>
    <w:rsid w:val="00E60A87"/>
    <w:rsid w:val="00E61E58"/>
    <w:rsid w:val="00E634BD"/>
    <w:rsid w:val="00E6658A"/>
    <w:rsid w:val="00E66B8C"/>
    <w:rsid w:val="00E66C9E"/>
    <w:rsid w:val="00E66E67"/>
    <w:rsid w:val="00E67387"/>
    <w:rsid w:val="00E67DA4"/>
    <w:rsid w:val="00E714AE"/>
    <w:rsid w:val="00E715A9"/>
    <w:rsid w:val="00E7255D"/>
    <w:rsid w:val="00E7372A"/>
    <w:rsid w:val="00E73CDC"/>
    <w:rsid w:val="00E757C9"/>
    <w:rsid w:val="00E76289"/>
    <w:rsid w:val="00E769E5"/>
    <w:rsid w:val="00E776FD"/>
    <w:rsid w:val="00E77A44"/>
    <w:rsid w:val="00E81A5C"/>
    <w:rsid w:val="00E83B62"/>
    <w:rsid w:val="00E850F2"/>
    <w:rsid w:val="00E863FB"/>
    <w:rsid w:val="00E90D13"/>
    <w:rsid w:val="00E90DA9"/>
    <w:rsid w:val="00E91819"/>
    <w:rsid w:val="00E932A8"/>
    <w:rsid w:val="00E9371D"/>
    <w:rsid w:val="00E937BD"/>
    <w:rsid w:val="00E939AC"/>
    <w:rsid w:val="00E94A10"/>
    <w:rsid w:val="00E96557"/>
    <w:rsid w:val="00EA1141"/>
    <w:rsid w:val="00EA1180"/>
    <w:rsid w:val="00EA237D"/>
    <w:rsid w:val="00EA23D6"/>
    <w:rsid w:val="00EA26AA"/>
    <w:rsid w:val="00EA2D3C"/>
    <w:rsid w:val="00EA3E47"/>
    <w:rsid w:val="00EA41CD"/>
    <w:rsid w:val="00EA57F7"/>
    <w:rsid w:val="00EA703C"/>
    <w:rsid w:val="00EA7DF1"/>
    <w:rsid w:val="00EB095C"/>
    <w:rsid w:val="00EB1015"/>
    <w:rsid w:val="00EB10B7"/>
    <w:rsid w:val="00EB2C78"/>
    <w:rsid w:val="00EB3352"/>
    <w:rsid w:val="00EB3654"/>
    <w:rsid w:val="00EB3BEC"/>
    <w:rsid w:val="00EB55FD"/>
    <w:rsid w:val="00EB6B09"/>
    <w:rsid w:val="00EB6B34"/>
    <w:rsid w:val="00EB71DB"/>
    <w:rsid w:val="00EC0268"/>
    <w:rsid w:val="00EC0F0B"/>
    <w:rsid w:val="00EC1C49"/>
    <w:rsid w:val="00EC3A82"/>
    <w:rsid w:val="00EC4323"/>
    <w:rsid w:val="00EC4A49"/>
    <w:rsid w:val="00EC4DEB"/>
    <w:rsid w:val="00EC4FB0"/>
    <w:rsid w:val="00EC5103"/>
    <w:rsid w:val="00EC5711"/>
    <w:rsid w:val="00EC5B4F"/>
    <w:rsid w:val="00EC64DA"/>
    <w:rsid w:val="00EC6AF9"/>
    <w:rsid w:val="00EC6F58"/>
    <w:rsid w:val="00EC7942"/>
    <w:rsid w:val="00EC7B49"/>
    <w:rsid w:val="00ED0611"/>
    <w:rsid w:val="00ED0929"/>
    <w:rsid w:val="00ED0B11"/>
    <w:rsid w:val="00ED23CF"/>
    <w:rsid w:val="00ED38D1"/>
    <w:rsid w:val="00ED52CA"/>
    <w:rsid w:val="00ED5913"/>
    <w:rsid w:val="00ED67E5"/>
    <w:rsid w:val="00EE0168"/>
    <w:rsid w:val="00EE0191"/>
    <w:rsid w:val="00EE0848"/>
    <w:rsid w:val="00EE1681"/>
    <w:rsid w:val="00EE1A57"/>
    <w:rsid w:val="00EE328E"/>
    <w:rsid w:val="00EE330E"/>
    <w:rsid w:val="00EE34A5"/>
    <w:rsid w:val="00EE3969"/>
    <w:rsid w:val="00EE4D1B"/>
    <w:rsid w:val="00EE62C2"/>
    <w:rsid w:val="00EE6998"/>
    <w:rsid w:val="00EE6CBA"/>
    <w:rsid w:val="00EE71D7"/>
    <w:rsid w:val="00EF09D3"/>
    <w:rsid w:val="00EF0C42"/>
    <w:rsid w:val="00EF293F"/>
    <w:rsid w:val="00EF50F1"/>
    <w:rsid w:val="00F0350E"/>
    <w:rsid w:val="00F03ADD"/>
    <w:rsid w:val="00F04777"/>
    <w:rsid w:val="00F0733D"/>
    <w:rsid w:val="00F07C86"/>
    <w:rsid w:val="00F10F46"/>
    <w:rsid w:val="00F12098"/>
    <w:rsid w:val="00F12A65"/>
    <w:rsid w:val="00F136AE"/>
    <w:rsid w:val="00F15109"/>
    <w:rsid w:val="00F154E5"/>
    <w:rsid w:val="00F15C0C"/>
    <w:rsid w:val="00F15C82"/>
    <w:rsid w:val="00F169D5"/>
    <w:rsid w:val="00F1791A"/>
    <w:rsid w:val="00F17F56"/>
    <w:rsid w:val="00F20DB3"/>
    <w:rsid w:val="00F21DE2"/>
    <w:rsid w:val="00F22364"/>
    <w:rsid w:val="00F22763"/>
    <w:rsid w:val="00F22957"/>
    <w:rsid w:val="00F22E03"/>
    <w:rsid w:val="00F238ED"/>
    <w:rsid w:val="00F248D0"/>
    <w:rsid w:val="00F2542E"/>
    <w:rsid w:val="00F25A6B"/>
    <w:rsid w:val="00F25B05"/>
    <w:rsid w:val="00F25C20"/>
    <w:rsid w:val="00F26DBC"/>
    <w:rsid w:val="00F2740D"/>
    <w:rsid w:val="00F2751E"/>
    <w:rsid w:val="00F27EE8"/>
    <w:rsid w:val="00F27F3E"/>
    <w:rsid w:val="00F30004"/>
    <w:rsid w:val="00F315C5"/>
    <w:rsid w:val="00F31DEC"/>
    <w:rsid w:val="00F31F42"/>
    <w:rsid w:val="00F32996"/>
    <w:rsid w:val="00F32CCC"/>
    <w:rsid w:val="00F33857"/>
    <w:rsid w:val="00F33C8D"/>
    <w:rsid w:val="00F3530C"/>
    <w:rsid w:val="00F35430"/>
    <w:rsid w:val="00F357A0"/>
    <w:rsid w:val="00F36140"/>
    <w:rsid w:val="00F361AD"/>
    <w:rsid w:val="00F36355"/>
    <w:rsid w:val="00F36D7F"/>
    <w:rsid w:val="00F36FC3"/>
    <w:rsid w:val="00F37775"/>
    <w:rsid w:val="00F40597"/>
    <w:rsid w:val="00F4126B"/>
    <w:rsid w:val="00F432D5"/>
    <w:rsid w:val="00F43566"/>
    <w:rsid w:val="00F43A7D"/>
    <w:rsid w:val="00F448F5"/>
    <w:rsid w:val="00F45C18"/>
    <w:rsid w:val="00F4604E"/>
    <w:rsid w:val="00F463BF"/>
    <w:rsid w:val="00F47176"/>
    <w:rsid w:val="00F47673"/>
    <w:rsid w:val="00F47AC9"/>
    <w:rsid w:val="00F50486"/>
    <w:rsid w:val="00F5096B"/>
    <w:rsid w:val="00F50C29"/>
    <w:rsid w:val="00F515EF"/>
    <w:rsid w:val="00F52F4F"/>
    <w:rsid w:val="00F531C4"/>
    <w:rsid w:val="00F54E44"/>
    <w:rsid w:val="00F5501D"/>
    <w:rsid w:val="00F56AEE"/>
    <w:rsid w:val="00F56D32"/>
    <w:rsid w:val="00F56D91"/>
    <w:rsid w:val="00F56F3E"/>
    <w:rsid w:val="00F57989"/>
    <w:rsid w:val="00F60509"/>
    <w:rsid w:val="00F61A2B"/>
    <w:rsid w:val="00F627DA"/>
    <w:rsid w:val="00F62DC0"/>
    <w:rsid w:val="00F6425A"/>
    <w:rsid w:val="00F6488B"/>
    <w:rsid w:val="00F65263"/>
    <w:rsid w:val="00F6533B"/>
    <w:rsid w:val="00F653B2"/>
    <w:rsid w:val="00F65EA8"/>
    <w:rsid w:val="00F67420"/>
    <w:rsid w:val="00F67A11"/>
    <w:rsid w:val="00F67B33"/>
    <w:rsid w:val="00F7074C"/>
    <w:rsid w:val="00F70B49"/>
    <w:rsid w:val="00F71B17"/>
    <w:rsid w:val="00F720EA"/>
    <w:rsid w:val="00F72C6B"/>
    <w:rsid w:val="00F734DD"/>
    <w:rsid w:val="00F740DA"/>
    <w:rsid w:val="00F74778"/>
    <w:rsid w:val="00F755ED"/>
    <w:rsid w:val="00F75904"/>
    <w:rsid w:val="00F75AF6"/>
    <w:rsid w:val="00F76146"/>
    <w:rsid w:val="00F77EDD"/>
    <w:rsid w:val="00F817A0"/>
    <w:rsid w:val="00F82284"/>
    <w:rsid w:val="00F8263A"/>
    <w:rsid w:val="00F83540"/>
    <w:rsid w:val="00F836E0"/>
    <w:rsid w:val="00F8786A"/>
    <w:rsid w:val="00F905F1"/>
    <w:rsid w:val="00F90FC7"/>
    <w:rsid w:val="00F9180B"/>
    <w:rsid w:val="00F93622"/>
    <w:rsid w:val="00F9386B"/>
    <w:rsid w:val="00F9417F"/>
    <w:rsid w:val="00F957AE"/>
    <w:rsid w:val="00F96313"/>
    <w:rsid w:val="00F977FF"/>
    <w:rsid w:val="00FA02AE"/>
    <w:rsid w:val="00FA05BB"/>
    <w:rsid w:val="00FA0815"/>
    <w:rsid w:val="00FA0B8B"/>
    <w:rsid w:val="00FA2358"/>
    <w:rsid w:val="00FA2827"/>
    <w:rsid w:val="00FA3D46"/>
    <w:rsid w:val="00FA4BD7"/>
    <w:rsid w:val="00FA559F"/>
    <w:rsid w:val="00FA66F1"/>
    <w:rsid w:val="00FB0D24"/>
    <w:rsid w:val="00FB10B7"/>
    <w:rsid w:val="00FB2A71"/>
    <w:rsid w:val="00FB3B14"/>
    <w:rsid w:val="00FB3F4C"/>
    <w:rsid w:val="00FB3FF0"/>
    <w:rsid w:val="00FB4FEE"/>
    <w:rsid w:val="00FB5A1E"/>
    <w:rsid w:val="00FB5DD5"/>
    <w:rsid w:val="00FB6221"/>
    <w:rsid w:val="00FB6D3C"/>
    <w:rsid w:val="00FB6EE2"/>
    <w:rsid w:val="00FB7FA5"/>
    <w:rsid w:val="00FC03AF"/>
    <w:rsid w:val="00FC1828"/>
    <w:rsid w:val="00FC1C0B"/>
    <w:rsid w:val="00FC2070"/>
    <w:rsid w:val="00FC2B19"/>
    <w:rsid w:val="00FC3F57"/>
    <w:rsid w:val="00FC48B5"/>
    <w:rsid w:val="00FC4AA0"/>
    <w:rsid w:val="00FC4D8C"/>
    <w:rsid w:val="00FC597A"/>
    <w:rsid w:val="00FC60BD"/>
    <w:rsid w:val="00FC684F"/>
    <w:rsid w:val="00FC75C3"/>
    <w:rsid w:val="00FC7B96"/>
    <w:rsid w:val="00FC7EC1"/>
    <w:rsid w:val="00FD0369"/>
    <w:rsid w:val="00FD052A"/>
    <w:rsid w:val="00FD2814"/>
    <w:rsid w:val="00FD3D48"/>
    <w:rsid w:val="00FD3E22"/>
    <w:rsid w:val="00FD4DBA"/>
    <w:rsid w:val="00FD5734"/>
    <w:rsid w:val="00FD7C5C"/>
    <w:rsid w:val="00FD7E9D"/>
    <w:rsid w:val="00FE1525"/>
    <w:rsid w:val="00FE1DBD"/>
    <w:rsid w:val="00FE1F23"/>
    <w:rsid w:val="00FE300D"/>
    <w:rsid w:val="00FE3974"/>
    <w:rsid w:val="00FE3EA3"/>
    <w:rsid w:val="00FE461B"/>
    <w:rsid w:val="00FE5648"/>
    <w:rsid w:val="00FE5774"/>
    <w:rsid w:val="00FE7460"/>
    <w:rsid w:val="00FE74E5"/>
    <w:rsid w:val="00FE7B00"/>
    <w:rsid w:val="00FE7D93"/>
    <w:rsid w:val="00FF0108"/>
    <w:rsid w:val="00FF0639"/>
    <w:rsid w:val="00FF0BB2"/>
    <w:rsid w:val="00FF0F57"/>
    <w:rsid w:val="00FF1CA9"/>
    <w:rsid w:val="00FF1D58"/>
    <w:rsid w:val="00FF2196"/>
    <w:rsid w:val="00FF278B"/>
    <w:rsid w:val="00FF2821"/>
    <w:rsid w:val="00FF3242"/>
    <w:rsid w:val="00FF3835"/>
    <w:rsid w:val="00FF472C"/>
    <w:rsid w:val="00FF4F4E"/>
    <w:rsid w:val="00FF5321"/>
    <w:rsid w:val="00FF5AC2"/>
    <w:rsid w:val="00FF6DCF"/>
    <w:rsid w:val="00FF73D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71662"/>
    <w:pPr>
      <w:jc w:val="both"/>
    </w:pPr>
    <w:rPr>
      <w:rFonts w:ascii="Arial" w:hAnsi="Arial"/>
      <w:sz w:val="22"/>
      <w:szCs w:val="24"/>
      <w:lang w:val="es-ES" w:eastAsia="es-ES"/>
    </w:rPr>
  </w:style>
  <w:style w:type="paragraph" w:styleId="Ttulo1">
    <w:name w:val="heading 1"/>
    <w:basedOn w:val="Normal"/>
    <w:next w:val="Normal"/>
    <w:link w:val="Ttulo1Car"/>
    <w:qFormat/>
    <w:rsid w:val="00F96313"/>
    <w:pPr>
      <w:keepNext/>
      <w:numPr>
        <w:numId w:val="30"/>
      </w:numPr>
      <w:spacing w:before="120" w:after="60"/>
      <w:outlineLvl w:val="0"/>
    </w:pPr>
    <w:rPr>
      <w:rFonts w:cs="Arial"/>
      <w:b/>
      <w:bCs/>
      <w:kern w:val="32"/>
      <w:szCs w:val="32"/>
    </w:rPr>
  </w:style>
  <w:style w:type="paragraph" w:styleId="Ttulo2">
    <w:name w:val="heading 2"/>
    <w:basedOn w:val="Normal"/>
    <w:next w:val="Normal"/>
    <w:link w:val="Ttulo2Car"/>
    <w:qFormat/>
    <w:rsid w:val="00B51B51"/>
    <w:pPr>
      <w:keepNext/>
      <w:widowControl w:val="0"/>
      <w:numPr>
        <w:ilvl w:val="1"/>
        <w:numId w:val="30"/>
      </w:numPr>
      <w:outlineLvl w:val="1"/>
    </w:pPr>
    <w:rPr>
      <w:rFonts w:cs="Arial"/>
      <w:b/>
      <w:bCs/>
      <w:iCs/>
      <w:szCs w:val="28"/>
    </w:rPr>
  </w:style>
  <w:style w:type="paragraph" w:styleId="Ttulo3">
    <w:name w:val="heading 3"/>
    <w:basedOn w:val="Normal"/>
    <w:next w:val="Normal"/>
    <w:link w:val="Ttulo3Car"/>
    <w:qFormat/>
    <w:rsid w:val="00B51B51"/>
    <w:pPr>
      <w:widowControl w:val="0"/>
      <w:numPr>
        <w:ilvl w:val="2"/>
        <w:numId w:val="30"/>
      </w:numPr>
      <w:outlineLvl w:val="2"/>
    </w:pPr>
    <w:rPr>
      <w:rFonts w:cs="Arial"/>
      <w:b/>
      <w:bCs/>
      <w:szCs w:val="26"/>
    </w:rPr>
  </w:style>
  <w:style w:type="paragraph" w:styleId="Ttulo4">
    <w:name w:val="heading 4"/>
    <w:aliases w:val="Título 4amb"/>
    <w:basedOn w:val="Normal"/>
    <w:next w:val="Normal"/>
    <w:link w:val="Ttulo4Car"/>
    <w:qFormat/>
    <w:rsid w:val="00421CB7"/>
    <w:pPr>
      <w:keepNext/>
      <w:numPr>
        <w:ilvl w:val="3"/>
        <w:numId w:val="30"/>
      </w:numPr>
      <w:spacing w:before="240" w:after="60"/>
      <w:outlineLvl w:val="3"/>
    </w:pPr>
    <w:rPr>
      <w:bCs/>
      <w:szCs w:val="28"/>
    </w:rPr>
  </w:style>
  <w:style w:type="paragraph" w:styleId="Ttulo5">
    <w:name w:val="heading 5"/>
    <w:basedOn w:val="Normal"/>
    <w:next w:val="Normal"/>
    <w:link w:val="Ttulo5Car"/>
    <w:qFormat/>
    <w:rsid w:val="009D1796"/>
    <w:pPr>
      <w:numPr>
        <w:ilvl w:val="4"/>
        <w:numId w:val="30"/>
      </w:numPr>
      <w:spacing w:before="240" w:after="60"/>
      <w:outlineLvl w:val="4"/>
    </w:pPr>
    <w:rPr>
      <w:b/>
      <w:bCs/>
      <w:i/>
      <w:iCs/>
      <w:sz w:val="26"/>
      <w:szCs w:val="26"/>
    </w:rPr>
  </w:style>
  <w:style w:type="paragraph" w:styleId="Ttulo6">
    <w:name w:val="heading 6"/>
    <w:basedOn w:val="Normal"/>
    <w:next w:val="Normal"/>
    <w:link w:val="Ttulo6Car"/>
    <w:qFormat/>
    <w:rsid w:val="009D1796"/>
    <w:pPr>
      <w:numPr>
        <w:ilvl w:val="5"/>
        <w:numId w:val="30"/>
      </w:numPr>
      <w:spacing w:before="240" w:after="60"/>
      <w:outlineLvl w:val="5"/>
    </w:pPr>
    <w:rPr>
      <w:b/>
      <w:bCs/>
      <w:szCs w:val="22"/>
    </w:rPr>
  </w:style>
  <w:style w:type="paragraph" w:styleId="Ttulo7">
    <w:name w:val="heading 7"/>
    <w:basedOn w:val="Normal"/>
    <w:next w:val="Normal"/>
    <w:link w:val="Ttulo7Car"/>
    <w:qFormat/>
    <w:rsid w:val="009D1796"/>
    <w:pPr>
      <w:numPr>
        <w:ilvl w:val="6"/>
        <w:numId w:val="30"/>
      </w:numPr>
      <w:spacing w:before="240" w:after="60"/>
      <w:outlineLvl w:val="6"/>
    </w:pPr>
  </w:style>
  <w:style w:type="paragraph" w:styleId="Ttulo8">
    <w:name w:val="heading 8"/>
    <w:basedOn w:val="Normal"/>
    <w:next w:val="Normal"/>
    <w:link w:val="Ttulo8Car"/>
    <w:qFormat/>
    <w:rsid w:val="009D1796"/>
    <w:pPr>
      <w:numPr>
        <w:ilvl w:val="7"/>
        <w:numId w:val="30"/>
      </w:numPr>
      <w:spacing w:before="240" w:after="60"/>
      <w:outlineLvl w:val="7"/>
    </w:pPr>
    <w:rPr>
      <w:i/>
      <w:iCs/>
    </w:rPr>
  </w:style>
  <w:style w:type="paragraph" w:styleId="Ttulo9">
    <w:name w:val="heading 9"/>
    <w:basedOn w:val="Normal"/>
    <w:next w:val="Normal"/>
    <w:link w:val="Ttulo9Car"/>
    <w:qFormat/>
    <w:rsid w:val="009D1796"/>
    <w:pPr>
      <w:numPr>
        <w:ilvl w:val="8"/>
        <w:numId w:val="30"/>
      </w:numPr>
      <w:spacing w:before="240" w:after="60"/>
      <w:outlineLvl w:val="8"/>
    </w:pPr>
    <w:rPr>
      <w:rFonts w:cs="Arial"/>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character" w:customStyle="1" w:styleId="Ttulo2Car">
    <w:name w:val="Título 2 Car"/>
    <w:basedOn w:val="Fuentedeprrafopredeter"/>
    <w:link w:val="Ttulo2"/>
    <w:rsid w:val="00B51B51"/>
    <w:rPr>
      <w:rFonts w:ascii="Arial" w:hAnsi="Arial" w:cs="Arial"/>
      <w:b/>
      <w:bCs/>
      <w:iCs/>
      <w:sz w:val="22"/>
      <w:szCs w:val="28"/>
      <w:lang w:val="es-ES" w:eastAsia="es-ES"/>
    </w:rPr>
  </w:style>
  <w:style w:type="character" w:styleId="Textoennegrita">
    <w:name w:val="Strong"/>
    <w:qFormat/>
    <w:rsid w:val="00AE7350"/>
    <w:rPr>
      <w:b/>
      <w:bCs/>
    </w:rPr>
  </w:style>
  <w:style w:type="paragraph" w:styleId="Mapadeldocumento">
    <w:name w:val="Document Map"/>
    <w:basedOn w:val="Normal"/>
    <w:semiHidden/>
    <w:rsid w:val="00B30CCF"/>
    <w:pPr>
      <w:shd w:val="clear" w:color="auto" w:fill="000080"/>
    </w:pPr>
    <w:rPr>
      <w:rFonts w:ascii="Tahoma" w:hAnsi="Tahoma" w:cs="Tahoma"/>
      <w:sz w:val="20"/>
      <w:szCs w:val="20"/>
    </w:rPr>
  </w:style>
  <w:style w:type="paragraph" w:styleId="Encabezado">
    <w:name w:val="header"/>
    <w:aliases w:val="encabezado"/>
    <w:basedOn w:val="Normal"/>
    <w:link w:val="EncabezadoCar"/>
    <w:semiHidden/>
    <w:rsid w:val="0040476A"/>
    <w:pPr>
      <w:tabs>
        <w:tab w:val="center" w:pos="4252"/>
        <w:tab w:val="right" w:pos="8504"/>
      </w:tabs>
    </w:pPr>
  </w:style>
  <w:style w:type="paragraph" w:styleId="Piedepgina">
    <w:name w:val="footer"/>
    <w:basedOn w:val="Normal"/>
    <w:link w:val="PiedepginaCar"/>
    <w:semiHidden/>
    <w:rsid w:val="0040476A"/>
    <w:pPr>
      <w:tabs>
        <w:tab w:val="center" w:pos="4252"/>
        <w:tab w:val="right" w:pos="8504"/>
      </w:tabs>
    </w:pPr>
  </w:style>
  <w:style w:type="character" w:styleId="Nmerodepgina">
    <w:name w:val="page number"/>
    <w:basedOn w:val="Fuentedeprrafopredeter"/>
    <w:semiHidden/>
    <w:rsid w:val="0040476A"/>
  </w:style>
  <w:style w:type="paragraph" w:styleId="Epgrafe">
    <w:name w:val="caption"/>
    <w:basedOn w:val="Normal"/>
    <w:next w:val="Normal"/>
    <w:link w:val="EpgrafeCar"/>
    <w:qFormat/>
    <w:rsid w:val="004F2596"/>
    <w:pPr>
      <w:jc w:val="center"/>
    </w:pPr>
    <w:rPr>
      <w:b/>
      <w:bCs/>
      <w:szCs w:val="22"/>
    </w:rPr>
  </w:style>
  <w:style w:type="character" w:styleId="Hipervnculo">
    <w:name w:val="Hyperlink"/>
    <w:uiPriority w:val="99"/>
    <w:semiHidden/>
    <w:rsid w:val="00D451C1"/>
    <w:rPr>
      <w:color w:val="0000FF"/>
      <w:u w:val="single"/>
    </w:rPr>
  </w:style>
  <w:style w:type="paragraph" w:styleId="TDC1">
    <w:name w:val="toc 1"/>
    <w:basedOn w:val="Normal"/>
    <w:next w:val="Normal"/>
    <w:autoRedefine/>
    <w:uiPriority w:val="39"/>
    <w:semiHidden/>
    <w:rsid w:val="00D33176"/>
    <w:pPr>
      <w:tabs>
        <w:tab w:val="left" w:pos="540"/>
        <w:tab w:val="right" w:leader="dot" w:pos="9396"/>
      </w:tabs>
      <w:spacing w:before="120" w:after="120"/>
      <w:ind w:left="540" w:hanging="540"/>
    </w:pPr>
  </w:style>
  <w:style w:type="paragraph" w:styleId="TDC2">
    <w:name w:val="toc 2"/>
    <w:basedOn w:val="Normal"/>
    <w:next w:val="Normal"/>
    <w:autoRedefine/>
    <w:uiPriority w:val="39"/>
    <w:semiHidden/>
    <w:rsid w:val="00D33176"/>
    <w:pPr>
      <w:tabs>
        <w:tab w:val="left" w:pos="1080"/>
        <w:tab w:val="right" w:leader="dot" w:pos="9396"/>
      </w:tabs>
      <w:spacing w:before="120" w:after="120"/>
      <w:ind w:left="1080" w:hanging="540"/>
    </w:pPr>
  </w:style>
  <w:style w:type="paragraph" w:customStyle="1" w:styleId="NormalSangra">
    <w:name w:val="Normal Sangría"/>
    <w:basedOn w:val="Normal"/>
    <w:link w:val="NormalSangraCar"/>
    <w:semiHidden/>
    <w:rsid w:val="006A5546"/>
    <w:pPr>
      <w:widowControl w:val="0"/>
      <w:ind w:firstLine="709"/>
    </w:pPr>
    <w:rPr>
      <w:sz w:val="24"/>
      <w:szCs w:val="20"/>
      <w:lang w:val="es-CL"/>
    </w:rPr>
  </w:style>
  <w:style w:type="character" w:customStyle="1" w:styleId="NormalSangraCar">
    <w:name w:val="Normal Sangría Car"/>
    <w:link w:val="NormalSangra"/>
    <w:rsid w:val="006A5546"/>
    <w:rPr>
      <w:rFonts w:ascii="Arial" w:hAnsi="Arial"/>
      <w:sz w:val="24"/>
      <w:lang w:val="es-CL" w:eastAsia="es-ES" w:bidi="ar-SA"/>
    </w:rPr>
  </w:style>
  <w:style w:type="paragraph" w:customStyle="1" w:styleId="EstiloArialNegritaCentrado">
    <w:name w:val="Estilo Arial Negrita Centrado"/>
    <w:basedOn w:val="Normal"/>
    <w:semiHidden/>
    <w:rsid w:val="006A5546"/>
    <w:pPr>
      <w:jc w:val="center"/>
    </w:pPr>
    <w:rPr>
      <w:b/>
      <w:bCs/>
      <w:sz w:val="18"/>
      <w:szCs w:val="20"/>
    </w:rPr>
  </w:style>
  <w:style w:type="table" w:styleId="Tablaconcuadrcula">
    <w:name w:val="Table Grid"/>
    <w:basedOn w:val="Tablanormal"/>
    <w:semiHidden/>
    <w:rsid w:val="0039478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ntinuarlista">
    <w:name w:val="List Continue"/>
    <w:basedOn w:val="Normal"/>
    <w:semiHidden/>
    <w:rsid w:val="00820889"/>
    <w:pPr>
      <w:spacing w:after="120"/>
      <w:ind w:left="283"/>
    </w:pPr>
  </w:style>
  <w:style w:type="paragraph" w:customStyle="1" w:styleId="ListParagraph">
    <w:name w:val="List Paragraph"/>
    <w:basedOn w:val="Normal"/>
    <w:semiHidden/>
    <w:qFormat/>
    <w:rsid w:val="005A637B"/>
    <w:pPr>
      <w:spacing w:after="200" w:line="276" w:lineRule="auto"/>
      <w:ind w:left="720"/>
      <w:jc w:val="left"/>
    </w:pPr>
    <w:rPr>
      <w:rFonts w:ascii="Calibri" w:eastAsia="Calibri" w:hAnsi="Calibri" w:cs="Calibri"/>
      <w:szCs w:val="22"/>
      <w:lang w:val="es-CL" w:eastAsia="en-US"/>
    </w:rPr>
  </w:style>
  <w:style w:type="character" w:customStyle="1" w:styleId="googqs-tidbitgoogqs-tidbit-0">
    <w:name w:val="goog_qs-tidbit goog_qs-tidbit-0"/>
    <w:basedOn w:val="Fuentedeprrafopredeter"/>
    <w:semiHidden/>
    <w:rsid w:val="00394B97"/>
  </w:style>
  <w:style w:type="paragraph" w:customStyle="1" w:styleId="Default">
    <w:name w:val="Default"/>
    <w:semiHidden/>
    <w:rsid w:val="005E5AD9"/>
    <w:pPr>
      <w:autoSpaceDE w:val="0"/>
      <w:autoSpaceDN w:val="0"/>
      <w:adjustRightInd w:val="0"/>
    </w:pPr>
    <w:rPr>
      <w:rFonts w:ascii="Calibri" w:hAnsi="Calibri" w:cs="Calibri"/>
      <w:color w:val="000000"/>
      <w:sz w:val="24"/>
      <w:szCs w:val="24"/>
      <w:lang w:val="es-ES" w:eastAsia="es-ES"/>
    </w:rPr>
  </w:style>
  <w:style w:type="paragraph" w:styleId="Textoindependiente2">
    <w:name w:val="Body Text 2"/>
    <w:basedOn w:val="Normal"/>
    <w:link w:val="Textoindependiente2Car"/>
    <w:semiHidden/>
    <w:rsid w:val="005C30E9"/>
    <w:rPr>
      <w:rFonts w:ascii="Avalon" w:eastAsia="Calibri" w:hAnsi="Avalon"/>
      <w:b/>
      <w:sz w:val="20"/>
      <w:szCs w:val="20"/>
      <w:lang w:val="es-ES_tradnl"/>
    </w:rPr>
  </w:style>
  <w:style w:type="character" w:customStyle="1" w:styleId="Textoindependiente2Car">
    <w:name w:val="Texto independiente 2 Car"/>
    <w:basedOn w:val="Fuentedeprrafopredeter"/>
    <w:link w:val="Textoindependiente2"/>
    <w:locked/>
    <w:rsid w:val="005C30E9"/>
    <w:rPr>
      <w:rFonts w:ascii="Avalon" w:eastAsia="Calibri" w:hAnsi="Avalon"/>
      <w:b/>
      <w:lang w:val="es-ES_tradnl" w:eastAsia="es-ES" w:bidi="ar-SA"/>
    </w:rPr>
  </w:style>
  <w:style w:type="paragraph" w:customStyle="1" w:styleId="xl68">
    <w:name w:val="xl68"/>
    <w:basedOn w:val="Normal"/>
    <w:semiHidden/>
    <w:rsid w:val="00D75D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8"/>
      <w:szCs w:val="18"/>
    </w:rPr>
  </w:style>
  <w:style w:type="character" w:styleId="Hipervnculovisitado">
    <w:name w:val="FollowedHyperlink"/>
    <w:basedOn w:val="Fuentedeprrafopredeter"/>
    <w:semiHidden/>
    <w:rsid w:val="00D75DE3"/>
    <w:rPr>
      <w:color w:val="800080"/>
      <w:u w:val="single"/>
    </w:rPr>
  </w:style>
  <w:style w:type="paragraph" w:customStyle="1" w:styleId="xl64">
    <w:name w:val="xl64"/>
    <w:basedOn w:val="Normal"/>
    <w:semiHidden/>
    <w:rsid w:val="00D75D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18"/>
      <w:szCs w:val="18"/>
    </w:rPr>
  </w:style>
  <w:style w:type="paragraph" w:styleId="TDC3">
    <w:name w:val="toc 3"/>
    <w:basedOn w:val="Normal"/>
    <w:next w:val="Normal"/>
    <w:autoRedefine/>
    <w:uiPriority w:val="39"/>
    <w:semiHidden/>
    <w:rsid w:val="00D33176"/>
    <w:pPr>
      <w:tabs>
        <w:tab w:val="left" w:pos="1800"/>
        <w:tab w:val="right" w:leader="dot" w:pos="9396"/>
      </w:tabs>
      <w:ind w:left="1800" w:hanging="720"/>
    </w:pPr>
    <w:rPr>
      <w:noProof/>
      <w:szCs w:val="22"/>
    </w:rPr>
  </w:style>
  <w:style w:type="paragraph" w:styleId="TDC4">
    <w:name w:val="toc 4"/>
    <w:basedOn w:val="Normal"/>
    <w:next w:val="Normal"/>
    <w:autoRedefine/>
    <w:uiPriority w:val="39"/>
    <w:semiHidden/>
    <w:rsid w:val="00D33176"/>
    <w:pPr>
      <w:tabs>
        <w:tab w:val="left" w:pos="2700"/>
        <w:tab w:val="right" w:leader="dot" w:pos="9396"/>
      </w:tabs>
      <w:ind w:left="2700" w:hanging="900"/>
    </w:pPr>
  </w:style>
  <w:style w:type="paragraph" w:customStyle="1" w:styleId="Ttulo4Ttulo4">
    <w:name w:val="Título 4Título 4"/>
    <w:basedOn w:val="Ttulo4"/>
    <w:rsid w:val="009057BF"/>
    <w:rPr>
      <w:b/>
      <w:szCs w:val="22"/>
    </w:rPr>
  </w:style>
  <w:style w:type="paragraph" w:customStyle="1" w:styleId="EstiloTtulo3Negrita">
    <w:name w:val="Estilo Título 3 + Negrita"/>
    <w:basedOn w:val="Ttulo3"/>
    <w:semiHidden/>
    <w:rsid w:val="009057BF"/>
    <w:rPr>
      <w:b w:val="0"/>
    </w:rPr>
  </w:style>
  <w:style w:type="paragraph" w:styleId="Sangradetextonormal">
    <w:name w:val="Body Text Indent"/>
    <w:basedOn w:val="Normal"/>
    <w:link w:val="SangradetextonormalCar"/>
    <w:semiHidden/>
    <w:rsid w:val="002A31B5"/>
    <w:pPr>
      <w:spacing w:after="120"/>
      <w:ind w:left="283"/>
    </w:pPr>
  </w:style>
  <w:style w:type="paragraph" w:styleId="Textodeglobo">
    <w:name w:val="Balloon Text"/>
    <w:basedOn w:val="Normal"/>
    <w:link w:val="TextodegloboCar"/>
    <w:semiHidden/>
    <w:rsid w:val="00E271DA"/>
    <w:pPr>
      <w:jc w:val="left"/>
    </w:pPr>
    <w:rPr>
      <w:rFonts w:ascii="Tahoma" w:hAnsi="Tahoma" w:cs="Tahoma"/>
      <w:sz w:val="16"/>
      <w:szCs w:val="16"/>
    </w:rPr>
  </w:style>
  <w:style w:type="paragraph" w:styleId="Textoindependiente">
    <w:name w:val="Body Text"/>
    <w:basedOn w:val="Normal"/>
    <w:link w:val="TextoindependienteCar"/>
    <w:semiHidden/>
    <w:rsid w:val="00E271DA"/>
    <w:pPr>
      <w:spacing w:after="120"/>
      <w:jc w:val="left"/>
    </w:pPr>
    <w:rPr>
      <w:rFonts w:ascii="Times New Roman" w:hAnsi="Times New Roman"/>
      <w:sz w:val="24"/>
    </w:rPr>
  </w:style>
  <w:style w:type="character" w:customStyle="1" w:styleId="TextoindependienteCar">
    <w:name w:val="Texto independiente Car"/>
    <w:basedOn w:val="Fuentedeprrafopredeter"/>
    <w:link w:val="Textoindependiente"/>
    <w:rsid w:val="00E271DA"/>
    <w:rPr>
      <w:sz w:val="24"/>
      <w:szCs w:val="24"/>
      <w:lang w:val="es-ES" w:eastAsia="es-ES" w:bidi="ar-SA"/>
    </w:rPr>
  </w:style>
  <w:style w:type="paragraph" w:styleId="Sangra3detindependiente">
    <w:name w:val="Body Text Indent 3"/>
    <w:basedOn w:val="Normal"/>
    <w:link w:val="Sangra3detindependienteCar"/>
    <w:semiHidden/>
    <w:rsid w:val="00E271DA"/>
    <w:pPr>
      <w:spacing w:after="120"/>
      <w:ind w:left="283"/>
      <w:jc w:val="left"/>
    </w:pPr>
    <w:rPr>
      <w:rFonts w:ascii="Times New Roman" w:hAnsi="Times New Roman"/>
      <w:sz w:val="16"/>
      <w:szCs w:val="16"/>
    </w:rPr>
  </w:style>
  <w:style w:type="character" w:customStyle="1" w:styleId="Sangra3detindependienteCar">
    <w:name w:val="Sangría 3 de t. independiente Car"/>
    <w:basedOn w:val="Fuentedeprrafopredeter"/>
    <w:link w:val="Sangra3detindependiente"/>
    <w:rsid w:val="00E271DA"/>
    <w:rPr>
      <w:sz w:val="16"/>
      <w:szCs w:val="16"/>
      <w:lang w:val="es-ES" w:eastAsia="es-ES" w:bidi="ar-SA"/>
    </w:rPr>
  </w:style>
  <w:style w:type="character" w:customStyle="1" w:styleId="Ttulo5Car">
    <w:name w:val="Título 5 Car"/>
    <w:basedOn w:val="Fuentedeprrafopredeter"/>
    <w:link w:val="Ttulo5"/>
    <w:rsid w:val="00E271DA"/>
    <w:rPr>
      <w:rFonts w:ascii="Arial" w:hAnsi="Arial"/>
      <w:b/>
      <w:bCs/>
      <w:i/>
      <w:iCs/>
      <w:sz w:val="26"/>
      <w:szCs w:val="26"/>
      <w:lang w:val="es-ES" w:eastAsia="es-ES"/>
    </w:rPr>
  </w:style>
  <w:style w:type="character" w:customStyle="1" w:styleId="Ttulo6Car">
    <w:name w:val="Título 6 Car"/>
    <w:basedOn w:val="Fuentedeprrafopredeter"/>
    <w:link w:val="Ttulo6"/>
    <w:rsid w:val="00E271DA"/>
    <w:rPr>
      <w:rFonts w:ascii="Arial" w:hAnsi="Arial"/>
      <w:b/>
      <w:bCs/>
      <w:sz w:val="22"/>
      <w:szCs w:val="22"/>
      <w:lang w:val="es-ES" w:eastAsia="es-ES"/>
    </w:rPr>
  </w:style>
  <w:style w:type="character" w:customStyle="1" w:styleId="Ttulo7Car">
    <w:name w:val="Título 7 Car"/>
    <w:basedOn w:val="Fuentedeprrafopredeter"/>
    <w:link w:val="Ttulo7"/>
    <w:rsid w:val="00E271DA"/>
    <w:rPr>
      <w:rFonts w:ascii="Arial" w:hAnsi="Arial"/>
      <w:sz w:val="22"/>
      <w:szCs w:val="24"/>
      <w:lang w:val="es-ES" w:eastAsia="es-ES"/>
    </w:rPr>
  </w:style>
  <w:style w:type="character" w:customStyle="1" w:styleId="Ttulo8Car">
    <w:name w:val="Título 8 Car"/>
    <w:basedOn w:val="Fuentedeprrafopredeter"/>
    <w:link w:val="Ttulo8"/>
    <w:rsid w:val="00E271DA"/>
    <w:rPr>
      <w:rFonts w:ascii="Arial" w:hAnsi="Arial"/>
      <w:i/>
      <w:iCs/>
      <w:sz w:val="22"/>
      <w:szCs w:val="24"/>
      <w:lang w:val="es-ES" w:eastAsia="es-ES"/>
    </w:rPr>
  </w:style>
  <w:style w:type="character" w:customStyle="1" w:styleId="Ttulo9Car">
    <w:name w:val="Título 9 Car"/>
    <w:basedOn w:val="Fuentedeprrafopredeter"/>
    <w:link w:val="Ttulo9"/>
    <w:rsid w:val="00E271DA"/>
    <w:rPr>
      <w:rFonts w:ascii="Arial" w:hAnsi="Arial" w:cs="Arial"/>
      <w:sz w:val="22"/>
      <w:szCs w:val="22"/>
      <w:lang w:val="es-ES" w:eastAsia="es-ES"/>
    </w:rPr>
  </w:style>
  <w:style w:type="character" w:customStyle="1" w:styleId="Ttulo1Car">
    <w:name w:val="Título 1 Car"/>
    <w:basedOn w:val="Fuentedeprrafopredeter"/>
    <w:link w:val="Ttulo1"/>
    <w:locked/>
    <w:rsid w:val="00E271DA"/>
    <w:rPr>
      <w:rFonts w:ascii="Arial" w:hAnsi="Arial" w:cs="Arial"/>
      <w:b/>
      <w:bCs/>
      <w:kern w:val="32"/>
      <w:sz w:val="22"/>
      <w:szCs w:val="32"/>
      <w:lang w:val="es-ES" w:eastAsia="es-ES"/>
    </w:rPr>
  </w:style>
  <w:style w:type="character" w:customStyle="1" w:styleId="CarCar19">
    <w:name w:val=" Car Car19"/>
    <w:basedOn w:val="Fuentedeprrafopredeter"/>
    <w:semiHidden/>
    <w:locked/>
    <w:rsid w:val="00E271DA"/>
    <w:rPr>
      <w:rFonts w:ascii="Tahoma" w:hAnsi="Tahoma" w:cs="Arial"/>
      <w:b/>
      <w:bCs/>
      <w:iCs/>
      <w:sz w:val="24"/>
      <w:szCs w:val="28"/>
      <w:lang w:val="es-ES" w:eastAsia="es-ES"/>
    </w:rPr>
  </w:style>
  <w:style w:type="character" w:customStyle="1" w:styleId="Ttulo3Car">
    <w:name w:val="Título 3 Car"/>
    <w:basedOn w:val="Fuentedeprrafopredeter"/>
    <w:link w:val="Ttulo3"/>
    <w:locked/>
    <w:rsid w:val="00B51B51"/>
    <w:rPr>
      <w:rFonts w:ascii="Arial" w:hAnsi="Arial" w:cs="Arial"/>
      <w:b/>
      <w:bCs/>
      <w:sz w:val="22"/>
      <w:szCs w:val="26"/>
      <w:lang w:val="es-ES" w:eastAsia="es-ES"/>
    </w:rPr>
  </w:style>
  <w:style w:type="character" w:customStyle="1" w:styleId="Ttulo4Car">
    <w:name w:val="Título 4 Car"/>
    <w:aliases w:val="Título 4amb Car"/>
    <w:basedOn w:val="Fuentedeprrafopredeter"/>
    <w:link w:val="Ttulo4"/>
    <w:locked/>
    <w:rsid w:val="00E271DA"/>
    <w:rPr>
      <w:rFonts w:ascii="Arial" w:hAnsi="Arial"/>
      <w:bCs/>
      <w:sz w:val="22"/>
      <w:szCs w:val="28"/>
      <w:lang w:val="es-ES" w:eastAsia="es-ES"/>
    </w:rPr>
  </w:style>
  <w:style w:type="character" w:customStyle="1" w:styleId="SangradetextonormalCar">
    <w:name w:val="Sangría de texto normal Car"/>
    <w:basedOn w:val="Fuentedeprrafopredeter"/>
    <w:link w:val="Sangradetextonormal"/>
    <w:rsid w:val="00E271DA"/>
    <w:rPr>
      <w:rFonts w:ascii="Arial" w:hAnsi="Arial"/>
      <w:sz w:val="22"/>
      <w:szCs w:val="24"/>
      <w:lang w:val="es-ES" w:eastAsia="es-ES" w:bidi="ar-SA"/>
    </w:rPr>
  </w:style>
  <w:style w:type="paragraph" w:styleId="Sangra2detindependiente">
    <w:name w:val="Body Text Indent 2"/>
    <w:basedOn w:val="Normal"/>
    <w:link w:val="Sangra2detindependienteCar"/>
    <w:semiHidden/>
    <w:rsid w:val="00E271DA"/>
    <w:pPr>
      <w:widowControl w:val="0"/>
      <w:autoSpaceDE w:val="0"/>
      <w:autoSpaceDN w:val="0"/>
      <w:adjustRightInd w:val="0"/>
      <w:ind w:left="709" w:hanging="709"/>
    </w:pPr>
    <w:rPr>
      <w:rFonts w:cs="Arial"/>
      <w:b/>
      <w:bCs/>
      <w:sz w:val="24"/>
    </w:rPr>
  </w:style>
  <w:style w:type="character" w:customStyle="1" w:styleId="Sangra2detindependienteCar">
    <w:name w:val="Sangría 2 de t. independiente Car"/>
    <w:basedOn w:val="Fuentedeprrafopredeter"/>
    <w:link w:val="Sangra2detindependiente"/>
    <w:rsid w:val="00E271DA"/>
    <w:rPr>
      <w:rFonts w:ascii="Arial" w:hAnsi="Arial" w:cs="Arial"/>
      <w:b/>
      <w:bCs/>
      <w:sz w:val="24"/>
      <w:szCs w:val="24"/>
      <w:lang w:val="es-ES" w:eastAsia="es-ES" w:bidi="ar-SA"/>
    </w:rPr>
  </w:style>
  <w:style w:type="character" w:customStyle="1" w:styleId="PiedepginaCar">
    <w:name w:val="Pie de página Car"/>
    <w:basedOn w:val="Fuentedeprrafopredeter"/>
    <w:link w:val="Piedepgina"/>
    <w:locked/>
    <w:rsid w:val="00E271DA"/>
    <w:rPr>
      <w:rFonts w:ascii="Arial" w:hAnsi="Arial"/>
      <w:sz w:val="22"/>
      <w:szCs w:val="24"/>
      <w:lang w:val="es-ES" w:eastAsia="es-ES" w:bidi="ar-SA"/>
    </w:rPr>
  </w:style>
  <w:style w:type="paragraph" w:styleId="Textoindependiente3">
    <w:name w:val="Body Text 3"/>
    <w:basedOn w:val="Normal"/>
    <w:link w:val="Textoindependiente3Car"/>
    <w:semiHidden/>
    <w:rsid w:val="00E271DA"/>
    <w:pPr>
      <w:widowControl w:val="0"/>
    </w:pPr>
    <w:rPr>
      <w:rFonts w:ascii="Times New Roman" w:hAnsi="Times New Roman"/>
      <w:b/>
      <w:bCs/>
      <w:i/>
      <w:iCs/>
      <w:spacing w:val="-3"/>
      <w:sz w:val="24"/>
      <w:lang w:val="es-CL"/>
    </w:rPr>
  </w:style>
  <w:style w:type="character" w:customStyle="1" w:styleId="Textoindependiente3Car">
    <w:name w:val="Texto independiente 3 Car"/>
    <w:basedOn w:val="Fuentedeprrafopredeter"/>
    <w:link w:val="Textoindependiente3"/>
    <w:rsid w:val="00E271DA"/>
    <w:rPr>
      <w:b/>
      <w:bCs/>
      <w:i/>
      <w:iCs/>
      <w:spacing w:val="-3"/>
      <w:sz w:val="24"/>
      <w:szCs w:val="24"/>
      <w:lang w:val="es-CL" w:eastAsia="es-ES" w:bidi="ar-SA"/>
    </w:rPr>
  </w:style>
  <w:style w:type="character" w:customStyle="1" w:styleId="EncabezadoCar">
    <w:name w:val="Encabezado Car"/>
    <w:aliases w:val="encabezado Car"/>
    <w:basedOn w:val="Fuentedeprrafopredeter"/>
    <w:link w:val="Encabezado"/>
    <w:locked/>
    <w:rsid w:val="00E271DA"/>
    <w:rPr>
      <w:rFonts w:ascii="Arial" w:hAnsi="Arial"/>
      <w:sz w:val="22"/>
      <w:szCs w:val="24"/>
      <w:lang w:val="es-ES" w:eastAsia="es-ES" w:bidi="ar-SA"/>
    </w:rPr>
  </w:style>
  <w:style w:type="paragraph" w:styleId="Ttulo">
    <w:name w:val="Title"/>
    <w:basedOn w:val="Normal"/>
    <w:link w:val="TtuloCar"/>
    <w:qFormat/>
    <w:rsid w:val="00E271DA"/>
    <w:pPr>
      <w:autoSpaceDE w:val="0"/>
      <w:autoSpaceDN w:val="0"/>
      <w:adjustRightInd w:val="0"/>
      <w:jc w:val="center"/>
    </w:pPr>
    <w:rPr>
      <w:rFonts w:cs="Arial"/>
      <w:b/>
      <w:bCs/>
      <w:sz w:val="24"/>
    </w:rPr>
  </w:style>
  <w:style w:type="character" w:customStyle="1" w:styleId="TtuloCar">
    <w:name w:val="Título Car"/>
    <w:basedOn w:val="Fuentedeprrafopredeter"/>
    <w:link w:val="Ttulo"/>
    <w:rsid w:val="00E271DA"/>
    <w:rPr>
      <w:rFonts w:ascii="Arial" w:hAnsi="Arial" w:cs="Arial"/>
      <w:b/>
      <w:bCs/>
      <w:sz w:val="24"/>
      <w:szCs w:val="24"/>
      <w:lang w:val="es-ES" w:eastAsia="es-ES" w:bidi="ar-SA"/>
    </w:rPr>
  </w:style>
  <w:style w:type="character" w:customStyle="1" w:styleId="CarCar10">
    <w:name w:val=" Car Car10"/>
    <w:basedOn w:val="Fuentedeprrafopredeter"/>
    <w:semiHidden/>
    <w:locked/>
    <w:rsid w:val="00E271DA"/>
    <w:rPr>
      <w:noProof/>
      <w:sz w:val="26"/>
      <w:lang w:val="es-ES_tradnl"/>
    </w:rPr>
  </w:style>
  <w:style w:type="character" w:styleId="Refdenotaalpie">
    <w:name w:val="footnote reference"/>
    <w:basedOn w:val="Fuentedeprrafopredeter"/>
    <w:semiHidden/>
    <w:rsid w:val="00E271DA"/>
    <w:rPr>
      <w:vertAlign w:val="superscript"/>
    </w:rPr>
  </w:style>
  <w:style w:type="paragraph" w:styleId="Textonotapie">
    <w:name w:val="footnote text"/>
    <w:basedOn w:val="Normal"/>
    <w:link w:val="TextonotapieCar"/>
    <w:semiHidden/>
    <w:rsid w:val="00E271DA"/>
    <w:pPr>
      <w:jc w:val="left"/>
    </w:pPr>
    <w:rPr>
      <w:rFonts w:cs="Arial"/>
      <w:sz w:val="20"/>
      <w:szCs w:val="20"/>
    </w:rPr>
  </w:style>
  <w:style w:type="character" w:customStyle="1" w:styleId="TextonotapieCar">
    <w:name w:val="Texto nota pie Car"/>
    <w:basedOn w:val="Fuentedeprrafopredeter"/>
    <w:link w:val="Textonotapie"/>
    <w:rsid w:val="00E271DA"/>
    <w:rPr>
      <w:rFonts w:ascii="Arial" w:hAnsi="Arial" w:cs="Arial"/>
      <w:lang w:val="es-ES" w:eastAsia="es-ES" w:bidi="ar-SA"/>
    </w:rPr>
  </w:style>
  <w:style w:type="paragraph" w:styleId="NormalWeb">
    <w:name w:val="Normal (Web)"/>
    <w:basedOn w:val="Normal"/>
    <w:semiHidden/>
    <w:rsid w:val="00E271DA"/>
    <w:pPr>
      <w:spacing w:before="100" w:after="100"/>
      <w:jc w:val="left"/>
    </w:pPr>
    <w:rPr>
      <w:rFonts w:ascii="Times New Roman" w:hAnsi="Times New Roman"/>
      <w:sz w:val="24"/>
    </w:rPr>
  </w:style>
  <w:style w:type="paragraph" w:customStyle="1" w:styleId="titulo3">
    <w:name w:val="titulo 3"/>
    <w:basedOn w:val="Normal"/>
    <w:semiHidden/>
    <w:rsid w:val="00E271DA"/>
    <w:pPr>
      <w:tabs>
        <w:tab w:val="left" w:pos="1418"/>
      </w:tabs>
      <w:ind w:left="851" w:hanging="851"/>
    </w:pPr>
    <w:rPr>
      <w:rFonts w:cs="Arial"/>
      <w:b/>
      <w:bCs/>
      <w:caps/>
      <w:sz w:val="24"/>
      <w:lang w:val="es-ES_tradnl"/>
    </w:rPr>
  </w:style>
  <w:style w:type="paragraph" w:styleId="Textodebloque">
    <w:name w:val="Block Text"/>
    <w:basedOn w:val="Normal"/>
    <w:semiHidden/>
    <w:rsid w:val="00E271DA"/>
    <w:pPr>
      <w:tabs>
        <w:tab w:val="left" w:pos="-720"/>
        <w:tab w:val="left" w:pos="851"/>
        <w:tab w:val="left" w:pos="2835"/>
        <w:tab w:val="left" w:pos="8789"/>
      </w:tabs>
      <w:suppressAutoHyphens/>
      <w:ind w:left="2835" w:right="49" w:hanging="2835"/>
    </w:pPr>
    <w:rPr>
      <w:rFonts w:cs="Arial"/>
      <w:noProof/>
      <w:spacing w:val="-3"/>
      <w:sz w:val="24"/>
      <w:lang w:val="es-ES_tradnl"/>
    </w:rPr>
  </w:style>
  <w:style w:type="paragraph" w:customStyle="1" w:styleId="BodyText21">
    <w:name w:val="Body Text 21"/>
    <w:basedOn w:val="Normal"/>
    <w:semiHidden/>
    <w:rsid w:val="00E271DA"/>
    <w:rPr>
      <w:rFonts w:ascii="Times New Roman" w:hAnsi="Times New Roman"/>
      <w:sz w:val="24"/>
      <w:lang w:val="es-ES_tradnl"/>
    </w:rPr>
  </w:style>
  <w:style w:type="paragraph" w:customStyle="1" w:styleId="Estilo1">
    <w:name w:val="Estilo1"/>
    <w:basedOn w:val="Ttulo2"/>
    <w:semiHidden/>
    <w:rsid w:val="00E271DA"/>
    <w:pPr>
      <w:numPr>
        <w:numId w:val="2"/>
      </w:numPr>
      <w:spacing w:before="240"/>
      <w:jc w:val="left"/>
    </w:pPr>
    <w:rPr>
      <w:iCs w:val="0"/>
      <w:sz w:val="28"/>
      <w:lang w:val="es-CL" w:eastAsia="es-CL"/>
    </w:rPr>
  </w:style>
  <w:style w:type="character" w:customStyle="1" w:styleId="TextodegloboCar">
    <w:name w:val="Texto de globo Car"/>
    <w:basedOn w:val="Fuentedeprrafopredeter"/>
    <w:link w:val="Textodeglobo"/>
    <w:semiHidden/>
    <w:locked/>
    <w:rsid w:val="00E271DA"/>
    <w:rPr>
      <w:rFonts w:ascii="Tahoma" w:hAnsi="Tahoma" w:cs="Tahoma"/>
      <w:sz w:val="16"/>
      <w:szCs w:val="16"/>
      <w:lang w:val="es-ES" w:eastAsia="es-ES" w:bidi="ar-SA"/>
    </w:rPr>
  </w:style>
  <w:style w:type="character" w:styleId="Refdecomentario">
    <w:name w:val="annotation reference"/>
    <w:basedOn w:val="Fuentedeprrafopredeter"/>
    <w:semiHidden/>
    <w:rsid w:val="00E271DA"/>
    <w:rPr>
      <w:sz w:val="16"/>
      <w:szCs w:val="16"/>
    </w:rPr>
  </w:style>
  <w:style w:type="paragraph" w:styleId="Textocomentario">
    <w:name w:val="annotation text"/>
    <w:basedOn w:val="Normal"/>
    <w:link w:val="TextocomentarioCar"/>
    <w:semiHidden/>
    <w:rsid w:val="00E271DA"/>
    <w:pPr>
      <w:jc w:val="left"/>
    </w:pPr>
    <w:rPr>
      <w:rFonts w:ascii="Times New Roman" w:hAnsi="Times New Roman"/>
      <w:sz w:val="20"/>
      <w:szCs w:val="20"/>
    </w:rPr>
  </w:style>
  <w:style w:type="character" w:customStyle="1" w:styleId="TextocomentarioCar">
    <w:name w:val="Texto comentario Car"/>
    <w:basedOn w:val="Fuentedeprrafopredeter"/>
    <w:link w:val="Textocomentario"/>
    <w:rsid w:val="00E271DA"/>
    <w:rPr>
      <w:lang w:val="es-ES" w:eastAsia="es-ES" w:bidi="ar-SA"/>
    </w:rPr>
  </w:style>
  <w:style w:type="paragraph" w:styleId="Asuntodelcomentario">
    <w:name w:val="annotation subject"/>
    <w:basedOn w:val="Textocomentario"/>
    <w:next w:val="Textocomentario"/>
    <w:semiHidden/>
    <w:rsid w:val="00E271DA"/>
    <w:rPr>
      <w:b/>
      <w:bCs/>
    </w:rPr>
  </w:style>
  <w:style w:type="paragraph" w:customStyle="1" w:styleId="BodyText22">
    <w:name w:val="Body Text 22"/>
    <w:basedOn w:val="Normal"/>
    <w:semiHidden/>
    <w:rsid w:val="00E271DA"/>
    <w:pPr>
      <w:tabs>
        <w:tab w:val="left" w:pos="851"/>
      </w:tabs>
      <w:spacing w:line="360" w:lineRule="auto"/>
    </w:pPr>
    <w:rPr>
      <w:rFonts w:ascii="ZapfHumnst BT" w:hAnsi="ZapfHumnst BT" w:cs="ZapfHumnst BT"/>
      <w:b/>
      <w:bCs/>
      <w:sz w:val="24"/>
      <w:lang w:val="es-ES_tradnl"/>
    </w:rPr>
  </w:style>
  <w:style w:type="paragraph" w:customStyle="1" w:styleId="Estilotitulo3SinNegrita">
    <w:name w:val="Estilo titulo 3 + Sin Negrita"/>
    <w:basedOn w:val="titulo3"/>
    <w:semiHidden/>
    <w:rsid w:val="00E271DA"/>
  </w:style>
  <w:style w:type="paragraph" w:styleId="TDC5">
    <w:name w:val="toc 5"/>
    <w:basedOn w:val="Normal"/>
    <w:next w:val="Normal"/>
    <w:autoRedefine/>
    <w:uiPriority w:val="39"/>
    <w:semiHidden/>
    <w:rsid w:val="00E271DA"/>
    <w:pPr>
      <w:ind w:left="960"/>
      <w:jc w:val="left"/>
    </w:pPr>
    <w:rPr>
      <w:rFonts w:ascii="Times New Roman" w:hAnsi="Times New Roman"/>
      <w:sz w:val="18"/>
      <w:szCs w:val="18"/>
    </w:rPr>
  </w:style>
  <w:style w:type="paragraph" w:styleId="TDC6">
    <w:name w:val="toc 6"/>
    <w:basedOn w:val="Normal"/>
    <w:next w:val="Normal"/>
    <w:autoRedefine/>
    <w:uiPriority w:val="39"/>
    <w:semiHidden/>
    <w:rsid w:val="00E271DA"/>
    <w:pPr>
      <w:ind w:left="1200"/>
      <w:jc w:val="left"/>
    </w:pPr>
    <w:rPr>
      <w:rFonts w:ascii="Times New Roman" w:hAnsi="Times New Roman"/>
      <w:sz w:val="18"/>
      <w:szCs w:val="18"/>
    </w:rPr>
  </w:style>
  <w:style w:type="paragraph" w:styleId="TDC7">
    <w:name w:val="toc 7"/>
    <w:basedOn w:val="Normal"/>
    <w:next w:val="Normal"/>
    <w:autoRedefine/>
    <w:uiPriority w:val="39"/>
    <w:semiHidden/>
    <w:rsid w:val="00E271DA"/>
    <w:pPr>
      <w:ind w:left="1440"/>
      <w:jc w:val="left"/>
    </w:pPr>
    <w:rPr>
      <w:rFonts w:ascii="Times New Roman" w:hAnsi="Times New Roman"/>
      <w:sz w:val="18"/>
      <w:szCs w:val="18"/>
    </w:rPr>
  </w:style>
  <w:style w:type="paragraph" w:styleId="TDC8">
    <w:name w:val="toc 8"/>
    <w:basedOn w:val="Normal"/>
    <w:next w:val="Normal"/>
    <w:autoRedefine/>
    <w:uiPriority w:val="39"/>
    <w:semiHidden/>
    <w:rsid w:val="00E271DA"/>
    <w:pPr>
      <w:ind w:left="1680"/>
      <w:jc w:val="left"/>
    </w:pPr>
    <w:rPr>
      <w:rFonts w:ascii="Times New Roman" w:hAnsi="Times New Roman"/>
      <w:sz w:val="18"/>
      <w:szCs w:val="18"/>
    </w:rPr>
  </w:style>
  <w:style w:type="paragraph" w:styleId="TDC9">
    <w:name w:val="toc 9"/>
    <w:basedOn w:val="Normal"/>
    <w:next w:val="Normal"/>
    <w:autoRedefine/>
    <w:uiPriority w:val="39"/>
    <w:semiHidden/>
    <w:rsid w:val="00E271DA"/>
    <w:pPr>
      <w:ind w:left="1920"/>
      <w:jc w:val="left"/>
    </w:pPr>
    <w:rPr>
      <w:rFonts w:ascii="Times New Roman" w:hAnsi="Times New Roman"/>
      <w:sz w:val="18"/>
      <w:szCs w:val="18"/>
    </w:rPr>
  </w:style>
  <w:style w:type="paragraph" w:styleId="Prrafodelista">
    <w:name w:val="List Paragraph"/>
    <w:basedOn w:val="Normal"/>
    <w:uiPriority w:val="34"/>
    <w:qFormat/>
    <w:rsid w:val="00E271DA"/>
    <w:pPr>
      <w:ind w:left="720"/>
      <w:jc w:val="left"/>
    </w:pPr>
    <w:rPr>
      <w:rFonts w:ascii="Times New Roman" w:hAnsi="Times New Roman"/>
      <w:sz w:val="24"/>
    </w:rPr>
  </w:style>
  <w:style w:type="paragraph" w:customStyle="1" w:styleId="xl27">
    <w:name w:val="xl27"/>
    <w:basedOn w:val="Normal"/>
    <w:semiHidden/>
    <w:rsid w:val="00E271DA"/>
    <w:pPr>
      <w:pBdr>
        <w:right w:val="single" w:sz="4" w:space="0" w:color="auto"/>
      </w:pBdr>
      <w:spacing w:before="100" w:beforeAutospacing="1" w:after="100" w:afterAutospacing="1"/>
      <w:textAlignment w:val="top"/>
    </w:pPr>
    <w:rPr>
      <w:rFonts w:ascii="Times New Roman" w:eastAsia="Arial Unicode MS" w:hAnsi="Times New Roman"/>
      <w:sz w:val="24"/>
    </w:rPr>
  </w:style>
  <w:style w:type="numbering" w:styleId="111111">
    <w:name w:val="Outline List 2"/>
    <w:basedOn w:val="Sinlista"/>
    <w:semiHidden/>
    <w:unhideWhenUsed/>
    <w:rsid w:val="00E271DA"/>
    <w:pPr>
      <w:numPr>
        <w:numId w:val="3"/>
      </w:numPr>
    </w:pPr>
  </w:style>
  <w:style w:type="paragraph" w:styleId="Sinespaciado">
    <w:name w:val="No Spacing"/>
    <w:qFormat/>
    <w:rsid w:val="00E271DA"/>
    <w:rPr>
      <w:rFonts w:ascii="Arial" w:eastAsia="Calibri" w:hAnsi="Arial" w:cs="Arial"/>
      <w:sz w:val="24"/>
      <w:szCs w:val="24"/>
      <w:lang w:val="es-ES" w:eastAsia="en-US"/>
    </w:rPr>
  </w:style>
  <w:style w:type="character" w:customStyle="1" w:styleId="textocuerpo1">
    <w:name w:val="textocuerpo1"/>
    <w:basedOn w:val="Fuentedeprrafopredeter"/>
    <w:semiHidden/>
    <w:rsid w:val="00E271DA"/>
    <w:rPr>
      <w:rFonts w:ascii="Verdana" w:hAnsi="Verdana" w:hint="default"/>
      <w:color w:val="555555"/>
      <w:sz w:val="16"/>
      <w:szCs w:val="16"/>
    </w:rPr>
  </w:style>
  <w:style w:type="character" w:customStyle="1" w:styleId="textoformulario1">
    <w:name w:val="texto_formulario1"/>
    <w:basedOn w:val="Fuentedeprrafopredeter"/>
    <w:semiHidden/>
    <w:rsid w:val="00E271DA"/>
    <w:rPr>
      <w:rFonts w:ascii="Arial" w:hAnsi="Arial" w:cs="Arial" w:hint="default"/>
      <w:b w:val="0"/>
      <w:bCs w:val="0"/>
      <w:i w:val="0"/>
      <w:iCs w:val="0"/>
      <w:smallCaps w:val="0"/>
      <w:color w:val="666666"/>
      <w:sz w:val="28"/>
      <w:szCs w:val="28"/>
    </w:rPr>
  </w:style>
  <w:style w:type="character" w:customStyle="1" w:styleId="Linea">
    <w:name w:val="Linea"/>
    <w:basedOn w:val="Fuentedeprrafopredeter"/>
    <w:semiHidden/>
    <w:rsid w:val="00E271DA"/>
    <w:rPr>
      <w:rFonts w:cs="Times New Roman"/>
    </w:rPr>
  </w:style>
  <w:style w:type="paragraph" w:customStyle="1" w:styleId="Encabezadodetda">
    <w:name w:val="Encabezado de tda"/>
    <w:basedOn w:val="Normal"/>
    <w:semiHidden/>
    <w:rsid w:val="00E271DA"/>
    <w:pPr>
      <w:widowControl w:val="0"/>
      <w:tabs>
        <w:tab w:val="right" w:pos="9360"/>
      </w:tabs>
      <w:suppressAutoHyphens/>
    </w:pPr>
    <w:rPr>
      <w:rFonts w:ascii="Courier New" w:hAnsi="Courier New"/>
      <w:szCs w:val="20"/>
      <w:lang w:val="en-US"/>
    </w:rPr>
  </w:style>
  <w:style w:type="character" w:styleId="nfasis">
    <w:name w:val="Emphasis"/>
    <w:basedOn w:val="Fuentedeprrafopredeter"/>
    <w:qFormat/>
    <w:rsid w:val="00E271DA"/>
    <w:rPr>
      <w:i/>
      <w:iCs/>
    </w:rPr>
  </w:style>
  <w:style w:type="character" w:customStyle="1" w:styleId="Ttulo1CarCar">
    <w:name w:val="Título 1 Car Car"/>
    <w:basedOn w:val="Fuentedeprrafopredeter"/>
    <w:semiHidden/>
    <w:locked/>
    <w:rsid w:val="00A168D5"/>
    <w:rPr>
      <w:rFonts w:ascii="Arial" w:hAnsi="Arial" w:cs="Arial"/>
      <w:b/>
      <w:bCs/>
      <w:kern w:val="32"/>
      <w:sz w:val="22"/>
      <w:szCs w:val="32"/>
      <w:lang w:val="es-ES" w:eastAsia="es-ES" w:bidi="ar-SA"/>
    </w:rPr>
  </w:style>
  <w:style w:type="character" w:customStyle="1" w:styleId="Ttulo2CarCar">
    <w:name w:val="Título 2 Car Car"/>
    <w:basedOn w:val="Fuentedeprrafopredeter"/>
    <w:semiHidden/>
    <w:rsid w:val="00A168D5"/>
    <w:rPr>
      <w:rFonts w:ascii="Arial" w:hAnsi="Arial"/>
      <w:b/>
      <w:bCs/>
      <w:sz w:val="22"/>
      <w:szCs w:val="22"/>
      <w:lang w:val="es-ES" w:eastAsia="es-ES" w:bidi="ar-SA"/>
    </w:rPr>
  </w:style>
  <w:style w:type="character" w:customStyle="1" w:styleId="Heading3Char">
    <w:name w:val="Heading 3 Char"/>
    <w:basedOn w:val="Fuentedeprrafopredeter"/>
    <w:semiHidden/>
    <w:locked/>
    <w:rsid w:val="00A168D5"/>
    <w:rPr>
      <w:rFonts w:ascii="Arial" w:hAnsi="Arial" w:cs="Arial"/>
      <w:b/>
      <w:bCs/>
      <w:sz w:val="22"/>
      <w:szCs w:val="26"/>
      <w:lang w:val="es-ES" w:eastAsia="es-ES" w:bidi="ar-SA"/>
    </w:rPr>
  </w:style>
  <w:style w:type="character" w:customStyle="1" w:styleId="Heading4Char">
    <w:name w:val="Heading 4 Char"/>
    <w:basedOn w:val="Fuentedeprrafopredeter"/>
    <w:semiHidden/>
    <w:locked/>
    <w:rsid w:val="00A168D5"/>
    <w:rPr>
      <w:rFonts w:ascii="Arial" w:hAnsi="Arial"/>
      <w:bCs/>
      <w:sz w:val="22"/>
      <w:szCs w:val="28"/>
      <w:lang w:val="es-ES" w:eastAsia="es-ES" w:bidi="ar-SA"/>
    </w:rPr>
  </w:style>
  <w:style w:type="character" w:customStyle="1" w:styleId="Ttulo5CarCar">
    <w:name w:val="Título 5 Car Car"/>
    <w:basedOn w:val="Fuentedeprrafopredeter"/>
    <w:semiHidden/>
    <w:locked/>
    <w:rsid w:val="00A168D5"/>
    <w:rPr>
      <w:rFonts w:ascii="Arial" w:hAnsi="Arial"/>
      <w:b/>
      <w:bCs/>
      <w:iCs/>
      <w:sz w:val="22"/>
      <w:szCs w:val="26"/>
      <w:lang w:val="es-ES" w:eastAsia="es-ES" w:bidi="ar-SA"/>
    </w:rPr>
  </w:style>
  <w:style w:type="character" w:customStyle="1" w:styleId="Ttulo6CarCar">
    <w:name w:val="Título 6 Car Car"/>
    <w:basedOn w:val="Fuentedeprrafopredeter"/>
    <w:semiHidden/>
    <w:locked/>
    <w:rsid w:val="00A168D5"/>
    <w:rPr>
      <w:rFonts w:ascii="Arial" w:hAnsi="Arial"/>
      <w:b/>
      <w:iCs/>
      <w:sz w:val="22"/>
      <w:szCs w:val="22"/>
      <w:lang w:val="es-ES" w:eastAsia="es-ES" w:bidi="ar-SA"/>
    </w:rPr>
  </w:style>
  <w:style w:type="character" w:customStyle="1" w:styleId="Ttulo7CarCar">
    <w:name w:val="Título 7 Car Car"/>
    <w:basedOn w:val="Fuentedeprrafopredeter"/>
    <w:semiHidden/>
    <w:locked/>
    <w:rsid w:val="00A168D5"/>
    <w:rPr>
      <w:rFonts w:ascii="Arial" w:hAnsi="Arial"/>
      <w:b/>
      <w:sz w:val="22"/>
      <w:szCs w:val="24"/>
      <w:lang w:val="es-ES" w:eastAsia="es-ES" w:bidi="ar-SA"/>
    </w:rPr>
  </w:style>
  <w:style w:type="character" w:customStyle="1" w:styleId="HeaderChar">
    <w:name w:val="Header Char"/>
    <w:basedOn w:val="Fuentedeprrafopredeter"/>
    <w:semiHidden/>
    <w:locked/>
    <w:rsid w:val="00A168D5"/>
    <w:rPr>
      <w:rFonts w:ascii="Arial" w:hAnsi="Arial"/>
      <w:sz w:val="22"/>
      <w:szCs w:val="24"/>
      <w:lang w:val="es-ES" w:eastAsia="es-ES" w:bidi="ar-SA"/>
    </w:rPr>
  </w:style>
  <w:style w:type="character" w:customStyle="1" w:styleId="FooterChar">
    <w:name w:val="Footer Char"/>
    <w:basedOn w:val="Fuentedeprrafopredeter"/>
    <w:semiHidden/>
    <w:locked/>
    <w:rsid w:val="00A168D5"/>
    <w:rPr>
      <w:rFonts w:ascii="Arial" w:hAnsi="Arial"/>
      <w:sz w:val="22"/>
      <w:szCs w:val="24"/>
      <w:lang w:val="es-ES" w:eastAsia="es-ES" w:bidi="ar-SA"/>
    </w:rPr>
  </w:style>
  <w:style w:type="character" w:customStyle="1" w:styleId="BodyTextIndentChar">
    <w:name w:val="Body Text Indent Char"/>
    <w:basedOn w:val="Fuentedeprrafopredeter"/>
    <w:semiHidden/>
    <w:locked/>
    <w:rsid w:val="00A168D5"/>
    <w:rPr>
      <w:rFonts w:ascii="Arial" w:hAnsi="Arial"/>
      <w:sz w:val="22"/>
      <w:szCs w:val="24"/>
      <w:lang w:val="es-ES" w:eastAsia="es-ES" w:bidi="ar-SA"/>
    </w:rPr>
  </w:style>
  <w:style w:type="character" w:customStyle="1" w:styleId="BodyTextChar">
    <w:name w:val="Body Text Char"/>
    <w:basedOn w:val="Fuentedeprrafopredeter"/>
    <w:semiHidden/>
    <w:locked/>
    <w:rsid w:val="00A168D5"/>
    <w:rPr>
      <w:rFonts w:eastAsia="Calibri"/>
      <w:sz w:val="24"/>
      <w:szCs w:val="24"/>
      <w:lang w:val="es-ES" w:eastAsia="es-ES" w:bidi="ar-SA"/>
    </w:rPr>
  </w:style>
  <w:style w:type="character" w:customStyle="1" w:styleId="BodyText3Char">
    <w:name w:val="Body Text 3 Char"/>
    <w:basedOn w:val="Fuentedeprrafopredeter"/>
    <w:semiHidden/>
    <w:locked/>
    <w:rsid w:val="00A168D5"/>
    <w:rPr>
      <w:rFonts w:eastAsia="Calibri"/>
      <w:sz w:val="16"/>
      <w:szCs w:val="16"/>
      <w:lang w:val="es-ES" w:eastAsia="es-ES" w:bidi="ar-SA"/>
    </w:rPr>
  </w:style>
  <w:style w:type="character" w:customStyle="1" w:styleId="BalloonTextChar">
    <w:name w:val="Balloon Text Char"/>
    <w:basedOn w:val="Fuentedeprrafopredeter"/>
    <w:semiHidden/>
    <w:locked/>
    <w:rsid w:val="00A168D5"/>
    <w:rPr>
      <w:rFonts w:ascii="Tahoma" w:eastAsia="Calibri" w:hAnsi="Tahoma" w:cs="Tahoma"/>
      <w:sz w:val="16"/>
      <w:szCs w:val="16"/>
      <w:lang w:val="es-ES" w:eastAsia="es-ES" w:bidi="ar-SA"/>
    </w:rPr>
  </w:style>
  <w:style w:type="character" w:customStyle="1" w:styleId="BodyTextIndent3Char">
    <w:name w:val="Body Text Indent 3 Char"/>
    <w:basedOn w:val="Fuentedeprrafopredeter"/>
    <w:semiHidden/>
    <w:locked/>
    <w:rsid w:val="00A168D5"/>
    <w:rPr>
      <w:rFonts w:eastAsia="Calibri"/>
      <w:sz w:val="16"/>
      <w:szCs w:val="16"/>
      <w:lang w:val="es-ES" w:eastAsia="es-ES" w:bidi="ar-SA"/>
    </w:rPr>
  </w:style>
  <w:style w:type="character" w:customStyle="1" w:styleId="BodyTextIndent2Char">
    <w:name w:val="Body Text Indent 2 Char"/>
    <w:basedOn w:val="Fuentedeprrafopredeter"/>
    <w:semiHidden/>
    <w:locked/>
    <w:rsid w:val="00A168D5"/>
    <w:rPr>
      <w:rFonts w:eastAsia="Calibri"/>
      <w:sz w:val="24"/>
      <w:szCs w:val="24"/>
      <w:lang w:val="es-ES" w:eastAsia="es-ES" w:bidi="ar-SA"/>
    </w:rPr>
  </w:style>
  <w:style w:type="paragraph" w:customStyle="1" w:styleId="Cuadro">
    <w:name w:val="Cuadro"/>
    <w:basedOn w:val="Normal"/>
    <w:semiHidden/>
    <w:rsid w:val="00A168D5"/>
    <w:pPr>
      <w:widowControl w:val="0"/>
      <w:spacing w:before="40" w:after="40"/>
    </w:pPr>
    <w:rPr>
      <w:rFonts w:ascii="Times New Roman" w:eastAsia="Calibri" w:hAnsi="Times New Roman"/>
      <w:sz w:val="24"/>
      <w:szCs w:val="20"/>
      <w:lang w:val="es-CL"/>
    </w:rPr>
  </w:style>
  <w:style w:type="character" w:customStyle="1" w:styleId="Heading1Char">
    <w:name w:val="Heading 1 Char"/>
    <w:basedOn w:val="Fuentedeprrafopredeter"/>
    <w:semiHidden/>
    <w:locked/>
    <w:rsid w:val="000A1474"/>
    <w:rPr>
      <w:rFonts w:ascii="Cambria" w:hAnsi="Cambria" w:cs="Cambria"/>
      <w:b/>
      <w:bCs/>
      <w:color w:val="365F91"/>
      <w:sz w:val="28"/>
      <w:szCs w:val="28"/>
      <w:lang w:val="es-ES" w:eastAsia="es-ES"/>
    </w:rPr>
  </w:style>
  <w:style w:type="character" w:customStyle="1" w:styleId="Heading6Char">
    <w:name w:val="Heading 6 Char"/>
    <w:basedOn w:val="Fuentedeprrafopredeter"/>
    <w:semiHidden/>
    <w:locked/>
    <w:rsid w:val="000A1474"/>
    <w:rPr>
      <w:rFonts w:ascii="Arial" w:hAnsi="Arial" w:cs="Arial"/>
      <w:b/>
      <w:bCs/>
      <w:spacing w:val="-3"/>
      <w:sz w:val="24"/>
      <w:szCs w:val="24"/>
      <w:lang w:val="es-ES" w:eastAsia="es-ES"/>
    </w:rPr>
  </w:style>
  <w:style w:type="paragraph" w:customStyle="1" w:styleId="Prrafodelista1">
    <w:name w:val="Párrafo de lista1"/>
    <w:basedOn w:val="Normal"/>
    <w:semiHidden/>
    <w:rsid w:val="00BA1DFE"/>
    <w:pPr>
      <w:spacing w:after="200" w:line="276" w:lineRule="auto"/>
      <w:ind w:left="720"/>
      <w:jc w:val="left"/>
    </w:pPr>
    <w:rPr>
      <w:rFonts w:ascii="Calibri" w:hAnsi="Calibri" w:cs="Calibri"/>
      <w:szCs w:val="22"/>
      <w:lang w:val="es-CL" w:eastAsia="en-US"/>
    </w:rPr>
  </w:style>
  <w:style w:type="character" w:styleId="Textodelmarcadordeposicin">
    <w:name w:val="Placeholder Text"/>
    <w:basedOn w:val="Fuentedeprrafopredeter"/>
    <w:semiHidden/>
    <w:rsid w:val="00BA1DFE"/>
    <w:rPr>
      <w:rFonts w:cs="Times New Roman"/>
      <w:color w:val="808080"/>
    </w:rPr>
  </w:style>
  <w:style w:type="paragraph" w:customStyle="1" w:styleId="msonospacing0">
    <w:name w:val="msonospacing"/>
    <w:rsid w:val="00C45E03"/>
    <w:rPr>
      <w:rFonts w:ascii="Arial" w:eastAsia="Calibri" w:hAnsi="Arial"/>
      <w:sz w:val="22"/>
      <w:szCs w:val="22"/>
      <w:lang w:val="es-ES" w:eastAsia="en-US"/>
    </w:rPr>
  </w:style>
  <w:style w:type="character" w:customStyle="1" w:styleId="EpgrafeCar">
    <w:name w:val="Epígrafe Car"/>
    <w:basedOn w:val="Fuentedeprrafopredeter"/>
    <w:link w:val="Epgrafe"/>
    <w:rsid w:val="007C57BD"/>
    <w:rPr>
      <w:rFonts w:ascii="Arial" w:hAnsi="Arial"/>
      <w:b/>
      <w:bCs/>
      <w:sz w:val="22"/>
      <w:szCs w:val="22"/>
      <w:lang w:val="es-ES" w:eastAsia="es-E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71662"/>
    <w:pPr>
      <w:jc w:val="both"/>
    </w:pPr>
    <w:rPr>
      <w:rFonts w:ascii="Arial" w:hAnsi="Arial"/>
      <w:sz w:val="22"/>
      <w:szCs w:val="24"/>
      <w:lang w:val="es-ES" w:eastAsia="es-ES"/>
    </w:rPr>
  </w:style>
  <w:style w:type="paragraph" w:styleId="Ttulo1">
    <w:name w:val="heading 1"/>
    <w:basedOn w:val="Normal"/>
    <w:next w:val="Normal"/>
    <w:link w:val="Ttulo1Car"/>
    <w:qFormat/>
    <w:rsid w:val="00F96313"/>
    <w:pPr>
      <w:keepNext/>
      <w:numPr>
        <w:numId w:val="30"/>
      </w:numPr>
      <w:spacing w:before="120" w:after="60"/>
      <w:outlineLvl w:val="0"/>
    </w:pPr>
    <w:rPr>
      <w:rFonts w:cs="Arial"/>
      <w:b/>
      <w:bCs/>
      <w:kern w:val="32"/>
      <w:szCs w:val="32"/>
    </w:rPr>
  </w:style>
  <w:style w:type="paragraph" w:styleId="Ttulo2">
    <w:name w:val="heading 2"/>
    <w:basedOn w:val="Normal"/>
    <w:next w:val="Normal"/>
    <w:link w:val="Ttulo2Car"/>
    <w:qFormat/>
    <w:rsid w:val="00B51B51"/>
    <w:pPr>
      <w:keepNext/>
      <w:widowControl w:val="0"/>
      <w:numPr>
        <w:ilvl w:val="1"/>
        <w:numId w:val="30"/>
      </w:numPr>
      <w:outlineLvl w:val="1"/>
    </w:pPr>
    <w:rPr>
      <w:rFonts w:cs="Arial"/>
      <w:b/>
      <w:bCs/>
      <w:iCs/>
      <w:szCs w:val="28"/>
    </w:rPr>
  </w:style>
  <w:style w:type="paragraph" w:styleId="Ttulo3">
    <w:name w:val="heading 3"/>
    <w:basedOn w:val="Normal"/>
    <w:next w:val="Normal"/>
    <w:link w:val="Ttulo3Car"/>
    <w:qFormat/>
    <w:rsid w:val="00B51B51"/>
    <w:pPr>
      <w:widowControl w:val="0"/>
      <w:numPr>
        <w:ilvl w:val="2"/>
        <w:numId w:val="30"/>
      </w:numPr>
      <w:outlineLvl w:val="2"/>
    </w:pPr>
    <w:rPr>
      <w:rFonts w:cs="Arial"/>
      <w:b/>
      <w:bCs/>
      <w:szCs w:val="26"/>
    </w:rPr>
  </w:style>
  <w:style w:type="paragraph" w:styleId="Ttulo4">
    <w:name w:val="heading 4"/>
    <w:aliases w:val="Título 4amb"/>
    <w:basedOn w:val="Normal"/>
    <w:next w:val="Normal"/>
    <w:link w:val="Ttulo4Car"/>
    <w:qFormat/>
    <w:rsid w:val="00421CB7"/>
    <w:pPr>
      <w:keepNext/>
      <w:numPr>
        <w:ilvl w:val="3"/>
        <w:numId w:val="30"/>
      </w:numPr>
      <w:spacing w:before="240" w:after="60"/>
      <w:outlineLvl w:val="3"/>
    </w:pPr>
    <w:rPr>
      <w:bCs/>
      <w:szCs w:val="28"/>
    </w:rPr>
  </w:style>
  <w:style w:type="paragraph" w:styleId="Ttulo5">
    <w:name w:val="heading 5"/>
    <w:basedOn w:val="Normal"/>
    <w:next w:val="Normal"/>
    <w:link w:val="Ttulo5Car"/>
    <w:qFormat/>
    <w:rsid w:val="009D1796"/>
    <w:pPr>
      <w:numPr>
        <w:ilvl w:val="4"/>
        <w:numId w:val="30"/>
      </w:numPr>
      <w:spacing w:before="240" w:after="60"/>
      <w:outlineLvl w:val="4"/>
    </w:pPr>
    <w:rPr>
      <w:b/>
      <w:bCs/>
      <w:i/>
      <w:iCs/>
      <w:sz w:val="26"/>
      <w:szCs w:val="26"/>
    </w:rPr>
  </w:style>
  <w:style w:type="paragraph" w:styleId="Ttulo6">
    <w:name w:val="heading 6"/>
    <w:basedOn w:val="Normal"/>
    <w:next w:val="Normal"/>
    <w:link w:val="Ttulo6Car"/>
    <w:qFormat/>
    <w:rsid w:val="009D1796"/>
    <w:pPr>
      <w:numPr>
        <w:ilvl w:val="5"/>
        <w:numId w:val="30"/>
      </w:numPr>
      <w:spacing w:before="240" w:after="60"/>
      <w:outlineLvl w:val="5"/>
    </w:pPr>
    <w:rPr>
      <w:b/>
      <w:bCs/>
      <w:szCs w:val="22"/>
    </w:rPr>
  </w:style>
  <w:style w:type="paragraph" w:styleId="Ttulo7">
    <w:name w:val="heading 7"/>
    <w:basedOn w:val="Normal"/>
    <w:next w:val="Normal"/>
    <w:link w:val="Ttulo7Car"/>
    <w:qFormat/>
    <w:rsid w:val="009D1796"/>
    <w:pPr>
      <w:numPr>
        <w:ilvl w:val="6"/>
        <w:numId w:val="30"/>
      </w:numPr>
      <w:spacing w:before="240" w:after="60"/>
      <w:outlineLvl w:val="6"/>
    </w:pPr>
  </w:style>
  <w:style w:type="paragraph" w:styleId="Ttulo8">
    <w:name w:val="heading 8"/>
    <w:basedOn w:val="Normal"/>
    <w:next w:val="Normal"/>
    <w:link w:val="Ttulo8Car"/>
    <w:qFormat/>
    <w:rsid w:val="009D1796"/>
    <w:pPr>
      <w:numPr>
        <w:ilvl w:val="7"/>
        <w:numId w:val="30"/>
      </w:numPr>
      <w:spacing w:before="240" w:after="60"/>
      <w:outlineLvl w:val="7"/>
    </w:pPr>
    <w:rPr>
      <w:i/>
      <w:iCs/>
    </w:rPr>
  </w:style>
  <w:style w:type="paragraph" w:styleId="Ttulo9">
    <w:name w:val="heading 9"/>
    <w:basedOn w:val="Normal"/>
    <w:next w:val="Normal"/>
    <w:link w:val="Ttulo9Car"/>
    <w:qFormat/>
    <w:rsid w:val="009D1796"/>
    <w:pPr>
      <w:numPr>
        <w:ilvl w:val="8"/>
        <w:numId w:val="30"/>
      </w:numPr>
      <w:spacing w:before="240" w:after="60"/>
      <w:outlineLvl w:val="8"/>
    </w:pPr>
    <w:rPr>
      <w:rFonts w:cs="Arial"/>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character" w:customStyle="1" w:styleId="Ttulo2Car">
    <w:name w:val="Título 2 Car"/>
    <w:basedOn w:val="Fuentedeprrafopredeter"/>
    <w:link w:val="Ttulo2"/>
    <w:rsid w:val="00B51B51"/>
    <w:rPr>
      <w:rFonts w:ascii="Arial" w:hAnsi="Arial" w:cs="Arial"/>
      <w:b/>
      <w:bCs/>
      <w:iCs/>
      <w:sz w:val="22"/>
      <w:szCs w:val="28"/>
      <w:lang w:val="es-ES" w:eastAsia="es-ES"/>
    </w:rPr>
  </w:style>
  <w:style w:type="character" w:styleId="Textoennegrita">
    <w:name w:val="Strong"/>
    <w:qFormat/>
    <w:rsid w:val="00AE7350"/>
    <w:rPr>
      <w:b/>
      <w:bCs/>
    </w:rPr>
  </w:style>
  <w:style w:type="paragraph" w:styleId="Mapadeldocumento">
    <w:name w:val="Document Map"/>
    <w:basedOn w:val="Normal"/>
    <w:semiHidden/>
    <w:rsid w:val="00B30CCF"/>
    <w:pPr>
      <w:shd w:val="clear" w:color="auto" w:fill="000080"/>
    </w:pPr>
    <w:rPr>
      <w:rFonts w:ascii="Tahoma" w:hAnsi="Tahoma" w:cs="Tahoma"/>
      <w:sz w:val="20"/>
      <w:szCs w:val="20"/>
    </w:rPr>
  </w:style>
  <w:style w:type="paragraph" w:styleId="Encabezado">
    <w:name w:val="header"/>
    <w:aliases w:val="encabezado"/>
    <w:basedOn w:val="Normal"/>
    <w:link w:val="EncabezadoCar"/>
    <w:semiHidden/>
    <w:rsid w:val="0040476A"/>
    <w:pPr>
      <w:tabs>
        <w:tab w:val="center" w:pos="4252"/>
        <w:tab w:val="right" w:pos="8504"/>
      </w:tabs>
    </w:pPr>
  </w:style>
  <w:style w:type="paragraph" w:styleId="Piedepgina">
    <w:name w:val="footer"/>
    <w:basedOn w:val="Normal"/>
    <w:link w:val="PiedepginaCar"/>
    <w:semiHidden/>
    <w:rsid w:val="0040476A"/>
    <w:pPr>
      <w:tabs>
        <w:tab w:val="center" w:pos="4252"/>
        <w:tab w:val="right" w:pos="8504"/>
      </w:tabs>
    </w:pPr>
  </w:style>
  <w:style w:type="character" w:styleId="Nmerodepgina">
    <w:name w:val="page number"/>
    <w:basedOn w:val="Fuentedeprrafopredeter"/>
    <w:semiHidden/>
    <w:rsid w:val="0040476A"/>
  </w:style>
  <w:style w:type="paragraph" w:styleId="Epgrafe">
    <w:name w:val="caption"/>
    <w:basedOn w:val="Normal"/>
    <w:next w:val="Normal"/>
    <w:link w:val="EpgrafeCar"/>
    <w:qFormat/>
    <w:rsid w:val="004F2596"/>
    <w:pPr>
      <w:jc w:val="center"/>
    </w:pPr>
    <w:rPr>
      <w:b/>
      <w:bCs/>
      <w:szCs w:val="22"/>
    </w:rPr>
  </w:style>
  <w:style w:type="character" w:styleId="Hipervnculo">
    <w:name w:val="Hyperlink"/>
    <w:uiPriority w:val="99"/>
    <w:semiHidden/>
    <w:rsid w:val="00D451C1"/>
    <w:rPr>
      <w:color w:val="0000FF"/>
      <w:u w:val="single"/>
    </w:rPr>
  </w:style>
  <w:style w:type="paragraph" w:styleId="TDC1">
    <w:name w:val="toc 1"/>
    <w:basedOn w:val="Normal"/>
    <w:next w:val="Normal"/>
    <w:autoRedefine/>
    <w:uiPriority w:val="39"/>
    <w:semiHidden/>
    <w:rsid w:val="00D33176"/>
    <w:pPr>
      <w:tabs>
        <w:tab w:val="left" w:pos="540"/>
        <w:tab w:val="right" w:leader="dot" w:pos="9396"/>
      </w:tabs>
      <w:spacing w:before="120" w:after="120"/>
      <w:ind w:left="540" w:hanging="540"/>
    </w:pPr>
  </w:style>
  <w:style w:type="paragraph" w:styleId="TDC2">
    <w:name w:val="toc 2"/>
    <w:basedOn w:val="Normal"/>
    <w:next w:val="Normal"/>
    <w:autoRedefine/>
    <w:uiPriority w:val="39"/>
    <w:semiHidden/>
    <w:rsid w:val="00D33176"/>
    <w:pPr>
      <w:tabs>
        <w:tab w:val="left" w:pos="1080"/>
        <w:tab w:val="right" w:leader="dot" w:pos="9396"/>
      </w:tabs>
      <w:spacing w:before="120" w:after="120"/>
      <w:ind w:left="1080" w:hanging="540"/>
    </w:pPr>
  </w:style>
  <w:style w:type="paragraph" w:customStyle="1" w:styleId="NormalSangra">
    <w:name w:val="Normal Sangría"/>
    <w:basedOn w:val="Normal"/>
    <w:link w:val="NormalSangraCar"/>
    <w:semiHidden/>
    <w:rsid w:val="006A5546"/>
    <w:pPr>
      <w:widowControl w:val="0"/>
      <w:ind w:firstLine="709"/>
    </w:pPr>
    <w:rPr>
      <w:sz w:val="24"/>
      <w:szCs w:val="20"/>
      <w:lang w:val="es-CL"/>
    </w:rPr>
  </w:style>
  <w:style w:type="character" w:customStyle="1" w:styleId="NormalSangraCar">
    <w:name w:val="Normal Sangría Car"/>
    <w:link w:val="NormalSangra"/>
    <w:rsid w:val="006A5546"/>
    <w:rPr>
      <w:rFonts w:ascii="Arial" w:hAnsi="Arial"/>
      <w:sz w:val="24"/>
      <w:lang w:val="es-CL" w:eastAsia="es-ES" w:bidi="ar-SA"/>
    </w:rPr>
  </w:style>
  <w:style w:type="paragraph" w:customStyle="1" w:styleId="EstiloArialNegritaCentrado">
    <w:name w:val="Estilo Arial Negrita Centrado"/>
    <w:basedOn w:val="Normal"/>
    <w:semiHidden/>
    <w:rsid w:val="006A5546"/>
    <w:pPr>
      <w:jc w:val="center"/>
    </w:pPr>
    <w:rPr>
      <w:b/>
      <w:bCs/>
      <w:sz w:val="18"/>
      <w:szCs w:val="20"/>
    </w:rPr>
  </w:style>
  <w:style w:type="table" w:styleId="Tablaconcuadrcula">
    <w:name w:val="Table Grid"/>
    <w:basedOn w:val="Tablanormal"/>
    <w:semiHidden/>
    <w:rsid w:val="0039478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ntinuarlista">
    <w:name w:val="List Continue"/>
    <w:basedOn w:val="Normal"/>
    <w:semiHidden/>
    <w:rsid w:val="00820889"/>
    <w:pPr>
      <w:spacing w:after="120"/>
      <w:ind w:left="283"/>
    </w:pPr>
  </w:style>
  <w:style w:type="paragraph" w:customStyle="1" w:styleId="ListParagraph">
    <w:name w:val="List Paragraph"/>
    <w:basedOn w:val="Normal"/>
    <w:semiHidden/>
    <w:qFormat/>
    <w:rsid w:val="005A637B"/>
    <w:pPr>
      <w:spacing w:after="200" w:line="276" w:lineRule="auto"/>
      <w:ind w:left="720"/>
      <w:jc w:val="left"/>
    </w:pPr>
    <w:rPr>
      <w:rFonts w:ascii="Calibri" w:eastAsia="Calibri" w:hAnsi="Calibri" w:cs="Calibri"/>
      <w:szCs w:val="22"/>
      <w:lang w:val="es-CL" w:eastAsia="en-US"/>
    </w:rPr>
  </w:style>
  <w:style w:type="character" w:customStyle="1" w:styleId="googqs-tidbitgoogqs-tidbit-0">
    <w:name w:val="goog_qs-tidbit goog_qs-tidbit-0"/>
    <w:basedOn w:val="Fuentedeprrafopredeter"/>
    <w:semiHidden/>
    <w:rsid w:val="00394B97"/>
  </w:style>
  <w:style w:type="paragraph" w:customStyle="1" w:styleId="Default">
    <w:name w:val="Default"/>
    <w:semiHidden/>
    <w:rsid w:val="005E5AD9"/>
    <w:pPr>
      <w:autoSpaceDE w:val="0"/>
      <w:autoSpaceDN w:val="0"/>
      <w:adjustRightInd w:val="0"/>
    </w:pPr>
    <w:rPr>
      <w:rFonts w:ascii="Calibri" w:hAnsi="Calibri" w:cs="Calibri"/>
      <w:color w:val="000000"/>
      <w:sz w:val="24"/>
      <w:szCs w:val="24"/>
      <w:lang w:val="es-ES" w:eastAsia="es-ES"/>
    </w:rPr>
  </w:style>
  <w:style w:type="paragraph" w:styleId="Textoindependiente2">
    <w:name w:val="Body Text 2"/>
    <w:basedOn w:val="Normal"/>
    <w:link w:val="Textoindependiente2Car"/>
    <w:semiHidden/>
    <w:rsid w:val="005C30E9"/>
    <w:rPr>
      <w:rFonts w:ascii="Avalon" w:eastAsia="Calibri" w:hAnsi="Avalon"/>
      <w:b/>
      <w:sz w:val="20"/>
      <w:szCs w:val="20"/>
      <w:lang w:val="es-ES_tradnl"/>
    </w:rPr>
  </w:style>
  <w:style w:type="character" w:customStyle="1" w:styleId="Textoindependiente2Car">
    <w:name w:val="Texto independiente 2 Car"/>
    <w:basedOn w:val="Fuentedeprrafopredeter"/>
    <w:link w:val="Textoindependiente2"/>
    <w:locked/>
    <w:rsid w:val="005C30E9"/>
    <w:rPr>
      <w:rFonts w:ascii="Avalon" w:eastAsia="Calibri" w:hAnsi="Avalon"/>
      <w:b/>
      <w:lang w:val="es-ES_tradnl" w:eastAsia="es-ES" w:bidi="ar-SA"/>
    </w:rPr>
  </w:style>
  <w:style w:type="paragraph" w:customStyle="1" w:styleId="xl68">
    <w:name w:val="xl68"/>
    <w:basedOn w:val="Normal"/>
    <w:semiHidden/>
    <w:rsid w:val="00D75D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8"/>
      <w:szCs w:val="18"/>
    </w:rPr>
  </w:style>
  <w:style w:type="character" w:styleId="Hipervnculovisitado">
    <w:name w:val="FollowedHyperlink"/>
    <w:basedOn w:val="Fuentedeprrafopredeter"/>
    <w:semiHidden/>
    <w:rsid w:val="00D75DE3"/>
    <w:rPr>
      <w:color w:val="800080"/>
      <w:u w:val="single"/>
    </w:rPr>
  </w:style>
  <w:style w:type="paragraph" w:customStyle="1" w:styleId="xl64">
    <w:name w:val="xl64"/>
    <w:basedOn w:val="Normal"/>
    <w:semiHidden/>
    <w:rsid w:val="00D75D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b/>
      <w:bCs/>
      <w:sz w:val="18"/>
      <w:szCs w:val="18"/>
    </w:rPr>
  </w:style>
  <w:style w:type="paragraph" w:styleId="TDC3">
    <w:name w:val="toc 3"/>
    <w:basedOn w:val="Normal"/>
    <w:next w:val="Normal"/>
    <w:autoRedefine/>
    <w:uiPriority w:val="39"/>
    <w:semiHidden/>
    <w:rsid w:val="00D33176"/>
    <w:pPr>
      <w:tabs>
        <w:tab w:val="left" w:pos="1800"/>
        <w:tab w:val="right" w:leader="dot" w:pos="9396"/>
      </w:tabs>
      <w:ind w:left="1800" w:hanging="720"/>
    </w:pPr>
    <w:rPr>
      <w:noProof/>
      <w:szCs w:val="22"/>
    </w:rPr>
  </w:style>
  <w:style w:type="paragraph" w:styleId="TDC4">
    <w:name w:val="toc 4"/>
    <w:basedOn w:val="Normal"/>
    <w:next w:val="Normal"/>
    <w:autoRedefine/>
    <w:uiPriority w:val="39"/>
    <w:semiHidden/>
    <w:rsid w:val="00D33176"/>
    <w:pPr>
      <w:tabs>
        <w:tab w:val="left" w:pos="2700"/>
        <w:tab w:val="right" w:leader="dot" w:pos="9396"/>
      </w:tabs>
      <w:ind w:left="2700" w:hanging="900"/>
    </w:pPr>
  </w:style>
  <w:style w:type="paragraph" w:customStyle="1" w:styleId="Ttulo4Ttulo4">
    <w:name w:val="Título 4Título 4"/>
    <w:basedOn w:val="Ttulo4"/>
    <w:rsid w:val="009057BF"/>
    <w:rPr>
      <w:b/>
      <w:szCs w:val="22"/>
    </w:rPr>
  </w:style>
  <w:style w:type="paragraph" w:customStyle="1" w:styleId="EstiloTtulo3Negrita">
    <w:name w:val="Estilo Título 3 + Negrita"/>
    <w:basedOn w:val="Ttulo3"/>
    <w:semiHidden/>
    <w:rsid w:val="009057BF"/>
    <w:rPr>
      <w:b w:val="0"/>
    </w:rPr>
  </w:style>
  <w:style w:type="paragraph" w:styleId="Sangradetextonormal">
    <w:name w:val="Body Text Indent"/>
    <w:basedOn w:val="Normal"/>
    <w:link w:val="SangradetextonormalCar"/>
    <w:semiHidden/>
    <w:rsid w:val="002A31B5"/>
    <w:pPr>
      <w:spacing w:after="120"/>
      <w:ind w:left="283"/>
    </w:pPr>
  </w:style>
  <w:style w:type="paragraph" w:styleId="Textodeglobo">
    <w:name w:val="Balloon Text"/>
    <w:basedOn w:val="Normal"/>
    <w:link w:val="TextodegloboCar"/>
    <w:semiHidden/>
    <w:rsid w:val="00E271DA"/>
    <w:pPr>
      <w:jc w:val="left"/>
    </w:pPr>
    <w:rPr>
      <w:rFonts w:ascii="Tahoma" w:hAnsi="Tahoma" w:cs="Tahoma"/>
      <w:sz w:val="16"/>
      <w:szCs w:val="16"/>
    </w:rPr>
  </w:style>
  <w:style w:type="paragraph" w:styleId="Textoindependiente">
    <w:name w:val="Body Text"/>
    <w:basedOn w:val="Normal"/>
    <w:link w:val="TextoindependienteCar"/>
    <w:semiHidden/>
    <w:rsid w:val="00E271DA"/>
    <w:pPr>
      <w:spacing w:after="120"/>
      <w:jc w:val="left"/>
    </w:pPr>
    <w:rPr>
      <w:rFonts w:ascii="Times New Roman" w:hAnsi="Times New Roman"/>
      <w:sz w:val="24"/>
    </w:rPr>
  </w:style>
  <w:style w:type="character" w:customStyle="1" w:styleId="TextoindependienteCar">
    <w:name w:val="Texto independiente Car"/>
    <w:basedOn w:val="Fuentedeprrafopredeter"/>
    <w:link w:val="Textoindependiente"/>
    <w:rsid w:val="00E271DA"/>
    <w:rPr>
      <w:sz w:val="24"/>
      <w:szCs w:val="24"/>
      <w:lang w:val="es-ES" w:eastAsia="es-ES" w:bidi="ar-SA"/>
    </w:rPr>
  </w:style>
  <w:style w:type="paragraph" w:styleId="Sangra3detindependiente">
    <w:name w:val="Body Text Indent 3"/>
    <w:basedOn w:val="Normal"/>
    <w:link w:val="Sangra3detindependienteCar"/>
    <w:semiHidden/>
    <w:rsid w:val="00E271DA"/>
    <w:pPr>
      <w:spacing w:after="120"/>
      <w:ind w:left="283"/>
      <w:jc w:val="left"/>
    </w:pPr>
    <w:rPr>
      <w:rFonts w:ascii="Times New Roman" w:hAnsi="Times New Roman"/>
      <w:sz w:val="16"/>
      <w:szCs w:val="16"/>
    </w:rPr>
  </w:style>
  <w:style w:type="character" w:customStyle="1" w:styleId="Sangra3detindependienteCar">
    <w:name w:val="Sangría 3 de t. independiente Car"/>
    <w:basedOn w:val="Fuentedeprrafopredeter"/>
    <w:link w:val="Sangra3detindependiente"/>
    <w:rsid w:val="00E271DA"/>
    <w:rPr>
      <w:sz w:val="16"/>
      <w:szCs w:val="16"/>
      <w:lang w:val="es-ES" w:eastAsia="es-ES" w:bidi="ar-SA"/>
    </w:rPr>
  </w:style>
  <w:style w:type="character" w:customStyle="1" w:styleId="Ttulo5Car">
    <w:name w:val="Título 5 Car"/>
    <w:basedOn w:val="Fuentedeprrafopredeter"/>
    <w:link w:val="Ttulo5"/>
    <w:rsid w:val="00E271DA"/>
    <w:rPr>
      <w:rFonts w:ascii="Arial" w:hAnsi="Arial"/>
      <w:b/>
      <w:bCs/>
      <w:i/>
      <w:iCs/>
      <w:sz w:val="26"/>
      <w:szCs w:val="26"/>
      <w:lang w:val="es-ES" w:eastAsia="es-ES"/>
    </w:rPr>
  </w:style>
  <w:style w:type="character" w:customStyle="1" w:styleId="Ttulo6Car">
    <w:name w:val="Título 6 Car"/>
    <w:basedOn w:val="Fuentedeprrafopredeter"/>
    <w:link w:val="Ttulo6"/>
    <w:rsid w:val="00E271DA"/>
    <w:rPr>
      <w:rFonts w:ascii="Arial" w:hAnsi="Arial"/>
      <w:b/>
      <w:bCs/>
      <w:sz w:val="22"/>
      <w:szCs w:val="22"/>
      <w:lang w:val="es-ES" w:eastAsia="es-ES"/>
    </w:rPr>
  </w:style>
  <w:style w:type="character" w:customStyle="1" w:styleId="Ttulo7Car">
    <w:name w:val="Título 7 Car"/>
    <w:basedOn w:val="Fuentedeprrafopredeter"/>
    <w:link w:val="Ttulo7"/>
    <w:rsid w:val="00E271DA"/>
    <w:rPr>
      <w:rFonts w:ascii="Arial" w:hAnsi="Arial"/>
      <w:sz w:val="22"/>
      <w:szCs w:val="24"/>
      <w:lang w:val="es-ES" w:eastAsia="es-ES"/>
    </w:rPr>
  </w:style>
  <w:style w:type="character" w:customStyle="1" w:styleId="Ttulo8Car">
    <w:name w:val="Título 8 Car"/>
    <w:basedOn w:val="Fuentedeprrafopredeter"/>
    <w:link w:val="Ttulo8"/>
    <w:rsid w:val="00E271DA"/>
    <w:rPr>
      <w:rFonts w:ascii="Arial" w:hAnsi="Arial"/>
      <w:i/>
      <w:iCs/>
      <w:sz w:val="22"/>
      <w:szCs w:val="24"/>
      <w:lang w:val="es-ES" w:eastAsia="es-ES"/>
    </w:rPr>
  </w:style>
  <w:style w:type="character" w:customStyle="1" w:styleId="Ttulo9Car">
    <w:name w:val="Título 9 Car"/>
    <w:basedOn w:val="Fuentedeprrafopredeter"/>
    <w:link w:val="Ttulo9"/>
    <w:rsid w:val="00E271DA"/>
    <w:rPr>
      <w:rFonts w:ascii="Arial" w:hAnsi="Arial" w:cs="Arial"/>
      <w:sz w:val="22"/>
      <w:szCs w:val="22"/>
      <w:lang w:val="es-ES" w:eastAsia="es-ES"/>
    </w:rPr>
  </w:style>
  <w:style w:type="character" w:customStyle="1" w:styleId="Ttulo1Car">
    <w:name w:val="Título 1 Car"/>
    <w:basedOn w:val="Fuentedeprrafopredeter"/>
    <w:link w:val="Ttulo1"/>
    <w:locked/>
    <w:rsid w:val="00E271DA"/>
    <w:rPr>
      <w:rFonts w:ascii="Arial" w:hAnsi="Arial" w:cs="Arial"/>
      <w:b/>
      <w:bCs/>
      <w:kern w:val="32"/>
      <w:sz w:val="22"/>
      <w:szCs w:val="32"/>
      <w:lang w:val="es-ES" w:eastAsia="es-ES"/>
    </w:rPr>
  </w:style>
  <w:style w:type="character" w:customStyle="1" w:styleId="CarCar19">
    <w:name w:val=" Car Car19"/>
    <w:basedOn w:val="Fuentedeprrafopredeter"/>
    <w:semiHidden/>
    <w:locked/>
    <w:rsid w:val="00E271DA"/>
    <w:rPr>
      <w:rFonts w:ascii="Tahoma" w:hAnsi="Tahoma" w:cs="Arial"/>
      <w:b/>
      <w:bCs/>
      <w:iCs/>
      <w:sz w:val="24"/>
      <w:szCs w:val="28"/>
      <w:lang w:val="es-ES" w:eastAsia="es-ES"/>
    </w:rPr>
  </w:style>
  <w:style w:type="character" w:customStyle="1" w:styleId="Ttulo3Car">
    <w:name w:val="Título 3 Car"/>
    <w:basedOn w:val="Fuentedeprrafopredeter"/>
    <w:link w:val="Ttulo3"/>
    <w:locked/>
    <w:rsid w:val="00B51B51"/>
    <w:rPr>
      <w:rFonts w:ascii="Arial" w:hAnsi="Arial" w:cs="Arial"/>
      <w:b/>
      <w:bCs/>
      <w:sz w:val="22"/>
      <w:szCs w:val="26"/>
      <w:lang w:val="es-ES" w:eastAsia="es-ES"/>
    </w:rPr>
  </w:style>
  <w:style w:type="character" w:customStyle="1" w:styleId="Ttulo4Car">
    <w:name w:val="Título 4 Car"/>
    <w:aliases w:val="Título 4amb Car"/>
    <w:basedOn w:val="Fuentedeprrafopredeter"/>
    <w:link w:val="Ttulo4"/>
    <w:locked/>
    <w:rsid w:val="00E271DA"/>
    <w:rPr>
      <w:rFonts w:ascii="Arial" w:hAnsi="Arial"/>
      <w:bCs/>
      <w:sz w:val="22"/>
      <w:szCs w:val="28"/>
      <w:lang w:val="es-ES" w:eastAsia="es-ES"/>
    </w:rPr>
  </w:style>
  <w:style w:type="character" w:customStyle="1" w:styleId="SangradetextonormalCar">
    <w:name w:val="Sangría de texto normal Car"/>
    <w:basedOn w:val="Fuentedeprrafopredeter"/>
    <w:link w:val="Sangradetextonormal"/>
    <w:rsid w:val="00E271DA"/>
    <w:rPr>
      <w:rFonts w:ascii="Arial" w:hAnsi="Arial"/>
      <w:sz w:val="22"/>
      <w:szCs w:val="24"/>
      <w:lang w:val="es-ES" w:eastAsia="es-ES" w:bidi="ar-SA"/>
    </w:rPr>
  </w:style>
  <w:style w:type="paragraph" w:styleId="Sangra2detindependiente">
    <w:name w:val="Body Text Indent 2"/>
    <w:basedOn w:val="Normal"/>
    <w:link w:val="Sangra2detindependienteCar"/>
    <w:semiHidden/>
    <w:rsid w:val="00E271DA"/>
    <w:pPr>
      <w:widowControl w:val="0"/>
      <w:autoSpaceDE w:val="0"/>
      <w:autoSpaceDN w:val="0"/>
      <w:adjustRightInd w:val="0"/>
      <w:ind w:left="709" w:hanging="709"/>
    </w:pPr>
    <w:rPr>
      <w:rFonts w:cs="Arial"/>
      <w:b/>
      <w:bCs/>
      <w:sz w:val="24"/>
    </w:rPr>
  </w:style>
  <w:style w:type="character" w:customStyle="1" w:styleId="Sangra2detindependienteCar">
    <w:name w:val="Sangría 2 de t. independiente Car"/>
    <w:basedOn w:val="Fuentedeprrafopredeter"/>
    <w:link w:val="Sangra2detindependiente"/>
    <w:rsid w:val="00E271DA"/>
    <w:rPr>
      <w:rFonts w:ascii="Arial" w:hAnsi="Arial" w:cs="Arial"/>
      <w:b/>
      <w:bCs/>
      <w:sz w:val="24"/>
      <w:szCs w:val="24"/>
      <w:lang w:val="es-ES" w:eastAsia="es-ES" w:bidi="ar-SA"/>
    </w:rPr>
  </w:style>
  <w:style w:type="character" w:customStyle="1" w:styleId="PiedepginaCar">
    <w:name w:val="Pie de página Car"/>
    <w:basedOn w:val="Fuentedeprrafopredeter"/>
    <w:link w:val="Piedepgina"/>
    <w:locked/>
    <w:rsid w:val="00E271DA"/>
    <w:rPr>
      <w:rFonts w:ascii="Arial" w:hAnsi="Arial"/>
      <w:sz w:val="22"/>
      <w:szCs w:val="24"/>
      <w:lang w:val="es-ES" w:eastAsia="es-ES" w:bidi="ar-SA"/>
    </w:rPr>
  </w:style>
  <w:style w:type="paragraph" w:styleId="Textoindependiente3">
    <w:name w:val="Body Text 3"/>
    <w:basedOn w:val="Normal"/>
    <w:link w:val="Textoindependiente3Car"/>
    <w:semiHidden/>
    <w:rsid w:val="00E271DA"/>
    <w:pPr>
      <w:widowControl w:val="0"/>
    </w:pPr>
    <w:rPr>
      <w:rFonts w:ascii="Times New Roman" w:hAnsi="Times New Roman"/>
      <w:b/>
      <w:bCs/>
      <w:i/>
      <w:iCs/>
      <w:spacing w:val="-3"/>
      <w:sz w:val="24"/>
      <w:lang w:val="es-CL"/>
    </w:rPr>
  </w:style>
  <w:style w:type="character" w:customStyle="1" w:styleId="Textoindependiente3Car">
    <w:name w:val="Texto independiente 3 Car"/>
    <w:basedOn w:val="Fuentedeprrafopredeter"/>
    <w:link w:val="Textoindependiente3"/>
    <w:rsid w:val="00E271DA"/>
    <w:rPr>
      <w:b/>
      <w:bCs/>
      <w:i/>
      <w:iCs/>
      <w:spacing w:val="-3"/>
      <w:sz w:val="24"/>
      <w:szCs w:val="24"/>
      <w:lang w:val="es-CL" w:eastAsia="es-ES" w:bidi="ar-SA"/>
    </w:rPr>
  </w:style>
  <w:style w:type="character" w:customStyle="1" w:styleId="EncabezadoCar">
    <w:name w:val="Encabezado Car"/>
    <w:aliases w:val="encabezado Car"/>
    <w:basedOn w:val="Fuentedeprrafopredeter"/>
    <w:link w:val="Encabezado"/>
    <w:locked/>
    <w:rsid w:val="00E271DA"/>
    <w:rPr>
      <w:rFonts w:ascii="Arial" w:hAnsi="Arial"/>
      <w:sz w:val="22"/>
      <w:szCs w:val="24"/>
      <w:lang w:val="es-ES" w:eastAsia="es-ES" w:bidi="ar-SA"/>
    </w:rPr>
  </w:style>
  <w:style w:type="paragraph" w:styleId="Ttulo">
    <w:name w:val="Title"/>
    <w:basedOn w:val="Normal"/>
    <w:link w:val="TtuloCar"/>
    <w:qFormat/>
    <w:rsid w:val="00E271DA"/>
    <w:pPr>
      <w:autoSpaceDE w:val="0"/>
      <w:autoSpaceDN w:val="0"/>
      <w:adjustRightInd w:val="0"/>
      <w:jc w:val="center"/>
    </w:pPr>
    <w:rPr>
      <w:rFonts w:cs="Arial"/>
      <w:b/>
      <w:bCs/>
      <w:sz w:val="24"/>
    </w:rPr>
  </w:style>
  <w:style w:type="character" w:customStyle="1" w:styleId="TtuloCar">
    <w:name w:val="Título Car"/>
    <w:basedOn w:val="Fuentedeprrafopredeter"/>
    <w:link w:val="Ttulo"/>
    <w:rsid w:val="00E271DA"/>
    <w:rPr>
      <w:rFonts w:ascii="Arial" w:hAnsi="Arial" w:cs="Arial"/>
      <w:b/>
      <w:bCs/>
      <w:sz w:val="24"/>
      <w:szCs w:val="24"/>
      <w:lang w:val="es-ES" w:eastAsia="es-ES" w:bidi="ar-SA"/>
    </w:rPr>
  </w:style>
  <w:style w:type="character" w:customStyle="1" w:styleId="CarCar10">
    <w:name w:val=" Car Car10"/>
    <w:basedOn w:val="Fuentedeprrafopredeter"/>
    <w:semiHidden/>
    <w:locked/>
    <w:rsid w:val="00E271DA"/>
    <w:rPr>
      <w:noProof/>
      <w:sz w:val="26"/>
      <w:lang w:val="es-ES_tradnl"/>
    </w:rPr>
  </w:style>
  <w:style w:type="character" w:styleId="Refdenotaalpie">
    <w:name w:val="footnote reference"/>
    <w:basedOn w:val="Fuentedeprrafopredeter"/>
    <w:semiHidden/>
    <w:rsid w:val="00E271DA"/>
    <w:rPr>
      <w:vertAlign w:val="superscript"/>
    </w:rPr>
  </w:style>
  <w:style w:type="paragraph" w:styleId="Textonotapie">
    <w:name w:val="footnote text"/>
    <w:basedOn w:val="Normal"/>
    <w:link w:val="TextonotapieCar"/>
    <w:semiHidden/>
    <w:rsid w:val="00E271DA"/>
    <w:pPr>
      <w:jc w:val="left"/>
    </w:pPr>
    <w:rPr>
      <w:rFonts w:cs="Arial"/>
      <w:sz w:val="20"/>
      <w:szCs w:val="20"/>
    </w:rPr>
  </w:style>
  <w:style w:type="character" w:customStyle="1" w:styleId="TextonotapieCar">
    <w:name w:val="Texto nota pie Car"/>
    <w:basedOn w:val="Fuentedeprrafopredeter"/>
    <w:link w:val="Textonotapie"/>
    <w:rsid w:val="00E271DA"/>
    <w:rPr>
      <w:rFonts w:ascii="Arial" w:hAnsi="Arial" w:cs="Arial"/>
      <w:lang w:val="es-ES" w:eastAsia="es-ES" w:bidi="ar-SA"/>
    </w:rPr>
  </w:style>
  <w:style w:type="paragraph" w:styleId="NormalWeb">
    <w:name w:val="Normal (Web)"/>
    <w:basedOn w:val="Normal"/>
    <w:semiHidden/>
    <w:rsid w:val="00E271DA"/>
    <w:pPr>
      <w:spacing w:before="100" w:after="100"/>
      <w:jc w:val="left"/>
    </w:pPr>
    <w:rPr>
      <w:rFonts w:ascii="Times New Roman" w:hAnsi="Times New Roman"/>
      <w:sz w:val="24"/>
    </w:rPr>
  </w:style>
  <w:style w:type="paragraph" w:customStyle="1" w:styleId="titulo3">
    <w:name w:val="titulo 3"/>
    <w:basedOn w:val="Normal"/>
    <w:semiHidden/>
    <w:rsid w:val="00E271DA"/>
    <w:pPr>
      <w:tabs>
        <w:tab w:val="left" w:pos="1418"/>
      </w:tabs>
      <w:ind w:left="851" w:hanging="851"/>
    </w:pPr>
    <w:rPr>
      <w:rFonts w:cs="Arial"/>
      <w:b/>
      <w:bCs/>
      <w:caps/>
      <w:sz w:val="24"/>
      <w:lang w:val="es-ES_tradnl"/>
    </w:rPr>
  </w:style>
  <w:style w:type="paragraph" w:styleId="Textodebloque">
    <w:name w:val="Block Text"/>
    <w:basedOn w:val="Normal"/>
    <w:semiHidden/>
    <w:rsid w:val="00E271DA"/>
    <w:pPr>
      <w:tabs>
        <w:tab w:val="left" w:pos="-720"/>
        <w:tab w:val="left" w:pos="851"/>
        <w:tab w:val="left" w:pos="2835"/>
        <w:tab w:val="left" w:pos="8789"/>
      </w:tabs>
      <w:suppressAutoHyphens/>
      <w:ind w:left="2835" w:right="49" w:hanging="2835"/>
    </w:pPr>
    <w:rPr>
      <w:rFonts w:cs="Arial"/>
      <w:noProof/>
      <w:spacing w:val="-3"/>
      <w:sz w:val="24"/>
      <w:lang w:val="es-ES_tradnl"/>
    </w:rPr>
  </w:style>
  <w:style w:type="paragraph" w:customStyle="1" w:styleId="BodyText21">
    <w:name w:val="Body Text 21"/>
    <w:basedOn w:val="Normal"/>
    <w:semiHidden/>
    <w:rsid w:val="00E271DA"/>
    <w:rPr>
      <w:rFonts w:ascii="Times New Roman" w:hAnsi="Times New Roman"/>
      <w:sz w:val="24"/>
      <w:lang w:val="es-ES_tradnl"/>
    </w:rPr>
  </w:style>
  <w:style w:type="paragraph" w:customStyle="1" w:styleId="Estilo1">
    <w:name w:val="Estilo1"/>
    <w:basedOn w:val="Ttulo2"/>
    <w:semiHidden/>
    <w:rsid w:val="00E271DA"/>
    <w:pPr>
      <w:numPr>
        <w:numId w:val="2"/>
      </w:numPr>
      <w:spacing w:before="240"/>
      <w:jc w:val="left"/>
    </w:pPr>
    <w:rPr>
      <w:iCs w:val="0"/>
      <w:sz w:val="28"/>
      <w:lang w:val="es-CL" w:eastAsia="es-CL"/>
    </w:rPr>
  </w:style>
  <w:style w:type="character" w:customStyle="1" w:styleId="TextodegloboCar">
    <w:name w:val="Texto de globo Car"/>
    <w:basedOn w:val="Fuentedeprrafopredeter"/>
    <w:link w:val="Textodeglobo"/>
    <w:semiHidden/>
    <w:locked/>
    <w:rsid w:val="00E271DA"/>
    <w:rPr>
      <w:rFonts w:ascii="Tahoma" w:hAnsi="Tahoma" w:cs="Tahoma"/>
      <w:sz w:val="16"/>
      <w:szCs w:val="16"/>
      <w:lang w:val="es-ES" w:eastAsia="es-ES" w:bidi="ar-SA"/>
    </w:rPr>
  </w:style>
  <w:style w:type="character" w:styleId="Refdecomentario">
    <w:name w:val="annotation reference"/>
    <w:basedOn w:val="Fuentedeprrafopredeter"/>
    <w:semiHidden/>
    <w:rsid w:val="00E271DA"/>
    <w:rPr>
      <w:sz w:val="16"/>
      <w:szCs w:val="16"/>
    </w:rPr>
  </w:style>
  <w:style w:type="paragraph" w:styleId="Textocomentario">
    <w:name w:val="annotation text"/>
    <w:basedOn w:val="Normal"/>
    <w:link w:val="TextocomentarioCar"/>
    <w:semiHidden/>
    <w:rsid w:val="00E271DA"/>
    <w:pPr>
      <w:jc w:val="left"/>
    </w:pPr>
    <w:rPr>
      <w:rFonts w:ascii="Times New Roman" w:hAnsi="Times New Roman"/>
      <w:sz w:val="20"/>
      <w:szCs w:val="20"/>
    </w:rPr>
  </w:style>
  <w:style w:type="character" w:customStyle="1" w:styleId="TextocomentarioCar">
    <w:name w:val="Texto comentario Car"/>
    <w:basedOn w:val="Fuentedeprrafopredeter"/>
    <w:link w:val="Textocomentario"/>
    <w:rsid w:val="00E271DA"/>
    <w:rPr>
      <w:lang w:val="es-ES" w:eastAsia="es-ES" w:bidi="ar-SA"/>
    </w:rPr>
  </w:style>
  <w:style w:type="paragraph" w:styleId="Asuntodelcomentario">
    <w:name w:val="annotation subject"/>
    <w:basedOn w:val="Textocomentario"/>
    <w:next w:val="Textocomentario"/>
    <w:semiHidden/>
    <w:rsid w:val="00E271DA"/>
    <w:rPr>
      <w:b/>
      <w:bCs/>
    </w:rPr>
  </w:style>
  <w:style w:type="paragraph" w:customStyle="1" w:styleId="BodyText22">
    <w:name w:val="Body Text 22"/>
    <w:basedOn w:val="Normal"/>
    <w:semiHidden/>
    <w:rsid w:val="00E271DA"/>
    <w:pPr>
      <w:tabs>
        <w:tab w:val="left" w:pos="851"/>
      </w:tabs>
      <w:spacing w:line="360" w:lineRule="auto"/>
    </w:pPr>
    <w:rPr>
      <w:rFonts w:ascii="ZapfHumnst BT" w:hAnsi="ZapfHumnst BT" w:cs="ZapfHumnst BT"/>
      <w:b/>
      <w:bCs/>
      <w:sz w:val="24"/>
      <w:lang w:val="es-ES_tradnl"/>
    </w:rPr>
  </w:style>
  <w:style w:type="paragraph" w:customStyle="1" w:styleId="Estilotitulo3SinNegrita">
    <w:name w:val="Estilo titulo 3 + Sin Negrita"/>
    <w:basedOn w:val="titulo3"/>
    <w:semiHidden/>
    <w:rsid w:val="00E271DA"/>
  </w:style>
  <w:style w:type="paragraph" w:styleId="TDC5">
    <w:name w:val="toc 5"/>
    <w:basedOn w:val="Normal"/>
    <w:next w:val="Normal"/>
    <w:autoRedefine/>
    <w:uiPriority w:val="39"/>
    <w:semiHidden/>
    <w:rsid w:val="00E271DA"/>
    <w:pPr>
      <w:ind w:left="960"/>
      <w:jc w:val="left"/>
    </w:pPr>
    <w:rPr>
      <w:rFonts w:ascii="Times New Roman" w:hAnsi="Times New Roman"/>
      <w:sz w:val="18"/>
      <w:szCs w:val="18"/>
    </w:rPr>
  </w:style>
  <w:style w:type="paragraph" w:styleId="TDC6">
    <w:name w:val="toc 6"/>
    <w:basedOn w:val="Normal"/>
    <w:next w:val="Normal"/>
    <w:autoRedefine/>
    <w:uiPriority w:val="39"/>
    <w:semiHidden/>
    <w:rsid w:val="00E271DA"/>
    <w:pPr>
      <w:ind w:left="1200"/>
      <w:jc w:val="left"/>
    </w:pPr>
    <w:rPr>
      <w:rFonts w:ascii="Times New Roman" w:hAnsi="Times New Roman"/>
      <w:sz w:val="18"/>
      <w:szCs w:val="18"/>
    </w:rPr>
  </w:style>
  <w:style w:type="paragraph" w:styleId="TDC7">
    <w:name w:val="toc 7"/>
    <w:basedOn w:val="Normal"/>
    <w:next w:val="Normal"/>
    <w:autoRedefine/>
    <w:uiPriority w:val="39"/>
    <w:semiHidden/>
    <w:rsid w:val="00E271DA"/>
    <w:pPr>
      <w:ind w:left="1440"/>
      <w:jc w:val="left"/>
    </w:pPr>
    <w:rPr>
      <w:rFonts w:ascii="Times New Roman" w:hAnsi="Times New Roman"/>
      <w:sz w:val="18"/>
      <w:szCs w:val="18"/>
    </w:rPr>
  </w:style>
  <w:style w:type="paragraph" w:styleId="TDC8">
    <w:name w:val="toc 8"/>
    <w:basedOn w:val="Normal"/>
    <w:next w:val="Normal"/>
    <w:autoRedefine/>
    <w:uiPriority w:val="39"/>
    <w:semiHidden/>
    <w:rsid w:val="00E271DA"/>
    <w:pPr>
      <w:ind w:left="1680"/>
      <w:jc w:val="left"/>
    </w:pPr>
    <w:rPr>
      <w:rFonts w:ascii="Times New Roman" w:hAnsi="Times New Roman"/>
      <w:sz w:val="18"/>
      <w:szCs w:val="18"/>
    </w:rPr>
  </w:style>
  <w:style w:type="paragraph" w:styleId="TDC9">
    <w:name w:val="toc 9"/>
    <w:basedOn w:val="Normal"/>
    <w:next w:val="Normal"/>
    <w:autoRedefine/>
    <w:uiPriority w:val="39"/>
    <w:semiHidden/>
    <w:rsid w:val="00E271DA"/>
    <w:pPr>
      <w:ind w:left="1920"/>
      <w:jc w:val="left"/>
    </w:pPr>
    <w:rPr>
      <w:rFonts w:ascii="Times New Roman" w:hAnsi="Times New Roman"/>
      <w:sz w:val="18"/>
      <w:szCs w:val="18"/>
    </w:rPr>
  </w:style>
  <w:style w:type="paragraph" w:styleId="Prrafodelista">
    <w:name w:val="List Paragraph"/>
    <w:basedOn w:val="Normal"/>
    <w:uiPriority w:val="34"/>
    <w:qFormat/>
    <w:rsid w:val="00E271DA"/>
    <w:pPr>
      <w:ind w:left="720"/>
      <w:jc w:val="left"/>
    </w:pPr>
    <w:rPr>
      <w:rFonts w:ascii="Times New Roman" w:hAnsi="Times New Roman"/>
      <w:sz w:val="24"/>
    </w:rPr>
  </w:style>
  <w:style w:type="paragraph" w:customStyle="1" w:styleId="xl27">
    <w:name w:val="xl27"/>
    <w:basedOn w:val="Normal"/>
    <w:semiHidden/>
    <w:rsid w:val="00E271DA"/>
    <w:pPr>
      <w:pBdr>
        <w:right w:val="single" w:sz="4" w:space="0" w:color="auto"/>
      </w:pBdr>
      <w:spacing w:before="100" w:beforeAutospacing="1" w:after="100" w:afterAutospacing="1"/>
      <w:textAlignment w:val="top"/>
    </w:pPr>
    <w:rPr>
      <w:rFonts w:ascii="Times New Roman" w:eastAsia="Arial Unicode MS" w:hAnsi="Times New Roman"/>
      <w:sz w:val="24"/>
    </w:rPr>
  </w:style>
  <w:style w:type="numbering" w:styleId="111111">
    <w:name w:val="Outline List 2"/>
    <w:basedOn w:val="Sinlista"/>
    <w:semiHidden/>
    <w:unhideWhenUsed/>
    <w:rsid w:val="00E271DA"/>
    <w:pPr>
      <w:numPr>
        <w:numId w:val="3"/>
      </w:numPr>
    </w:pPr>
  </w:style>
  <w:style w:type="paragraph" w:styleId="Sinespaciado">
    <w:name w:val="No Spacing"/>
    <w:qFormat/>
    <w:rsid w:val="00E271DA"/>
    <w:rPr>
      <w:rFonts w:ascii="Arial" w:eastAsia="Calibri" w:hAnsi="Arial" w:cs="Arial"/>
      <w:sz w:val="24"/>
      <w:szCs w:val="24"/>
      <w:lang w:val="es-ES" w:eastAsia="en-US"/>
    </w:rPr>
  </w:style>
  <w:style w:type="character" w:customStyle="1" w:styleId="textocuerpo1">
    <w:name w:val="textocuerpo1"/>
    <w:basedOn w:val="Fuentedeprrafopredeter"/>
    <w:semiHidden/>
    <w:rsid w:val="00E271DA"/>
    <w:rPr>
      <w:rFonts w:ascii="Verdana" w:hAnsi="Verdana" w:hint="default"/>
      <w:color w:val="555555"/>
      <w:sz w:val="16"/>
      <w:szCs w:val="16"/>
    </w:rPr>
  </w:style>
  <w:style w:type="character" w:customStyle="1" w:styleId="textoformulario1">
    <w:name w:val="texto_formulario1"/>
    <w:basedOn w:val="Fuentedeprrafopredeter"/>
    <w:semiHidden/>
    <w:rsid w:val="00E271DA"/>
    <w:rPr>
      <w:rFonts w:ascii="Arial" w:hAnsi="Arial" w:cs="Arial" w:hint="default"/>
      <w:b w:val="0"/>
      <w:bCs w:val="0"/>
      <w:i w:val="0"/>
      <w:iCs w:val="0"/>
      <w:smallCaps w:val="0"/>
      <w:color w:val="666666"/>
      <w:sz w:val="28"/>
      <w:szCs w:val="28"/>
    </w:rPr>
  </w:style>
  <w:style w:type="character" w:customStyle="1" w:styleId="Linea">
    <w:name w:val="Linea"/>
    <w:basedOn w:val="Fuentedeprrafopredeter"/>
    <w:semiHidden/>
    <w:rsid w:val="00E271DA"/>
    <w:rPr>
      <w:rFonts w:cs="Times New Roman"/>
    </w:rPr>
  </w:style>
  <w:style w:type="paragraph" w:customStyle="1" w:styleId="Encabezadodetda">
    <w:name w:val="Encabezado de tda"/>
    <w:basedOn w:val="Normal"/>
    <w:semiHidden/>
    <w:rsid w:val="00E271DA"/>
    <w:pPr>
      <w:widowControl w:val="0"/>
      <w:tabs>
        <w:tab w:val="right" w:pos="9360"/>
      </w:tabs>
      <w:suppressAutoHyphens/>
    </w:pPr>
    <w:rPr>
      <w:rFonts w:ascii="Courier New" w:hAnsi="Courier New"/>
      <w:szCs w:val="20"/>
      <w:lang w:val="en-US"/>
    </w:rPr>
  </w:style>
  <w:style w:type="character" w:styleId="nfasis">
    <w:name w:val="Emphasis"/>
    <w:basedOn w:val="Fuentedeprrafopredeter"/>
    <w:qFormat/>
    <w:rsid w:val="00E271DA"/>
    <w:rPr>
      <w:i/>
      <w:iCs/>
    </w:rPr>
  </w:style>
  <w:style w:type="character" w:customStyle="1" w:styleId="Ttulo1CarCar">
    <w:name w:val="Título 1 Car Car"/>
    <w:basedOn w:val="Fuentedeprrafopredeter"/>
    <w:semiHidden/>
    <w:locked/>
    <w:rsid w:val="00A168D5"/>
    <w:rPr>
      <w:rFonts w:ascii="Arial" w:hAnsi="Arial" w:cs="Arial"/>
      <w:b/>
      <w:bCs/>
      <w:kern w:val="32"/>
      <w:sz w:val="22"/>
      <w:szCs w:val="32"/>
      <w:lang w:val="es-ES" w:eastAsia="es-ES" w:bidi="ar-SA"/>
    </w:rPr>
  </w:style>
  <w:style w:type="character" w:customStyle="1" w:styleId="Ttulo2CarCar">
    <w:name w:val="Título 2 Car Car"/>
    <w:basedOn w:val="Fuentedeprrafopredeter"/>
    <w:semiHidden/>
    <w:rsid w:val="00A168D5"/>
    <w:rPr>
      <w:rFonts w:ascii="Arial" w:hAnsi="Arial"/>
      <w:b/>
      <w:bCs/>
      <w:sz w:val="22"/>
      <w:szCs w:val="22"/>
      <w:lang w:val="es-ES" w:eastAsia="es-ES" w:bidi="ar-SA"/>
    </w:rPr>
  </w:style>
  <w:style w:type="character" w:customStyle="1" w:styleId="Heading3Char">
    <w:name w:val="Heading 3 Char"/>
    <w:basedOn w:val="Fuentedeprrafopredeter"/>
    <w:semiHidden/>
    <w:locked/>
    <w:rsid w:val="00A168D5"/>
    <w:rPr>
      <w:rFonts w:ascii="Arial" w:hAnsi="Arial" w:cs="Arial"/>
      <w:b/>
      <w:bCs/>
      <w:sz w:val="22"/>
      <w:szCs w:val="26"/>
      <w:lang w:val="es-ES" w:eastAsia="es-ES" w:bidi="ar-SA"/>
    </w:rPr>
  </w:style>
  <w:style w:type="character" w:customStyle="1" w:styleId="Heading4Char">
    <w:name w:val="Heading 4 Char"/>
    <w:basedOn w:val="Fuentedeprrafopredeter"/>
    <w:semiHidden/>
    <w:locked/>
    <w:rsid w:val="00A168D5"/>
    <w:rPr>
      <w:rFonts w:ascii="Arial" w:hAnsi="Arial"/>
      <w:bCs/>
      <w:sz w:val="22"/>
      <w:szCs w:val="28"/>
      <w:lang w:val="es-ES" w:eastAsia="es-ES" w:bidi="ar-SA"/>
    </w:rPr>
  </w:style>
  <w:style w:type="character" w:customStyle="1" w:styleId="Ttulo5CarCar">
    <w:name w:val="Título 5 Car Car"/>
    <w:basedOn w:val="Fuentedeprrafopredeter"/>
    <w:semiHidden/>
    <w:locked/>
    <w:rsid w:val="00A168D5"/>
    <w:rPr>
      <w:rFonts w:ascii="Arial" w:hAnsi="Arial"/>
      <w:b/>
      <w:bCs/>
      <w:iCs/>
      <w:sz w:val="22"/>
      <w:szCs w:val="26"/>
      <w:lang w:val="es-ES" w:eastAsia="es-ES" w:bidi="ar-SA"/>
    </w:rPr>
  </w:style>
  <w:style w:type="character" w:customStyle="1" w:styleId="Ttulo6CarCar">
    <w:name w:val="Título 6 Car Car"/>
    <w:basedOn w:val="Fuentedeprrafopredeter"/>
    <w:semiHidden/>
    <w:locked/>
    <w:rsid w:val="00A168D5"/>
    <w:rPr>
      <w:rFonts w:ascii="Arial" w:hAnsi="Arial"/>
      <w:b/>
      <w:iCs/>
      <w:sz w:val="22"/>
      <w:szCs w:val="22"/>
      <w:lang w:val="es-ES" w:eastAsia="es-ES" w:bidi="ar-SA"/>
    </w:rPr>
  </w:style>
  <w:style w:type="character" w:customStyle="1" w:styleId="Ttulo7CarCar">
    <w:name w:val="Título 7 Car Car"/>
    <w:basedOn w:val="Fuentedeprrafopredeter"/>
    <w:semiHidden/>
    <w:locked/>
    <w:rsid w:val="00A168D5"/>
    <w:rPr>
      <w:rFonts w:ascii="Arial" w:hAnsi="Arial"/>
      <w:b/>
      <w:sz w:val="22"/>
      <w:szCs w:val="24"/>
      <w:lang w:val="es-ES" w:eastAsia="es-ES" w:bidi="ar-SA"/>
    </w:rPr>
  </w:style>
  <w:style w:type="character" w:customStyle="1" w:styleId="HeaderChar">
    <w:name w:val="Header Char"/>
    <w:basedOn w:val="Fuentedeprrafopredeter"/>
    <w:semiHidden/>
    <w:locked/>
    <w:rsid w:val="00A168D5"/>
    <w:rPr>
      <w:rFonts w:ascii="Arial" w:hAnsi="Arial"/>
      <w:sz w:val="22"/>
      <w:szCs w:val="24"/>
      <w:lang w:val="es-ES" w:eastAsia="es-ES" w:bidi="ar-SA"/>
    </w:rPr>
  </w:style>
  <w:style w:type="character" w:customStyle="1" w:styleId="FooterChar">
    <w:name w:val="Footer Char"/>
    <w:basedOn w:val="Fuentedeprrafopredeter"/>
    <w:semiHidden/>
    <w:locked/>
    <w:rsid w:val="00A168D5"/>
    <w:rPr>
      <w:rFonts w:ascii="Arial" w:hAnsi="Arial"/>
      <w:sz w:val="22"/>
      <w:szCs w:val="24"/>
      <w:lang w:val="es-ES" w:eastAsia="es-ES" w:bidi="ar-SA"/>
    </w:rPr>
  </w:style>
  <w:style w:type="character" w:customStyle="1" w:styleId="BodyTextIndentChar">
    <w:name w:val="Body Text Indent Char"/>
    <w:basedOn w:val="Fuentedeprrafopredeter"/>
    <w:semiHidden/>
    <w:locked/>
    <w:rsid w:val="00A168D5"/>
    <w:rPr>
      <w:rFonts w:ascii="Arial" w:hAnsi="Arial"/>
      <w:sz w:val="22"/>
      <w:szCs w:val="24"/>
      <w:lang w:val="es-ES" w:eastAsia="es-ES" w:bidi="ar-SA"/>
    </w:rPr>
  </w:style>
  <w:style w:type="character" w:customStyle="1" w:styleId="BodyTextChar">
    <w:name w:val="Body Text Char"/>
    <w:basedOn w:val="Fuentedeprrafopredeter"/>
    <w:semiHidden/>
    <w:locked/>
    <w:rsid w:val="00A168D5"/>
    <w:rPr>
      <w:rFonts w:eastAsia="Calibri"/>
      <w:sz w:val="24"/>
      <w:szCs w:val="24"/>
      <w:lang w:val="es-ES" w:eastAsia="es-ES" w:bidi="ar-SA"/>
    </w:rPr>
  </w:style>
  <w:style w:type="character" w:customStyle="1" w:styleId="BodyText3Char">
    <w:name w:val="Body Text 3 Char"/>
    <w:basedOn w:val="Fuentedeprrafopredeter"/>
    <w:semiHidden/>
    <w:locked/>
    <w:rsid w:val="00A168D5"/>
    <w:rPr>
      <w:rFonts w:eastAsia="Calibri"/>
      <w:sz w:val="16"/>
      <w:szCs w:val="16"/>
      <w:lang w:val="es-ES" w:eastAsia="es-ES" w:bidi="ar-SA"/>
    </w:rPr>
  </w:style>
  <w:style w:type="character" w:customStyle="1" w:styleId="BalloonTextChar">
    <w:name w:val="Balloon Text Char"/>
    <w:basedOn w:val="Fuentedeprrafopredeter"/>
    <w:semiHidden/>
    <w:locked/>
    <w:rsid w:val="00A168D5"/>
    <w:rPr>
      <w:rFonts w:ascii="Tahoma" w:eastAsia="Calibri" w:hAnsi="Tahoma" w:cs="Tahoma"/>
      <w:sz w:val="16"/>
      <w:szCs w:val="16"/>
      <w:lang w:val="es-ES" w:eastAsia="es-ES" w:bidi="ar-SA"/>
    </w:rPr>
  </w:style>
  <w:style w:type="character" w:customStyle="1" w:styleId="BodyTextIndent3Char">
    <w:name w:val="Body Text Indent 3 Char"/>
    <w:basedOn w:val="Fuentedeprrafopredeter"/>
    <w:semiHidden/>
    <w:locked/>
    <w:rsid w:val="00A168D5"/>
    <w:rPr>
      <w:rFonts w:eastAsia="Calibri"/>
      <w:sz w:val="16"/>
      <w:szCs w:val="16"/>
      <w:lang w:val="es-ES" w:eastAsia="es-ES" w:bidi="ar-SA"/>
    </w:rPr>
  </w:style>
  <w:style w:type="character" w:customStyle="1" w:styleId="BodyTextIndent2Char">
    <w:name w:val="Body Text Indent 2 Char"/>
    <w:basedOn w:val="Fuentedeprrafopredeter"/>
    <w:semiHidden/>
    <w:locked/>
    <w:rsid w:val="00A168D5"/>
    <w:rPr>
      <w:rFonts w:eastAsia="Calibri"/>
      <w:sz w:val="24"/>
      <w:szCs w:val="24"/>
      <w:lang w:val="es-ES" w:eastAsia="es-ES" w:bidi="ar-SA"/>
    </w:rPr>
  </w:style>
  <w:style w:type="paragraph" w:customStyle="1" w:styleId="Cuadro">
    <w:name w:val="Cuadro"/>
    <w:basedOn w:val="Normal"/>
    <w:semiHidden/>
    <w:rsid w:val="00A168D5"/>
    <w:pPr>
      <w:widowControl w:val="0"/>
      <w:spacing w:before="40" w:after="40"/>
    </w:pPr>
    <w:rPr>
      <w:rFonts w:ascii="Times New Roman" w:eastAsia="Calibri" w:hAnsi="Times New Roman"/>
      <w:sz w:val="24"/>
      <w:szCs w:val="20"/>
      <w:lang w:val="es-CL"/>
    </w:rPr>
  </w:style>
  <w:style w:type="character" w:customStyle="1" w:styleId="Heading1Char">
    <w:name w:val="Heading 1 Char"/>
    <w:basedOn w:val="Fuentedeprrafopredeter"/>
    <w:semiHidden/>
    <w:locked/>
    <w:rsid w:val="000A1474"/>
    <w:rPr>
      <w:rFonts w:ascii="Cambria" w:hAnsi="Cambria" w:cs="Cambria"/>
      <w:b/>
      <w:bCs/>
      <w:color w:val="365F91"/>
      <w:sz w:val="28"/>
      <w:szCs w:val="28"/>
      <w:lang w:val="es-ES" w:eastAsia="es-ES"/>
    </w:rPr>
  </w:style>
  <w:style w:type="character" w:customStyle="1" w:styleId="Heading6Char">
    <w:name w:val="Heading 6 Char"/>
    <w:basedOn w:val="Fuentedeprrafopredeter"/>
    <w:semiHidden/>
    <w:locked/>
    <w:rsid w:val="000A1474"/>
    <w:rPr>
      <w:rFonts w:ascii="Arial" w:hAnsi="Arial" w:cs="Arial"/>
      <w:b/>
      <w:bCs/>
      <w:spacing w:val="-3"/>
      <w:sz w:val="24"/>
      <w:szCs w:val="24"/>
      <w:lang w:val="es-ES" w:eastAsia="es-ES"/>
    </w:rPr>
  </w:style>
  <w:style w:type="paragraph" w:customStyle="1" w:styleId="Prrafodelista1">
    <w:name w:val="Párrafo de lista1"/>
    <w:basedOn w:val="Normal"/>
    <w:semiHidden/>
    <w:rsid w:val="00BA1DFE"/>
    <w:pPr>
      <w:spacing w:after="200" w:line="276" w:lineRule="auto"/>
      <w:ind w:left="720"/>
      <w:jc w:val="left"/>
    </w:pPr>
    <w:rPr>
      <w:rFonts w:ascii="Calibri" w:hAnsi="Calibri" w:cs="Calibri"/>
      <w:szCs w:val="22"/>
      <w:lang w:val="es-CL" w:eastAsia="en-US"/>
    </w:rPr>
  </w:style>
  <w:style w:type="character" w:styleId="Textodelmarcadordeposicin">
    <w:name w:val="Placeholder Text"/>
    <w:basedOn w:val="Fuentedeprrafopredeter"/>
    <w:semiHidden/>
    <w:rsid w:val="00BA1DFE"/>
    <w:rPr>
      <w:rFonts w:cs="Times New Roman"/>
      <w:color w:val="808080"/>
    </w:rPr>
  </w:style>
  <w:style w:type="paragraph" w:customStyle="1" w:styleId="msonospacing0">
    <w:name w:val="msonospacing"/>
    <w:rsid w:val="00C45E03"/>
    <w:rPr>
      <w:rFonts w:ascii="Arial" w:eastAsia="Calibri" w:hAnsi="Arial"/>
      <w:sz w:val="22"/>
      <w:szCs w:val="22"/>
      <w:lang w:val="es-ES" w:eastAsia="en-US"/>
    </w:rPr>
  </w:style>
  <w:style w:type="character" w:customStyle="1" w:styleId="EpgrafeCar">
    <w:name w:val="Epígrafe Car"/>
    <w:basedOn w:val="Fuentedeprrafopredeter"/>
    <w:link w:val="Epgrafe"/>
    <w:rsid w:val="007C57BD"/>
    <w:rPr>
      <w:rFonts w:ascii="Arial" w:hAnsi="Arial"/>
      <w:b/>
      <w:bCs/>
      <w:sz w:val="22"/>
      <w:szCs w:val="22"/>
      <w:lang w:val="es-ES" w:eastAsia="es-E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1215">
      <w:bodyDiv w:val="1"/>
      <w:marLeft w:val="0"/>
      <w:marRight w:val="0"/>
      <w:marTop w:val="0"/>
      <w:marBottom w:val="0"/>
      <w:divBdr>
        <w:top w:val="none" w:sz="0" w:space="0" w:color="auto"/>
        <w:left w:val="none" w:sz="0" w:space="0" w:color="auto"/>
        <w:bottom w:val="none" w:sz="0" w:space="0" w:color="auto"/>
        <w:right w:val="none" w:sz="0" w:space="0" w:color="auto"/>
      </w:divBdr>
    </w:div>
    <w:div w:id="21908414">
      <w:bodyDiv w:val="1"/>
      <w:marLeft w:val="0"/>
      <w:marRight w:val="0"/>
      <w:marTop w:val="0"/>
      <w:marBottom w:val="0"/>
      <w:divBdr>
        <w:top w:val="none" w:sz="0" w:space="0" w:color="auto"/>
        <w:left w:val="none" w:sz="0" w:space="0" w:color="auto"/>
        <w:bottom w:val="none" w:sz="0" w:space="0" w:color="auto"/>
        <w:right w:val="none" w:sz="0" w:space="0" w:color="auto"/>
      </w:divBdr>
    </w:div>
    <w:div w:id="33965623">
      <w:bodyDiv w:val="1"/>
      <w:marLeft w:val="0"/>
      <w:marRight w:val="0"/>
      <w:marTop w:val="0"/>
      <w:marBottom w:val="0"/>
      <w:divBdr>
        <w:top w:val="none" w:sz="0" w:space="0" w:color="auto"/>
        <w:left w:val="none" w:sz="0" w:space="0" w:color="auto"/>
        <w:bottom w:val="none" w:sz="0" w:space="0" w:color="auto"/>
        <w:right w:val="none" w:sz="0" w:space="0" w:color="auto"/>
      </w:divBdr>
    </w:div>
    <w:div w:id="44958082">
      <w:bodyDiv w:val="1"/>
      <w:marLeft w:val="0"/>
      <w:marRight w:val="0"/>
      <w:marTop w:val="0"/>
      <w:marBottom w:val="0"/>
      <w:divBdr>
        <w:top w:val="none" w:sz="0" w:space="0" w:color="auto"/>
        <w:left w:val="none" w:sz="0" w:space="0" w:color="auto"/>
        <w:bottom w:val="none" w:sz="0" w:space="0" w:color="auto"/>
        <w:right w:val="none" w:sz="0" w:space="0" w:color="auto"/>
      </w:divBdr>
    </w:div>
    <w:div w:id="55978521">
      <w:bodyDiv w:val="1"/>
      <w:marLeft w:val="0"/>
      <w:marRight w:val="0"/>
      <w:marTop w:val="0"/>
      <w:marBottom w:val="0"/>
      <w:divBdr>
        <w:top w:val="none" w:sz="0" w:space="0" w:color="auto"/>
        <w:left w:val="none" w:sz="0" w:space="0" w:color="auto"/>
        <w:bottom w:val="none" w:sz="0" w:space="0" w:color="auto"/>
        <w:right w:val="none" w:sz="0" w:space="0" w:color="auto"/>
      </w:divBdr>
    </w:div>
    <w:div w:id="65810918">
      <w:bodyDiv w:val="1"/>
      <w:marLeft w:val="0"/>
      <w:marRight w:val="0"/>
      <w:marTop w:val="0"/>
      <w:marBottom w:val="0"/>
      <w:divBdr>
        <w:top w:val="none" w:sz="0" w:space="0" w:color="auto"/>
        <w:left w:val="none" w:sz="0" w:space="0" w:color="auto"/>
        <w:bottom w:val="none" w:sz="0" w:space="0" w:color="auto"/>
        <w:right w:val="none" w:sz="0" w:space="0" w:color="auto"/>
      </w:divBdr>
    </w:div>
    <w:div w:id="100338887">
      <w:bodyDiv w:val="1"/>
      <w:marLeft w:val="0"/>
      <w:marRight w:val="0"/>
      <w:marTop w:val="0"/>
      <w:marBottom w:val="0"/>
      <w:divBdr>
        <w:top w:val="none" w:sz="0" w:space="0" w:color="auto"/>
        <w:left w:val="none" w:sz="0" w:space="0" w:color="auto"/>
        <w:bottom w:val="none" w:sz="0" w:space="0" w:color="auto"/>
        <w:right w:val="none" w:sz="0" w:space="0" w:color="auto"/>
      </w:divBdr>
    </w:div>
    <w:div w:id="115759995">
      <w:bodyDiv w:val="1"/>
      <w:marLeft w:val="0"/>
      <w:marRight w:val="0"/>
      <w:marTop w:val="0"/>
      <w:marBottom w:val="0"/>
      <w:divBdr>
        <w:top w:val="none" w:sz="0" w:space="0" w:color="auto"/>
        <w:left w:val="none" w:sz="0" w:space="0" w:color="auto"/>
        <w:bottom w:val="none" w:sz="0" w:space="0" w:color="auto"/>
        <w:right w:val="none" w:sz="0" w:space="0" w:color="auto"/>
      </w:divBdr>
    </w:div>
    <w:div w:id="125978767">
      <w:bodyDiv w:val="1"/>
      <w:marLeft w:val="0"/>
      <w:marRight w:val="0"/>
      <w:marTop w:val="0"/>
      <w:marBottom w:val="0"/>
      <w:divBdr>
        <w:top w:val="none" w:sz="0" w:space="0" w:color="auto"/>
        <w:left w:val="none" w:sz="0" w:space="0" w:color="auto"/>
        <w:bottom w:val="none" w:sz="0" w:space="0" w:color="auto"/>
        <w:right w:val="none" w:sz="0" w:space="0" w:color="auto"/>
      </w:divBdr>
    </w:div>
    <w:div w:id="131102608">
      <w:bodyDiv w:val="1"/>
      <w:marLeft w:val="0"/>
      <w:marRight w:val="0"/>
      <w:marTop w:val="0"/>
      <w:marBottom w:val="0"/>
      <w:divBdr>
        <w:top w:val="none" w:sz="0" w:space="0" w:color="auto"/>
        <w:left w:val="none" w:sz="0" w:space="0" w:color="auto"/>
        <w:bottom w:val="none" w:sz="0" w:space="0" w:color="auto"/>
        <w:right w:val="none" w:sz="0" w:space="0" w:color="auto"/>
      </w:divBdr>
    </w:div>
    <w:div w:id="135343053">
      <w:bodyDiv w:val="1"/>
      <w:marLeft w:val="0"/>
      <w:marRight w:val="0"/>
      <w:marTop w:val="0"/>
      <w:marBottom w:val="0"/>
      <w:divBdr>
        <w:top w:val="none" w:sz="0" w:space="0" w:color="auto"/>
        <w:left w:val="none" w:sz="0" w:space="0" w:color="auto"/>
        <w:bottom w:val="none" w:sz="0" w:space="0" w:color="auto"/>
        <w:right w:val="none" w:sz="0" w:space="0" w:color="auto"/>
      </w:divBdr>
    </w:div>
    <w:div w:id="137578736">
      <w:bodyDiv w:val="1"/>
      <w:marLeft w:val="0"/>
      <w:marRight w:val="0"/>
      <w:marTop w:val="0"/>
      <w:marBottom w:val="0"/>
      <w:divBdr>
        <w:top w:val="none" w:sz="0" w:space="0" w:color="auto"/>
        <w:left w:val="none" w:sz="0" w:space="0" w:color="auto"/>
        <w:bottom w:val="none" w:sz="0" w:space="0" w:color="auto"/>
        <w:right w:val="none" w:sz="0" w:space="0" w:color="auto"/>
      </w:divBdr>
    </w:div>
    <w:div w:id="140581353">
      <w:bodyDiv w:val="1"/>
      <w:marLeft w:val="0"/>
      <w:marRight w:val="0"/>
      <w:marTop w:val="0"/>
      <w:marBottom w:val="0"/>
      <w:divBdr>
        <w:top w:val="none" w:sz="0" w:space="0" w:color="auto"/>
        <w:left w:val="none" w:sz="0" w:space="0" w:color="auto"/>
        <w:bottom w:val="none" w:sz="0" w:space="0" w:color="auto"/>
        <w:right w:val="none" w:sz="0" w:space="0" w:color="auto"/>
      </w:divBdr>
    </w:div>
    <w:div w:id="163058793">
      <w:bodyDiv w:val="1"/>
      <w:marLeft w:val="0"/>
      <w:marRight w:val="0"/>
      <w:marTop w:val="0"/>
      <w:marBottom w:val="0"/>
      <w:divBdr>
        <w:top w:val="none" w:sz="0" w:space="0" w:color="auto"/>
        <w:left w:val="none" w:sz="0" w:space="0" w:color="auto"/>
        <w:bottom w:val="none" w:sz="0" w:space="0" w:color="auto"/>
        <w:right w:val="none" w:sz="0" w:space="0" w:color="auto"/>
      </w:divBdr>
    </w:div>
    <w:div w:id="167600418">
      <w:bodyDiv w:val="1"/>
      <w:marLeft w:val="0"/>
      <w:marRight w:val="0"/>
      <w:marTop w:val="0"/>
      <w:marBottom w:val="0"/>
      <w:divBdr>
        <w:top w:val="none" w:sz="0" w:space="0" w:color="auto"/>
        <w:left w:val="none" w:sz="0" w:space="0" w:color="auto"/>
        <w:bottom w:val="none" w:sz="0" w:space="0" w:color="auto"/>
        <w:right w:val="none" w:sz="0" w:space="0" w:color="auto"/>
      </w:divBdr>
    </w:div>
    <w:div w:id="170141047">
      <w:bodyDiv w:val="1"/>
      <w:marLeft w:val="0"/>
      <w:marRight w:val="0"/>
      <w:marTop w:val="0"/>
      <w:marBottom w:val="0"/>
      <w:divBdr>
        <w:top w:val="none" w:sz="0" w:space="0" w:color="auto"/>
        <w:left w:val="none" w:sz="0" w:space="0" w:color="auto"/>
        <w:bottom w:val="none" w:sz="0" w:space="0" w:color="auto"/>
        <w:right w:val="none" w:sz="0" w:space="0" w:color="auto"/>
      </w:divBdr>
    </w:div>
    <w:div w:id="180316445">
      <w:bodyDiv w:val="1"/>
      <w:marLeft w:val="0"/>
      <w:marRight w:val="0"/>
      <w:marTop w:val="0"/>
      <w:marBottom w:val="0"/>
      <w:divBdr>
        <w:top w:val="none" w:sz="0" w:space="0" w:color="auto"/>
        <w:left w:val="none" w:sz="0" w:space="0" w:color="auto"/>
        <w:bottom w:val="none" w:sz="0" w:space="0" w:color="auto"/>
        <w:right w:val="none" w:sz="0" w:space="0" w:color="auto"/>
      </w:divBdr>
    </w:div>
    <w:div w:id="185103097">
      <w:bodyDiv w:val="1"/>
      <w:marLeft w:val="0"/>
      <w:marRight w:val="0"/>
      <w:marTop w:val="0"/>
      <w:marBottom w:val="0"/>
      <w:divBdr>
        <w:top w:val="none" w:sz="0" w:space="0" w:color="auto"/>
        <w:left w:val="none" w:sz="0" w:space="0" w:color="auto"/>
        <w:bottom w:val="none" w:sz="0" w:space="0" w:color="auto"/>
        <w:right w:val="none" w:sz="0" w:space="0" w:color="auto"/>
      </w:divBdr>
    </w:div>
    <w:div w:id="188685860">
      <w:bodyDiv w:val="1"/>
      <w:marLeft w:val="0"/>
      <w:marRight w:val="0"/>
      <w:marTop w:val="0"/>
      <w:marBottom w:val="0"/>
      <w:divBdr>
        <w:top w:val="none" w:sz="0" w:space="0" w:color="auto"/>
        <w:left w:val="none" w:sz="0" w:space="0" w:color="auto"/>
        <w:bottom w:val="none" w:sz="0" w:space="0" w:color="auto"/>
        <w:right w:val="none" w:sz="0" w:space="0" w:color="auto"/>
      </w:divBdr>
    </w:div>
    <w:div w:id="212231023">
      <w:bodyDiv w:val="1"/>
      <w:marLeft w:val="0"/>
      <w:marRight w:val="0"/>
      <w:marTop w:val="0"/>
      <w:marBottom w:val="0"/>
      <w:divBdr>
        <w:top w:val="none" w:sz="0" w:space="0" w:color="auto"/>
        <w:left w:val="none" w:sz="0" w:space="0" w:color="auto"/>
        <w:bottom w:val="none" w:sz="0" w:space="0" w:color="auto"/>
        <w:right w:val="none" w:sz="0" w:space="0" w:color="auto"/>
      </w:divBdr>
    </w:div>
    <w:div w:id="215553963">
      <w:bodyDiv w:val="1"/>
      <w:marLeft w:val="0"/>
      <w:marRight w:val="0"/>
      <w:marTop w:val="0"/>
      <w:marBottom w:val="0"/>
      <w:divBdr>
        <w:top w:val="none" w:sz="0" w:space="0" w:color="auto"/>
        <w:left w:val="none" w:sz="0" w:space="0" w:color="auto"/>
        <w:bottom w:val="none" w:sz="0" w:space="0" w:color="auto"/>
        <w:right w:val="none" w:sz="0" w:space="0" w:color="auto"/>
      </w:divBdr>
    </w:div>
    <w:div w:id="227231299">
      <w:bodyDiv w:val="1"/>
      <w:marLeft w:val="0"/>
      <w:marRight w:val="0"/>
      <w:marTop w:val="0"/>
      <w:marBottom w:val="0"/>
      <w:divBdr>
        <w:top w:val="none" w:sz="0" w:space="0" w:color="auto"/>
        <w:left w:val="none" w:sz="0" w:space="0" w:color="auto"/>
        <w:bottom w:val="none" w:sz="0" w:space="0" w:color="auto"/>
        <w:right w:val="none" w:sz="0" w:space="0" w:color="auto"/>
      </w:divBdr>
    </w:div>
    <w:div w:id="231161992">
      <w:bodyDiv w:val="1"/>
      <w:marLeft w:val="0"/>
      <w:marRight w:val="0"/>
      <w:marTop w:val="0"/>
      <w:marBottom w:val="0"/>
      <w:divBdr>
        <w:top w:val="none" w:sz="0" w:space="0" w:color="auto"/>
        <w:left w:val="none" w:sz="0" w:space="0" w:color="auto"/>
        <w:bottom w:val="none" w:sz="0" w:space="0" w:color="auto"/>
        <w:right w:val="none" w:sz="0" w:space="0" w:color="auto"/>
      </w:divBdr>
    </w:div>
    <w:div w:id="247232989">
      <w:bodyDiv w:val="1"/>
      <w:marLeft w:val="0"/>
      <w:marRight w:val="0"/>
      <w:marTop w:val="0"/>
      <w:marBottom w:val="0"/>
      <w:divBdr>
        <w:top w:val="none" w:sz="0" w:space="0" w:color="auto"/>
        <w:left w:val="none" w:sz="0" w:space="0" w:color="auto"/>
        <w:bottom w:val="none" w:sz="0" w:space="0" w:color="auto"/>
        <w:right w:val="none" w:sz="0" w:space="0" w:color="auto"/>
      </w:divBdr>
    </w:div>
    <w:div w:id="251009209">
      <w:bodyDiv w:val="1"/>
      <w:marLeft w:val="0"/>
      <w:marRight w:val="0"/>
      <w:marTop w:val="0"/>
      <w:marBottom w:val="0"/>
      <w:divBdr>
        <w:top w:val="none" w:sz="0" w:space="0" w:color="auto"/>
        <w:left w:val="none" w:sz="0" w:space="0" w:color="auto"/>
        <w:bottom w:val="none" w:sz="0" w:space="0" w:color="auto"/>
        <w:right w:val="none" w:sz="0" w:space="0" w:color="auto"/>
      </w:divBdr>
    </w:div>
    <w:div w:id="253636798">
      <w:bodyDiv w:val="1"/>
      <w:marLeft w:val="0"/>
      <w:marRight w:val="0"/>
      <w:marTop w:val="0"/>
      <w:marBottom w:val="0"/>
      <w:divBdr>
        <w:top w:val="none" w:sz="0" w:space="0" w:color="auto"/>
        <w:left w:val="none" w:sz="0" w:space="0" w:color="auto"/>
        <w:bottom w:val="none" w:sz="0" w:space="0" w:color="auto"/>
        <w:right w:val="none" w:sz="0" w:space="0" w:color="auto"/>
      </w:divBdr>
    </w:div>
    <w:div w:id="260575595">
      <w:bodyDiv w:val="1"/>
      <w:marLeft w:val="0"/>
      <w:marRight w:val="0"/>
      <w:marTop w:val="0"/>
      <w:marBottom w:val="0"/>
      <w:divBdr>
        <w:top w:val="none" w:sz="0" w:space="0" w:color="auto"/>
        <w:left w:val="none" w:sz="0" w:space="0" w:color="auto"/>
        <w:bottom w:val="none" w:sz="0" w:space="0" w:color="auto"/>
        <w:right w:val="none" w:sz="0" w:space="0" w:color="auto"/>
      </w:divBdr>
    </w:div>
    <w:div w:id="275140840">
      <w:bodyDiv w:val="1"/>
      <w:marLeft w:val="0"/>
      <w:marRight w:val="0"/>
      <w:marTop w:val="0"/>
      <w:marBottom w:val="0"/>
      <w:divBdr>
        <w:top w:val="none" w:sz="0" w:space="0" w:color="auto"/>
        <w:left w:val="none" w:sz="0" w:space="0" w:color="auto"/>
        <w:bottom w:val="none" w:sz="0" w:space="0" w:color="auto"/>
        <w:right w:val="none" w:sz="0" w:space="0" w:color="auto"/>
      </w:divBdr>
    </w:div>
    <w:div w:id="284585488">
      <w:bodyDiv w:val="1"/>
      <w:marLeft w:val="0"/>
      <w:marRight w:val="0"/>
      <w:marTop w:val="0"/>
      <w:marBottom w:val="0"/>
      <w:divBdr>
        <w:top w:val="none" w:sz="0" w:space="0" w:color="auto"/>
        <w:left w:val="none" w:sz="0" w:space="0" w:color="auto"/>
        <w:bottom w:val="none" w:sz="0" w:space="0" w:color="auto"/>
        <w:right w:val="none" w:sz="0" w:space="0" w:color="auto"/>
      </w:divBdr>
    </w:div>
    <w:div w:id="299461695">
      <w:bodyDiv w:val="1"/>
      <w:marLeft w:val="0"/>
      <w:marRight w:val="0"/>
      <w:marTop w:val="0"/>
      <w:marBottom w:val="0"/>
      <w:divBdr>
        <w:top w:val="none" w:sz="0" w:space="0" w:color="auto"/>
        <w:left w:val="none" w:sz="0" w:space="0" w:color="auto"/>
        <w:bottom w:val="none" w:sz="0" w:space="0" w:color="auto"/>
        <w:right w:val="none" w:sz="0" w:space="0" w:color="auto"/>
      </w:divBdr>
    </w:div>
    <w:div w:id="317268108">
      <w:bodyDiv w:val="1"/>
      <w:marLeft w:val="0"/>
      <w:marRight w:val="0"/>
      <w:marTop w:val="0"/>
      <w:marBottom w:val="0"/>
      <w:divBdr>
        <w:top w:val="none" w:sz="0" w:space="0" w:color="auto"/>
        <w:left w:val="none" w:sz="0" w:space="0" w:color="auto"/>
        <w:bottom w:val="none" w:sz="0" w:space="0" w:color="auto"/>
        <w:right w:val="none" w:sz="0" w:space="0" w:color="auto"/>
      </w:divBdr>
    </w:div>
    <w:div w:id="324363527">
      <w:bodyDiv w:val="1"/>
      <w:marLeft w:val="0"/>
      <w:marRight w:val="0"/>
      <w:marTop w:val="0"/>
      <w:marBottom w:val="0"/>
      <w:divBdr>
        <w:top w:val="none" w:sz="0" w:space="0" w:color="auto"/>
        <w:left w:val="none" w:sz="0" w:space="0" w:color="auto"/>
        <w:bottom w:val="none" w:sz="0" w:space="0" w:color="auto"/>
        <w:right w:val="none" w:sz="0" w:space="0" w:color="auto"/>
      </w:divBdr>
    </w:div>
    <w:div w:id="325129719">
      <w:bodyDiv w:val="1"/>
      <w:marLeft w:val="0"/>
      <w:marRight w:val="0"/>
      <w:marTop w:val="0"/>
      <w:marBottom w:val="0"/>
      <w:divBdr>
        <w:top w:val="none" w:sz="0" w:space="0" w:color="auto"/>
        <w:left w:val="none" w:sz="0" w:space="0" w:color="auto"/>
        <w:bottom w:val="none" w:sz="0" w:space="0" w:color="auto"/>
        <w:right w:val="none" w:sz="0" w:space="0" w:color="auto"/>
      </w:divBdr>
    </w:div>
    <w:div w:id="327559058">
      <w:bodyDiv w:val="1"/>
      <w:marLeft w:val="0"/>
      <w:marRight w:val="0"/>
      <w:marTop w:val="0"/>
      <w:marBottom w:val="0"/>
      <w:divBdr>
        <w:top w:val="none" w:sz="0" w:space="0" w:color="auto"/>
        <w:left w:val="none" w:sz="0" w:space="0" w:color="auto"/>
        <w:bottom w:val="none" w:sz="0" w:space="0" w:color="auto"/>
        <w:right w:val="none" w:sz="0" w:space="0" w:color="auto"/>
      </w:divBdr>
    </w:div>
    <w:div w:id="338704587">
      <w:bodyDiv w:val="1"/>
      <w:marLeft w:val="0"/>
      <w:marRight w:val="0"/>
      <w:marTop w:val="0"/>
      <w:marBottom w:val="0"/>
      <w:divBdr>
        <w:top w:val="none" w:sz="0" w:space="0" w:color="auto"/>
        <w:left w:val="none" w:sz="0" w:space="0" w:color="auto"/>
        <w:bottom w:val="none" w:sz="0" w:space="0" w:color="auto"/>
        <w:right w:val="none" w:sz="0" w:space="0" w:color="auto"/>
      </w:divBdr>
    </w:div>
    <w:div w:id="344793115">
      <w:bodyDiv w:val="1"/>
      <w:marLeft w:val="0"/>
      <w:marRight w:val="0"/>
      <w:marTop w:val="0"/>
      <w:marBottom w:val="0"/>
      <w:divBdr>
        <w:top w:val="none" w:sz="0" w:space="0" w:color="auto"/>
        <w:left w:val="none" w:sz="0" w:space="0" w:color="auto"/>
        <w:bottom w:val="none" w:sz="0" w:space="0" w:color="auto"/>
        <w:right w:val="none" w:sz="0" w:space="0" w:color="auto"/>
      </w:divBdr>
    </w:div>
    <w:div w:id="352151739">
      <w:bodyDiv w:val="1"/>
      <w:marLeft w:val="0"/>
      <w:marRight w:val="0"/>
      <w:marTop w:val="0"/>
      <w:marBottom w:val="0"/>
      <w:divBdr>
        <w:top w:val="none" w:sz="0" w:space="0" w:color="auto"/>
        <w:left w:val="none" w:sz="0" w:space="0" w:color="auto"/>
        <w:bottom w:val="none" w:sz="0" w:space="0" w:color="auto"/>
        <w:right w:val="none" w:sz="0" w:space="0" w:color="auto"/>
      </w:divBdr>
    </w:div>
    <w:div w:id="356200120">
      <w:bodyDiv w:val="1"/>
      <w:marLeft w:val="0"/>
      <w:marRight w:val="0"/>
      <w:marTop w:val="0"/>
      <w:marBottom w:val="0"/>
      <w:divBdr>
        <w:top w:val="none" w:sz="0" w:space="0" w:color="auto"/>
        <w:left w:val="none" w:sz="0" w:space="0" w:color="auto"/>
        <w:bottom w:val="none" w:sz="0" w:space="0" w:color="auto"/>
        <w:right w:val="none" w:sz="0" w:space="0" w:color="auto"/>
      </w:divBdr>
    </w:div>
    <w:div w:id="363020518">
      <w:bodyDiv w:val="1"/>
      <w:marLeft w:val="0"/>
      <w:marRight w:val="0"/>
      <w:marTop w:val="0"/>
      <w:marBottom w:val="0"/>
      <w:divBdr>
        <w:top w:val="none" w:sz="0" w:space="0" w:color="auto"/>
        <w:left w:val="none" w:sz="0" w:space="0" w:color="auto"/>
        <w:bottom w:val="none" w:sz="0" w:space="0" w:color="auto"/>
        <w:right w:val="none" w:sz="0" w:space="0" w:color="auto"/>
      </w:divBdr>
    </w:div>
    <w:div w:id="399714251">
      <w:bodyDiv w:val="1"/>
      <w:marLeft w:val="0"/>
      <w:marRight w:val="0"/>
      <w:marTop w:val="0"/>
      <w:marBottom w:val="0"/>
      <w:divBdr>
        <w:top w:val="none" w:sz="0" w:space="0" w:color="auto"/>
        <w:left w:val="none" w:sz="0" w:space="0" w:color="auto"/>
        <w:bottom w:val="none" w:sz="0" w:space="0" w:color="auto"/>
        <w:right w:val="none" w:sz="0" w:space="0" w:color="auto"/>
      </w:divBdr>
    </w:div>
    <w:div w:id="421533819">
      <w:bodyDiv w:val="1"/>
      <w:marLeft w:val="0"/>
      <w:marRight w:val="0"/>
      <w:marTop w:val="0"/>
      <w:marBottom w:val="0"/>
      <w:divBdr>
        <w:top w:val="none" w:sz="0" w:space="0" w:color="auto"/>
        <w:left w:val="none" w:sz="0" w:space="0" w:color="auto"/>
        <w:bottom w:val="none" w:sz="0" w:space="0" w:color="auto"/>
        <w:right w:val="none" w:sz="0" w:space="0" w:color="auto"/>
      </w:divBdr>
    </w:div>
    <w:div w:id="433400408">
      <w:bodyDiv w:val="1"/>
      <w:marLeft w:val="0"/>
      <w:marRight w:val="0"/>
      <w:marTop w:val="0"/>
      <w:marBottom w:val="0"/>
      <w:divBdr>
        <w:top w:val="none" w:sz="0" w:space="0" w:color="auto"/>
        <w:left w:val="none" w:sz="0" w:space="0" w:color="auto"/>
        <w:bottom w:val="none" w:sz="0" w:space="0" w:color="auto"/>
        <w:right w:val="none" w:sz="0" w:space="0" w:color="auto"/>
      </w:divBdr>
    </w:div>
    <w:div w:id="444422394">
      <w:bodyDiv w:val="1"/>
      <w:marLeft w:val="0"/>
      <w:marRight w:val="0"/>
      <w:marTop w:val="0"/>
      <w:marBottom w:val="0"/>
      <w:divBdr>
        <w:top w:val="none" w:sz="0" w:space="0" w:color="auto"/>
        <w:left w:val="none" w:sz="0" w:space="0" w:color="auto"/>
        <w:bottom w:val="none" w:sz="0" w:space="0" w:color="auto"/>
        <w:right w:val="none" w:sz="0" w:space="0" w:color="auto"/>
      </w:divBdr>
    </w:div>
    <w:div w:id="444495601">
      <w:bodyDiv w:val="1"/>
      <w:marLeft w:val="0"/>
      <w:marRight w:val="0"/>
      <w:marTop w:val="0"/>
      <w:marBottom w:val="0"/>
      <w:divBdr>
        <w:top w:val="none" w:sz="0" w:space="0" w:color="auto"/>
        <w:left w:val="none" w:sz="0" w:space="0" w:color="auto"/>
        <w:bottom w:val="none" w:sz="0" w:space="0" w:color="auto"/>
        <w:right w:val="none" w:sz="0" w:space="0" w:color="auto"/>
      </w:divBdr>
    </w:div>
    <w:div w:id="470752647">
      <w:bodyDiv w:val="1"/>
      <w:marLeft w:val="0"/>
      <w:marRight w:val="0"/>
      <w:marTop w:val="0"/>
      <w:marBottom w:val="0"/>
      <w:divBdr>
        <w:top w:val="none" w:sz="0" w:space="0" w:color="auto"/>
        <w:left w:val="none" w:sz="0" w:space="0" w:color="auto"/>
        <w:bottom w:val="none" w:sz="0" w:space="0" w:color="auto"/>
        <w:right w:val="none" w:sz="0" w:space="0" w:color="auto"/>
      </w:divBdr>
    </w:div>
    <w:div w:id="473136831">
      <w:bodyDiv w:val="1"/>
      <w:marLeft w:val="0"/>
      <w:marRight w:val="0"/>
      <w:marTop w:val="0"/>
      <w:marBottom w:val="0"/>
      <w:divBdr>
        <w:top w:val="none" w:sz="0" w:space="0" w:color="auto"/>
        <w:left w:val="none" w:sz="0" w:space="0" w:color="auto"/>
        <w:bottom w:val="none" w:sz="0" w:space="0" w:color="auto"/>
        <w:right w:val="none" w:sz="0" w:space="0" w:color="auto"/>
      </w:divBdr>
    </w:div>
    <w:div w:id="473303005">
      <w:bodyDiv w:val="1"/>
      <w:marLeft w:val="0"/>
      <w:marRight w:val="0"/>
      <w:marTop w:val="0"/>
      <w:marBottom w:val="0"/>
      <w:divBdr>
        <w:top w:val="none" w:sz="0" w:space="0" w:color="auto"/>
        <w:left w:val="none" w:sz="0" w:space="0" w:color="auto"/>
        <w:bottom w:val="none" w:sz="0" w:space="0" w:color="auto"/>
        <w:right w:val="none" w:sz="0" w:space="0" w:color="auto"/>
      </w:divBdr>
    </w:div>
    <w:div w:id="473832499">
      <w:bodyDiv w:val="1"/>
      <w:marLeft w:val="0"/>
      <w:marRight w:val="0"/>
      <w:marTop w:val="0"/>
      <w:marBottom w:val="0"/>
      <w:divBdr>
        <w:top w:val="none" w:sz="0" w:space="0" w:color="auto"/>
        <w:left w:val="none" w:sz="0" w:space="0" w:color="auto"/>
        <w:bottom w:val="none" w:sz="0" w:space="0" w:color="auto"/>
        <w:right w:val="none" w:sz="0" w:space="0" w:color="auto"/>
      </w:divBdr>
    </w:div>
    <w:div w:id="497229996">
      <w:bodyDiv w:val="1"/>
      <w:marLeft w:val="0"/>
      <w:marRight w:val="0"/>
      <w:marTop w:val="0"/>
      <w:marBottom w:val="0"/>
      <w:divBdr>
        <w:top w:val="none" w:sz="0" w:space="0" w:color="auto"/>
        <w:left w:val="none" w:sz="0" w:space="0" w:color="auto"/>
        <w:bottom w:val="none" w:sz="0" w:space="0" w:color="auto"/>
        <w:right w:val="none" w:sz="0" w:space="0" w:color="auto"/>
      </w:divBdr>
    </w:div>
    <w:div w:id="507526739">
      <w:bodyDiv w:val="1"/>
      <w:marLeft w:val="0"/>
      <w:marRight w:val="0"/>
      <w:marTop w:val="0"/>
      <w:marBottom w:val="0"/>
      <w:divBdr>
        <w:top w:val="none" w:sz="0" w:space="0" w:color="auto"/>
        <w:left w:val="none" w:sz="0" w:space="0" w:color="auto"/>
        <w:bottom w:val="none" w:sz="0" w:space="0" w:color="auto"/>
        <w:right w:val="none" w:sz="0" w:space="0" w:color="auto"/>
      </w:divBdr>
    </w:div>
    <w:div w:id="523977483">
      <w:bodyDiv w:val="1"/>
      <w:marLeft w:val="0"/>
      <w:marRight w:val="0"/>
      <w:marTop w:val="0"/>
      <w:marBottom w:val="0"/>
      <w:divBdr>
        <w:top w:val="none" w:sz="0" w:space="0" w:color="auto"/>
        <w:left w:val="none" w:sz="0" w:space="0" w:color="auto"/>
        <w:bottom w:val="none" w:sz="0" w:space="0" w:color="auto"/>
        <w:right w:val="none" w:sz="0" w:space="0" w:color="auto"/>
      </w:divBdr>
    </w:div>
    <w:div w:id="539975993">
      <w:bodyDiv w:val="1"/>
      <w:marLeft w:val="0"/>
      <w:marRight w:val="0"/>
      <w:marTop w:val="0"/>
      <w:marBottom w:val="0"/>
      <w:divBdr>
        <w:top w:val="none" w:sz="0" w:space="0" w:color="auto"/>
        <w:left w:val="none" w:sz="0" w:space="0" w:color="auto"/>
        <w:bottom w:val="none" w:sz="0" w:space="0" w:color="auto"/>
        <w:right w:val="none" w:sz="0" w:space="0" w:color="auto"/>
      </w:divBdr>
    </w:div>
    <w:div w:id="547032921">
      <w:bodyDiv w:val="1"/>
      <w:marLeft w:val="0"/>
      <w:marRight w:val="0"/>
      <w:marTop w:val="0"/>
      <w:marBottom w:val="0"/>
      <w:divBdr>
        <w:top w:val="none" w:sz="0" w:space="0" w:color="auto"/>
        <w:left w:val="none" w:sz="0" w:space="0" w:color="auto"/>
        <w:bottom w:val="none" w:sz="0" w:space="0" w:color="auto"/>
        <w:right w:val="none" w:sz="0" w:space="0" w:color="auto"/>
      </w:divBdr>
    </w:div>
    <w:div w:id="554584300">
      <w:bodyDiv w:val="1"/>
      <w:marLeft w:val="0"/>
      <w:marRight w:val="0"/>
      <w:marTop w:val="0"/>
      <w:marBottom w:val="0"/>
      <w:divBdr>
        <w:top w:val="none" w:sz="0" w:space="0" w:color="auto"/>
        <w:left w:val="none" w:sz="0" w:space="0" w:color="auto"/>
        <w:bottom w:val="none" w:sz="0" w:space="0" w:color="auto"/>
        <w:right w:val="none" w:sz="0" w:space="0" w:color="auto"/>
      </w:divBdr>
    </w:div>
    <w:div w:id="559250620">
      <w:bodyDiv w:val="1"/>
      <w:marLeft w:val="0"/>
      <w:marRight w:val="0"/>
      <w:marTop w:val="0"/>
      <w:marBottom w:val="0"/>
      <w:divBdr>
        <w:top w:val="none" w:sz="0" w:space="0" w:color="auto"/>
        <w:left w:val="none" w:sz="0" w:space="0" w:color="auto"/>
        <w:bottom w:val="none" w:sz="0" w:space="0" w:color="auto"/>
        <w:right w:val="none" w:sz="0" w:space="0" w:color="auto"/>
      </w:divBdr>
    </w:div>
    <w:div w:id="561216636">
      <w:bodyDiv w:val="1"/>
      <w:marLeft w:val="0"/>
      <w:marRight w:val="0"/>
      <w:marTop w:val="0"/>
      <w:marBottom w:val="0"/>
      <w:divBdr>
        <w:top w:val="none" w:sz="0" w:space="0" w:color="auto"/>
        <w:left w:val="none" w:sz="0" w:space="0" w:color="auto"/>
        <w:bottom w:val="none" w:sz="0" w:space="0" w:color="auto"/>
        <w:right w:val="none" w:sz="0" w:space="0" w:color="auto"/>
      </w:divBdr>
    </w:div>
    <w:div w:id="566309182">
      <w:bodyDiv w:val="1"/>
      <w:marLeft w:val="0"/>
      <w:marRight w:val="0"/>
      <w:marTop w:val="0"/>
      <w:marBottom w:val="0"/>
      <w:divBdr>
        <w:top w:val="none" w:sz="0" w:space="0" w:color="auto"/>
        <w:left w:val="none" w:sz="0" w:space="0" w:color="auto"/>
        <w:bottom w:val="none" w:sz="0" w:space="0" w:color="auto"/>
        <w:right w:val="none" w:sz="0" w:space="0" w:color="auto"/>
      </w:divBdr>
    </w:div>
    <w:div w:id="569928357">
      <w:bodyDiv w:val="1"/>
      <w:marLeft w:val="0"/>
      <w:marRight w:val="0"/>
      <w:marTop w:val="0"/>
      <w:marBottom w:val="0"/>
      <w:divBdr>
        <w:top w:val="none" w:sz="0" w:space="0" w:color="auto"/>
        <w:left w:val="none" w:sz="0" w:space="0" w:color="auto"/>
        <w:bottom w:val="none" w:sz="0" w:space="0" w:color="auto"/>
        <w:right w:val="none" w:sz="0" w:space="0" w:color="auto"/>
      </w:divBdr>
    </w:div>
    <w:div w:id="576936580">
      <w:bodyDiv w:val="1"/>
      <w:marLeft w:val="0"/>
      <w:marRight w:val="0"/>
      <w:marTop w:val="0"/>
      <w:marBottom w:val="0"/>
      <w:divBdr>
        <w:top w:val="none" w:sz="0" w:space="0" w:color="auto"/>
        <w:left w:val="none" w:sz="0" w:space="0" w:color="auto"/>
        <w:bottom w:val="none" w:sz="0" w:space="0" w:color="auto"/>
        <w:right w:val="none" w:sz="0" w:space="0" w:color="auto"/>
      </w:divBdr>
    </w:div>
    <w:div w:id="580218102">
      <w:bodyDiv w:val="1"/>
      <w:marLeft w:val="0"/>
      <w:marRight w:val="0"/>
      <w:marTop w:val="0"/>
      <w:marBottom w:val="0"/>
      <w:divBdr>
        <w:top w:val="none" w:sz="0" w:space="0" w:color="auto"/>
        <w:left w:val="none" w:sz="0" w:space="0" w:color="auto"/>
        <w:bottom w:val="none" w:sz="0" w:space="0" w:color="auto"/>
        <w:right w:val="none" w:sz="0" w:space="0" w:color="auto"/>
      </w:divBdr>
    </w:div>
    <w:div w:id="583339993">
      <w:bodyDiv w:val="1"/>
      <w:marLeft w:val="0"/>
      <w:marRight w:val="0"/>
      <w:marTop w:val="0"/>
      <w:marBottom w:val="0"/>
      <w:divBdr>
        <w:top w:val="none" w:sz="0" w:space="0" w:color="auto"/>
        <w:left w:val="none" w:sz="0" w:space="0" w:color="auto"/>
        <w:bottom w:val="none" w:sz="0" w:space="0" w:color="auto"/>
        <w:right w:val="none" w:sz="0" w:space="0" w:color="auto"/>
      </w:divBdr>
    </w:div>
    <w:div w:id="588538133">
      <w:bodyDiv w:val="1"/>
      <w:marLeft w:val="0"/>
      <w:marRight w:val="0"/>
      <w:marTop w:val="0"/>
      <w:marBottom w:val="0"/>
      <w:divBdr>
        <w:top w:val="none" w:sz="0" w:space="0" w:color="auto"/>
        <w:left w:val="none" w:sz="0" w:space="0" w:color="auto"/>
        <w:bottom w:val="none" w:sz="0" w:space="0" w:color="auto"/>
        <w:right w:val="none" w:sz="0" w:space="0" w:color="auto"/>
      </w:divBdr>
    </w:div>
    <w:div w:id="592129383">
      <w:bodyDiv w:val="1"/>
      <w:marLeft w:val="0"/>
      <w:marRight w:val="0"/>
      <w:marTop w:val="0"/>
      <w:marBottom w:val="0"/>
      <w:divBdr>
        <w:top w:val="none" w:sz="0" w:space="0" w:color="auto"/>
        <w:left w:val="none" w:sz="0" w:space="0" w:color="auto"/>
        <w:bottom w:val="none" w:sz="0" w:space="0" w:color="auto"/>
        <w:right w:val="none" w:sz="0" w:space="0" w:color="auto"/>
      </w:divBdr>
    </w:div>
    <w:div w:id="600375325">
      <w:bodyDiv w:val="1"/>
      <w:marLeft w:val="0"/>
      <w:marRight w:val="0"/>
      <w:marTop w:val="0"/>
      <w:marBottom w:val="0"/>
      <w:divBdr>
        <w:top w:val="none" w:sz="0" w:space="0" w:color="auto"/>
        <w:left w:val="none" w:sz="0" w:space="0" w:color="auto"/>
        <w:bottom w:val="none" w:sz="0" w:space="0" w:color="auto"/>
        <w:right w:val="none" w:sz="0" w:space="0" w:color="auto"/>
      </w:divBdr>
    </w:div>
    <w:div w:id="610744088">
      <w:bodyDiv w:val="1"/>
      <w:marLeft w:val="0"/>
      <w:marRight w:val="0"/>
      <w:marTop w:val="0"/>
      <w:marBottom w:val="0"/>
      <w:divBdr>
        <w:top w:val="none" w:sz="0" w:space="0" w:color="auto"/>
        <w:left w:val="none" w:sz="0" w:space="0" w:color="auto"/>
        <w:bottom w:val="none" w:sz="0" w:space="0" w:color="auto"/>
        <w:right w:val="none" w:sz="0" w:space="0" w:color="auto"/>
      </w:divBdr>
    </w:div>
    <w:div w:id="627584939">
      <w:bodyDiv w:val="1"/>
      <w:marLeft w:val="0"/>
      <w:marRight w:val="0"/>
      <w:marTop w:val="0"/>
      <w:marBottom w:val="0"/>
      <w:divBdr>
        <w:top w:val="none" w:sz="0" w:space="0" w:color="auto"/>
        <w:left w:val="none" w:sz="0" w:space="0" w:color="auto"/>
        <w:bottom w:val="none" w:sz="0" w:space="0" w:color="auto"/>
        <w:right w:val="none" w:sz="0" w:space="0" w:color="auto"/>
      </w:divBdr>
    </w:div>
    <w:div w:id="638731296">
      <w:bodyDiv w:val="1"/>
      <w:marLeft w:val="0"/>
      <w:marRight w:val="0"/>
      <w:marTop w:val="0"/>
      <w:marBottom w:val="0"/>
      <w:divBdr>
        <w:top w:val="none" w:sz="0" w:space="0" w:color="auto"/>
        <w:left w:val="none" w:sz="0" w:space="0" w:color="auto"/>
        <w:bottom w:val="none" w:sz="0" w:space="0" w:color="auto"/>
        <w:right w:val="none" w:sz="0" w:space="0" w:color="auto"/>
      </w:divBdr>
    </w:div>
    <w:div w:id="639654040">
      <w:bodyDiv w:val="1"/>
      <w:marLeft w:val="0"/>
      <w:marRight w:val="0"/>
      <w:marTop w:val="0"/>
      <w:marBottom w:val="0"/>
      <w:divBdr>
        <w:top w:val="none" w:sz="0" w:space="0" w:color="auto"/>
        <w:left w:val="none" w:sz="0" w:space="0" w:color="auto"/>
        <w:bottom w:val="none" w:sz="0" w:space="0" w:color="auto"/>
        <w:right w:val="none" w:sz="0" w:space="0" w:color="auto"/>
      </w:divBdr>
    </w:div>
    <w:div w:id="643199992">
      <w:bodyDiv w:val="1"/>
      <w:marLeft w:val="0"/>
      <w:marRight w:val="0"/>
      <w:marTop w:val="0"/>
      <w:marBottom w:val="0"/>
      <w:divBdr>
        <w:top w:val="none" w:sz="0" w:space="0" w:color="auto"/>
        <w:left w:val="none" w:sz="0" w:space="0" w:color="auto"/>
        <w:bottom w:val="none" w:sz="0" w:space="0" w:color="auto"/>
        <w:right w:val="none" w:sz="0" w:space="0" w:color="auto"/>
      </w:divBdr>
    </w:div>
    <w:div w:id="644313270">
      <w:bodyDiv w:val="1"/>
      <w:marLeft w:val="0"/>
      <w:marRight w:val="0"/>
      <w:marTop w:val="0"/>
      <w:marBottom w:val="0"/>
      <w:divBdr>
        <w:top w:val="none" w:sz="0" w:space="0" w:color="auto"/>
        <w:left w:val="none" w:sz="0" w:space="0" w:color="auto"/>
        <w:bottom w:val="none" w:sz="0" w:space="0" w:color="auto"/>
        <w:right w:val="none" w:sz="0" w:space="0" w:color="auto"/>
      </w:divBdr>
    </w:div>
    <w:div w:id="656692688">
      <w:bodyDiv w:val="1"/>
      <w:marLeft w:val="0"/>
      <w:marRight w:val="0"/>
      <w:marTop w:val="0"/>
      <w:marBottom w:val="0"/>
      <w:divBdr>
        <w:top w:val="none" w:sz="0" w:space="0" w:color="auto"/>
        <w:left w:val="none" w:sz="0" w:space="0" w:color="auto"/>
        <w:bottom w:val="none" w:sz="0" w:space="0" w:color="auto"/>
        <w:right w:val="none" w:sz="0" w:space="0" w:color="auto"/>
      </w:divBdr>
    </w:div>
    <w:div w:id="673263391">
      <w:bodyDiv w:val="1"/>
      <w:marLeft w:val="0"/>
      <w:marRight w:val="0"/>
      <w:marTop w:val="0"/>
      <w:marBottom w:val="0"/>
      <w:divBdr>
        <w:top w:val="none" w:sz="0" w:space="0" w:color="auto"/>
        <w:left w:val="none" w:sz="0" w:space="0" w:color="auto"/>
        <w:bottom w:val="none" w:sz="0" w:space="0" w:color="auto"/>
        <w:right w:val="none" w:sz="0" w:space="0" w:color="auto"/>
      </w:divBdr>
    </w:div>
    <w:div w:id="676662101">
      <w:bodyDiv w:val="1"/>
      <w:marLeft w:val="0"/>
      <w:marRight w:val="0"/>
      <w:marTop w:val="0"/>
      <w:marBottom w:val="0"/>
      <w:divBdr>
        <w:top w:val="none" w:sz="0" w:space="0" w:color="auto"/>
        <w:left w:val="none" w:sz="0" w:space="0" w:color="auto"/>
        <w:bottom w:val="none" w:sz="0" w:space="0" w:color="auto"/>
        <w:right w:val="none" w:sz="0" w:space="0" w:color="auto"/>
      </w:divBdr>
    </w:div>
    <w:div w:id="700860106">
      <w:bodyDiv w:val="1"/>
      <w:marLeft w:val="0"/>
      <w:marRight w:val="0"/>
      <w:marTop w:val="0"/>
      <w:marBottom w:val="0"/>
      <w:divBdr>
        <w:top w:val="none" w:sz="0" w:space="0" w:color="auto"/>
        <w:left w:val="none" w:sz="0" w:space="0" w:color="auto"/>
        <w:bottom w:val="none" w:sz="0" w:space="0" w:color="auto"/>
        <w:right w:val="none" w:sz="0" w:space="0" w:color="auto"/>
      </w:divBdr>
    </w:div>
    <w:div w:id="702557338">
      <w:bodyDiv w:val="1"/>
      <w:marLeft w:val="0"/>
      <w:marRight w:val="0"/>
      <w:marTop w:val="0"/>
      <w:marBottom w:val="0"/>
      <w:divBdr>
        <w:top w:val="none" w:sz="0" w:space="0" w:color="auto"/>
        <w:left w:val="none" w:sz="0" w:space="0" w:color="auto"/>
        <w:bottom w:val="none" w:sz="0" w:space="0" w:color="auto"/>
        <w:right w:val="none" w:sz="0" w:space="0" w:color="auto"/>
      </w:divBdr>
    </w:div>
    <w:div w:id="733311452">
      <w:bodyDiv w:val="1"/>
      <w:marLeft w:val="0"/>
      <w:marRight w:val="0"/>
      <w:marTop w:val="0"/>
      <w:marBottom w:val="0"/>
      <w:divBdr>
        <w:top w:val="none" w:sz="0" w:space="0" w:color="auto"/>
        <w:left w:val="none" w:sz="0" w:space="0" w:color="auto"/>
        <w:bottom w:val="none" w:sz="0" w:space="0" w:color="auto"/>
        <w:right w:val="none" w:sz="0" w:space="0" w:color="auto"/>
      </w:divBdr>
    </w:div>
    <w:div w:id="735469109">
      <w:bodyDiv w:val="1"/>
      <w:marLeft w:val="0"/>
      <w:marRight w:val="0"/>
      <w:marTop w:val="0"/>
      <w:marBottom w:val="0"/>
      <w:divBdr>
        <w:top w:val="none" w:sz="0" w:space="0" w:color="auto"/>
        <w:left w:val="none" w:sz="0" w:space="0" w:color="auto"/>
        <w:bottom w:val="none" w:sz="0" w:space="0" w:color="auto"/>
        <w:right w:val="none" w:sz="0" w:space="0" w:color="auto"/>
      </w:divBdr>
    </w:div>
    <w:div w:id="741754927">
      <w:bodyDiv w:val="1"/>
      <w:marLeft w:val="0"/>
      <w:marRight w:val="0"/>
      <w:marTop w:val="0"/>
      <w:marBottom w:val="0"/>
      <w:divBdr>
        <w:top w:val="none" w:sz="0" w:space="0" w:color="auto"/>
        <w:left w:val="none" w:sz="0" w:space="0" w:color="auto"/>
        <w:bottom w:val="none" w:sz="0" w:space="0" w:color="auto"/>
        <w:right w:val="none" w:sz="0" w:space="0" w:color="auto"/>
      </w:divBdr>
    </w:div>
    <w:div w:id="746269717">
      <w:bodyDiv w:val="1"/>
      <w:marLeft w:val="0"/>
      <w:marRight w:val="0"/>
      <w:marTop w:val="0"/>
      <w:marBottom w:val="0"/>
      <w:divBdr>
        <w:top w:val="none" w:sz="0" w:space="0" w:color="auto"/>
        <w:left w:val="none" w:sz="0" w:space="0" w:color="auto"/>
        <w:bottom w:val="none" w:sz="0" w:space="0" w:color="auto"/>
        <w:right w:val="none" w:sz="0" w:space="0" w:color="auto"/>
      </w:divBdr>
    </w:div>
    <w:div w:id="751244307">
      <w:bodyDiv w:val="1"/>
      <w:marLeft w:val="0"/>
      <w:marRight w:val="0"/>
      <w:marTop w:val="0"/>
      <w:marBottom w:val="0"/>
      <w:divBdr>
        <w:top w:val="none" w:sz="0" w:space="0" w:color="auto"/>
        <w:left w:val="none" w:sz="0" w:space="0" w:color="auto"/>
        <w:bottom w:val="none" w:sz="0" w:space="0" w:color="auto"/>
        <w:right w:val="none" w:sz="0" w:space="0" w:color="auto"/>
      </w:divBdr>
    </w:div>
    <w:div w:id="752555195">
      <w:bodyDiv w:val="1"/>
      <w:marLeft w:val="0"/>
      <w:marRight w:val="0"/>
      <w:marTop w:val="0"/>
      <w:marBottom w:val="0"/>
      <w:divBdr>
        <w:top w:val="none" w:sz="0" w:space="0" w:color="auto"/>
        <w:left w:val="none" w:sz="0" w:space="0" w:color="auto"/>
        <w:bottom w:val="none" w:sz="0" w:space="0" w:color="auto"/>
        <w:right w:val="none" w:sz="0" w:space="0" w:color="auto"/>
      </w:divBdr>
    </w:div>
    <w:div w:id="765543915">
      <w:bodyDiv w:val="1"/>
      <w:marLeft w:val="0"/>
      <w:marRight w:val="0"/>
      <w:marTop w:val="0"/>
      <w:marBottom w:val="0"/>
      <w:divBdr>
        <w:top w:val="none" w:sz="0" w:space="0" w:color="auto"/>
        <w:left w:val="none" w:sz="0" w:space="0" w:color="auto"/>
        <w:bottom w:val="none" w:sz="0" w:space="0" w:color="auto"/>
        <w:right w:val="none" w:sz="0" w:space="0" w:color="auto"/>
      </w:divBdr>
    </w:div>
    <w:div w:id="791021453">
      <w:bodyDiv w:val="1"/>
      <w:marLeft w:val="0"/>
      <w:marRight w:val="0"/>
      <w:marTop w:val="0"/>
      <w:marBottom w:val="0"/>
      <w:divBdr>
        <w:top w:val="none" w:sz="0" w:space="0" w:color="auto"/>
        <w:left w:val="none" w:sz="0" w:space="0" w:color="auto"/>
        <w:bottom w:val="none" w:sz="0" w:space="0" w:color="auto"/>
        <w:right w:val="none" w:sz="0" w:space="0" w:color="auto"/>
      </w:divBdr>
    </w:div>
    <w:div w:id="794714406">
      <w:bodyDiv w:val="1"/>
      <w:marLeft w:val="0"/>
      <w:marRight w:val="0"/>
      <w:marTop w:val="0"/>
      <w:marBottom w:val="0"/>
      <w:divBdr>
        <w:top w:val="none" w:sz="0" w:space="0" w:color="auto"/>
        <w:left w:val="none" w:sz="0" w:space="0" w:color="auto"/>
        <w:bottom w:val="none" w:sz="0" w:space="0" w:color="auto"/>
        <w:right w:val="none" w:sz="0" w:space="0" w:color="auto"/>
      </w:divBdr>
    </w:div>
    <w:div w:id="797727858">
      <w:bodyDiv w:val="1"/>
      <w:marLeft w:val="0"/>
      <w:marRight w:val="0"/>
      <w:marTop w:val="0"/>
      <w:marBottom w:val="0"/>
      <w:divBdr>
        <w:top w:val="none" w:sz="0" w:space="0" w:color="auto"/>
        <w:left w:val="none" w:sz="0" w:space="0" w:color="auto"/>
        <w:bottom w:val="none" w:sz="0" w:space="0" w:color="auto"/>
        <w:right w:val="none" w:sz="0" w:space="0" w:color="auto"/>
      </w:divBdr>
    </w:div>
    <w:div w:id="810705942">
      <w:bodyDiv w:val="1"/>
      <w:marLeft w:val="0"/>
      <w:marRight w:val="0"/>
      <w:marTop w:val="0"/>
      <w:marBottom w:val="0"/>
      <w:divBdr>
        <w:top w:val="none" w:sz="0" w:space="0" w:color="auto"/>
        <w:left w:val="none" w:sz="0" w:space="0" w:color="auto"/>
        <w:bottom w:val="none" w:sz="0" w:space="0" w:color="auto"/>
        <w:right w:val="none" w:sz="0" w:space="0" w:color="auto"/>
      </w:divBdr>
    </w:div>
    <w:div w:id="814251642">
      <w:bodyDiv w:val="1"/>
      <w:marLeft w:val="0"/>
      <w:marRight w:val="0"/>
      <w:marTop w:val="0"/>
      <w:marBottom w:val="0"/>
      <w:divBdr>
        <w:top w:val="none" w:sz="0" w:space="0" w:color="auto"/>
        <w:left w:val="none" w:sz="0" w:space="0" w:color="auto"/>
        <w:bottom w:val="none" w:sz="0" w:space="0" w:color="auto"/>
        <w:right w:val="none" w:sz="0" w:space="0" w:color="auto"/>
      </w:divBdr>
    </w:div>
    <w:div w:id="828599890">
      <w:bodyDiv w:val="1"/>
      <w:marLeft w:val="0"/>
      <w:marRight w:val="0"/>
      <w:marTop w:val="0"/>
      <w:marBottom w:val="0"/>
      <w:divBdr>
        <w:top w:val="none" w:sz="0" w:space="0" w:color="auto"/>
        <w:left w:val="none" w:sz="0" w:space="0" w:color="auto"/>
        <w:bottom w:val="none" w:sz="0" w:space="0" w:color="auto"/>
        <w:right w:val="none" w:sz="0" w:space="0" w:color="auto"/>
      </w:divBdr>
    </w:div>
    <w:div w:id="858809514">
      <w:bodyDiv w:val="1"/>
      <w:marLeft w:val="0"/>
      <w:marRight w:val="0"/>
      <w:marTop w:val="0"/>
      <w:marBottom w:val="0"/>
      <w:divBdr>
        <w:top w:val="none" w:sz="0" w:space="0" w:color="auto"/>
        <w:left w:val="none" w:sz="0" w:space="0" w:color="auto"/>
        <w:bottom w:val="none" w:sz="0" w:space="0" w:color="auto"/>
        <w:right w:val="none" w:sz="0" w:space="0" w:color="auto"/>
      </w:divBdr>
    </w:div>
    <w:div w:id="871959083">
      <w:bodyDiv w:val="1"/>
      <w:marLeft w:val="0"/>
      <w:marRight w:val="0"/>
      <w:marTop w:val="0"/>
      <w:marBottom w:val="0"/>
      <w:divBdr>
        <w:top w:val="none" w:sz="0" w:space="0" w:color="auto"/>
        <w:left w:val="none" w:sz="0" w:space="0" w:color="auto"/>
        <w:bottom w:val="none" w:sz="0" w:space="0" w:color="auto"/>
        <w:right w:val="none" w:sz="0" w:space="0" w:color="auto"/>
      </w:divBdr>
    </w:div>
    <w:div w:id="877158250">
      <w:bodyDiv w:val="1"/>
      <w:marLeft w:val="0"/>
      <w:marRight w:val="0"/>
      <w:marTop w:val="0"/>
      <w:marBottom w:val="0"/>
      <w:divBdr>
        <w:top w:val="none" w:sz="0" w:space="0" w:color="auto"/>
        <w:left w:val="none" w:sz="0" w:space="0" w:color="auto"/>
        <w:bottom w:val="none" w:sz="0" w:space="0" w:color="auto"/>
        <w:right w:val="none" w:sz="0" w:space="0" w:color="auto"/>
      </w:divBdr>
    </w:div>
    <w:div w:id="878129777">
      <w:bodyDiv w:val="1"/>
      <w:marLeft w:val="0"/>
      <w:marRight w:val="0"/>
      <w:marTop w:val="0"/>
      <w:marBottom w:val="0"/>
      <w:divBdr>
        <w:top w:val="none" w:sz="0" w:space="0" w:color="auto"/>
        <w:left w:val="none" w:sz="0" w:space="0" w:color="auto"/>
        <w:bottom w:val="none" w:sz="0" w:space="0" w:color="auto"/>
        <w:right w:val="none" w:sz="0" w:space="0" w:color="auto"/>
      </w:divBdr>
    </w:div>
    <w:div w:id="878932131">
      <w:bodyDiv w:val="1"/>
      <w:marLeft w:val="0"/>
      <w:marRight w:val="0"/>
      <w:marTop w:val="0"/>
      <w:marBottom w:val="0"/>
      <w:divBdr>
        <w:top w:val="none" w:sz="0" w:space="0" w:color="auto"/>
        <w:left w:val="none" w:sz="0" w:space="0" w:color="auto"/>
        <w:bottom w:val="none" w:sz="0" w:space="0" w:color="auto"/>
        <w:right w:val="none" w:sz="0" w:space="0" w:color="auto"/>
      </w:divBdr>
    </w:div>
    <w:div w:id="902329287">
      <w:bodyDiv w:val="1"/>
      <w:marLeft w:val="0"/>
      <w:marRight w:val="0"/>
      <w:marTop w:val="0"/>
      <w:marBottom w:val="0"/>
      <w:divBdr>
        <w:top w:val="none" w:sz="0" w:space="0" w:color="auto"/>
        <w:left w:val="none" w:sz="0" w:space="0" w:color="auto"/>
        <w:bottom w:val="none" w:sz="0" w:space="0" w:color="auto"/>
        <w:right w:val="none" w:sz="0" w:space="0" w:color="auto"/>
      </w:divBdr>
    </w:div>
    <w:div w:id="918904843">
      <w:bodyDiv w:val="1"/>
      <w:marLeft w:val="0"/>
      <w:marRight w:val="0"/>
      <w:marTop w:val="0"/>
      <w:marBottom w:val="0"/>
      <w:divBdr>
        <w:top w:val="none" w:sz="0" w:space="0" w:color="auto"/>
        <w:left w:val="none" w:sz="0" w:space="0" w:color="auto"/>
        <w:bottom w:val="none" w:sz="0" w:space="0" w:color="auto"/>
        <w:right w:val="none" w:sz="0" w:space="0" w:color="auto"/>
      </w:divBdr>
    </w:div>
    <w:div w:id="941693148">
      <w:bodyDiv w:val="1"/>
      <w:marLeft w:val="0"/>
      <w:marRight w:val="0"/>
      <w:marTop w:val="0"/>
      <w:marBottom w:val="0"/>
      <w:divBdr>
        <w:top w:val="none" w:sz="0" w:space="0" w:color="auto"/>
        <w:left w:val="none" w:sz="0" w:space="0" w:color="auto"/>
        <w:bottom w:val="none" w:sz="0" w:space="0" w:color="auto"/>
        <w:right w:val="none" w:sz="0" w:space="0" w:color="auto"/>
      </w:divBdr>
    </w:div>
    <w:div w:id="941719480">
      <w:bodyDiv w:val="1"/>
      <w:marLeft w:val="0"/>
      <w:marRight w:val="0"/>
      <w:marTop w:val="0"/>
      <w:marBottom w:val="0"/>
      <w:divBdr>
        <w:top w:val="none" w:sz="0" w:space="0" w:color="auto"/>
        <w:left w:val="none" w:sz="0" w:space="0" w:color="auto"/>
        <w:bottom w:val="none" w:sz="0" w:space="0" w:color="auto"/>
        <w:right w:val="none" w:sz="0" w:space="0" w:color="auto"/>
      </w:divBdr>
    </w:div>
    <w:div w:id="950863743">
      <w:bodyDiv w:val="1"/>
      <w:marLeft w:val="0"/>
      <w:marRight w:val="0"/>
      <w:marTop w:val="0"/>
      <w:marBottom w:val="0"/>
      <w:divBdr>
        <w:top w:val="none" w:sz="0" w:space="0" w:color="auto"/>
        <w:left w:val="none" w:sz="0" w:space="0" w:color="auto"/>
        <w:bottom w:val="none" w:sz="0" w:space="0" w:color="auto"/>
        <w:right w:val="none" w:sz="0" w:space="0" w:color="auto"/>
      </w:divBdr>
    </w:div>
    <w:div w:id="952639217">
      <w:bodyDiv w:val="1"/>
      <w:marLeft w:val="0"/>
      <w:marRight w:val="0"/>
      <w:marTop w:val="0"/>
      <w:marBottom w:val="0"/>
      <w:divBdr>
        <w:top w:val="none" w:sz="0" w:space="0" w:color="auto"/>
        <w:left w:val="none" w:sz="0" w:space="0" w:color="auto"/>
        <w:bottom w:val="none" w:sz="0" w:space="0" w:color="auto"/>
        <w:right w:val="none" w:sz="0" w:space="0" w:color="auto"/>
      </w:divBdr>
    </w:div>
    <w:div w:id="965624498">
      <w:bodyDiv w:val="1"/>
      <w:marLeft w:val="0"/>
      <w:marRight w:val="0"/>
      <w:marTop w:val="0"/>
      <w:marBottom w:val="0"/>
      <w:divBdr>
        <w:top w:val="none" w:sz="0" w:space="0" w:color="auto"/>
        <w:left w:val="none" w:sz="0" w:space="0" w:color="auto"/>
        <w:bottom w:val="none" w:sz="0" w:space="0" w:color="auto"/>
        <w:right w:val="none" w:sz="0" w:space="0" w:color="auto"/>
      </w:divBdr>
    </w:div>
    <w:div w:id="980504919">
      <w:bodyDiv w:val="1"/>
      <w:marLeft w:val="0"/>
      <w:marRight w:val="0"/>
      <w:marTop w:val="0"/>
      <w:marBottom w:val="0"/>
      <w:divBdr>
        <w:top w:val="none" w:sz="0" w:space="0" w:color="auto"/>
        <w:left w:val="none" w:sz="0" w:space="0" w:color="auto"/>
        <w:bottom w:val="none" w:sz="0" w:space="0" w:color="auto"/>
        <w:right w:val="none" w:sz="0" w:space="0" w:color="auto"/>
      </w:divBdr>
    </w:div>
    <w:div w:id="1011953645">
      <w:bodyDiv w:val="1"/>
      <w:marLeft w:val="0"/>
      <w:marRight w:val="0"/>
      <w:marTop w:val="0"/>
      <w:marBottom w:val="0"/>
      <w:divBdr>
        <w:top w:val="none" w:sz="0" w:space="0" w:color="auto"/>
        <w:left w:val="none" w:sz="0" w:space="0" w:color="auto"/>
        <w:bottom w:val="none" w:sz="0" w:space="0" w:color="auto"/>
        <w:right w:val="none" w:sz="0" w:space="0" w:color="auto"/>
      </w:divBdr>
    </w:div>
    <w:div w:id="1012488508">
      <w:bodyDiv w:val="1"/>
      <w:marLeft w:val="0"/>
      <w:marRight w:val="0"/>
      <w:marTop w:val="0"/>
      <w:marBottom w:val="0"/>
      <w:divBdr>
        <w:top w:val="none" w:sz="0" w:space="0" w:color="auto"/>
        <w:left w:val="none" w:sz="0" w:space="0" w:color="auto"/>
        <w:bottom w:val="none" w:sz="0" w:space="0" w:color="auto"/>
        <w:right w:val="none" w:sz="0" w:space="0" w:color="auto"/>
      </w:divBdr>
    </w:div>
    <w:div w:id="1013919102">
      <w:bodyDiv w:val="1"/>
      <w:marLeft w:val="0"/>
      <w:marRight w:val="0"/>
      <w:marTop w:val="0"/>
      <w:marBottom w:val="0"/>
      <w:divBdr>
        <w:top w:val="none" w:sz="0" w:space="0" w:color="auto"/>
        <w:left w:val="none" w:sz="0" w:space="0" w:color="auto"/>
        <w:bottom w:val="none" w:sz="0" w:space="0" w:color="auto"/>
        <w:right w:val="none" w:sz="0" w:space="0" w:color="auto"/>
      </w:divBdr>
    </w:div>
    <w:div w:id="1027947936">
      <w:bodyDiv w:val="1"/>
      <w:marLeft w:val="0"/>
      <w:marRight w:val="0"/>
      <w:marTop w:val="0"/>
      <w:marBottom w:val="0"/>
      <w:divBdr>
        <w:top w:val="none" w:sz="0" w:space="0" w:color="auto"/>
        <w:left w:val="none" w:sz="0" w:space="0" w:color="auto"/>
        <w:bottom w:val="none" w:sz="0" w:space="0" w:color="auto"/>
        <w:right w:val="none" w:sz="0" w:space="0" w:color="auto"/>
      </w:divBdr>
    </w:div>
    <w:div w:id="1034044325">
      <w:bodyDiv w:val="1"/>
      <w:marLeft w:val="0"/>
      <w:marRight w:val="0"/>
      <w:marTop w:val="0"/>
      <w:marBottom w:val="0"/>
      <w:divBdr>
        <w:top w:val="none" w:sz="0" w:space="0" w:color="auto"/>
        <w:left w:val="none" w:sz="0" w:space="0" w:color="auto"/>
        <w:bottom w:val="none" w:sz="0" w:space="0" w:color="auto"/>
        <w:right w:val="none" w:sz="0" w:space="0" w:color="auto"/>
      </w:divBdr>
    </w:div>
    <w:div w:id="1034961682">
      <w:bodyDiv w:val="1"/>
      <w:marLeft w:val="0"/>
      <w:marRight w:val="0"/>
      <w:marTop w:val="0"/>
      <w:marBottom w:val="0"/>
      <w:divBdr>
        <w:top w:val="none" w:sz="0" w:space="0" w:color="auto"/>
        <w:left w:val="none" w:sz="0" w:space="0" w:color="auto"/>
        <w:bottom w:val="none" w:sz="0" w:space="0" w:color="auto"/>
        <w:right w:val="none" w:sz="0" w:space="0" w:color="auto"/>
      </w:divBdr>
    </w:div>
    <w:div w:id="1057049726">
      <w:bodyDiv w:val="1"/>
      <w:marLeft w:val="0"/>
      <w:marRight w:val="0"/>
      <w:marTop w:val="0"/>
      <w:marBottom w:val="0"/>
      <w:divBdr>
        <w:top w:val="none" w:sz="0" w:space="0" w:color="auto"/>
        <w:left w:val="none" w:sz="0" w:space="0" w:color="auto"/>
        <w:bottom w:val="none" w:sz="0" w:space="0" w:color="auto"/>
        <w:right w:val="none" w:sz="0" w:space="0" w:color="auto"/>
      </w:divBdr>
    </w:div>
    <w:div w:id="1082484013">
      <w:bodyDiv w:val="1"/>
      <w:marLeft w:val="0"/>
      <w:marRight w:val="0"/>
      <w:marTop w:val="0"/>
      <w:marBottom w:val="0"/>
      <w:divBdr>
        <w:top w:val="none" w:sz="0" w:space="0" w:color="auto"/>
        <w:left w:val="none" w:sz="0" w:space="0" w:color="auto"/>
        <w:bottom w:val="none" w:sz="0" w:space="0" w:color="auto"/>
        <w:right w:val="none" w:sz="0" w:space="0" w:color="auto"/>
      </w:divBdr>
    </w:div>
    <w:div w:id="1102147172">
      <w:bodyDiv w:val="1"/>
      <w:marLeft w:val="0"/>
      <w:marRight w:val="0"/>
      <w:marTop w:val="0"/>
      <w:marBottom w:val="0"/>
      <w:divBdr>
        <w:top w:val="none" w:sz="0" w:space="0" w:color="auto"/>
        <w:left w:val="none" w:sz="0" w:space="0" w:color="auto"/>
        <w:bottom w:val="none" w:sz="0" w:space="0" w:color="auto"/>
        <w:right w:val="none" w:sz="0" w:space="0" w:color="auto"/>
      </w:divBdr>
    </w:div>
    <w:div w:id="1123813782">
      <w:bodyDiv w:val="1"/>
      <w:marLeft w:val="0"/>
      <w:marRight w:val="0"/>
      <w:marTop w:val="0"/>
      <w:marBottom w:val="0"/>
      <w:divBdr>
        <w:top w:val="none" w:sz="0" w:space="0" w:color="auto"/>
        <w:left w:val="none" w:sz="0" w:space="0" w:color="auto"/>
        <w:bottom w:val="none" w:sz="0" w:space="0" w:color="auto"/>
        <w:right w:val="none" w:sz="0" w:space="0" w:color="auto"/>
      </w:divBdr>
    </w:div>
    <w:div w:id="1129932278">
      <w:bodyDiv w:val="1"/>
      <w:marLeft w:val="0"/>
      <w:marRight w:val="0"/>
      <w:marTop w:val="0"/>
      <w:marBottom w:val="0"/>
      <w:divBdr>
        <w:top w:val="none" w:sz="0" w:space="0" w:color="auto"/>
        <w:left w:val="none" w:sz="0" w:space="0" w:color="auto"/>
        <w:bottom w:val="none" w:sz="0" w:space="0" w:color="auto"/>
        <w:right w:val="none" w:sz="0" w:space="0" w:color="auto"/>
      </w:divBdr>
    </w:div>
    <w:div w:id="1144003565">
      <w:bodyDiv w:val="1"/>
      <w:marLeft w:val="0"/>
      <w:marRight w:val="0"/>
      <w:marTop w:val="0"/>
      <w:marBottom w:val="0"/>
      <w:divBdr>
        <w:top w:val="none" w:sz="0" w:space="0" w:color="auto"/>
        <w:left w:val="none" w:sz="0" w:space="0" w:color="auto"/>
        <w:bottom w:val="none" w:sz="0" w:space="0" w:color="auto"/>
        <w:right w:val="none" w:sz="0" w:space="0" w:color="auto"/>
      </w:divBdr>
    </w:div>
    <w:div w:id="1144858439">
      <w:bodyDiv w:val="1"/>
      <w:marLeft w:val="0"/>
      <w:marRight w:val="0"/>
      <w:marTop w:val="0"/>
      <w:marBottom w:val="0"/>
      <w:divBdr>
        <w:top w:val="none" w:sz="0" w:space="0" w:color="auto"/>
        <w:left w:val="none" w:sz="0" w:space="0" w:color="auto"/>
        <w:bottom w:val="none" w:sz="0" w:space="0" w:color="auto"/>
        <w:right w:val="none" w:sz="0" w:space="0" w:color="auto"/>
      </w:divBdr>
    </w:div>
    <w:div w:id="1163011535">
      <w:bodyDiv w:val="1"/>
      <w:marLeft w:val="0"/>
      <w:marRight w:val="0"/>
      <w:marTop w:val="0"/>
      <w:marBottom w:val="0"/>
      <w:divBdr>
        <w:top w:val="none" w:sz="0" w:space="0" w:color="auto"/>
        <w:left w:val="none" w:sz="0" w:space="0" w:color="auto"/>
        <w:bottom w:val="none" w:sz="0" w:space="0" w:color="auto"/>
        <w:right w:val="none" w:sz="0" w:space="0" w:color="auto"/>
      </w:divBdr>
    </w:div>
    <w:div w:id="1166434416">
      <w:bodyDiv w:val="1"/>
      <w:marLeft w:val="0"/>
      <w:marRight w:val="0"/>
      <w:marTop w:val="0"/>
      <w:marBottom w:val="0"/>
      <w:divBdr>
        <w:top w:val="none" w:sz="0" w:space="0" w:color="auto"/>
        <w:left w:val="none" w:sz="0" w:space="0" w:color="auto"/>
        <w:bottom w:val="none" w:sz="0" w:space="0" w:color="auto"/>
        <w:right w:val="none" w:sz="0" w:space="0" w:color="auto"/>
      </w:divBdr>
    </w:div>
    <w:div w:id="1191799124">
      <w:bodyDiv w:val="1"/>
      <w:marLeft w:val="0"/>
      <w:marRight w:val="0"/>
      <w:marTop w:val="0"/>
      <w:marBottom w:val="0"/>
      <w:divBdr>
        <w:top w:val="none" w:sz="0" w:space="0" w:color="auto"/>
        <w:left w:val="none" w:sz="0" w:space="0" w:color="auto"/>
        <w:bottom w:val="none" w:sz="0" w:space="0" w:color="auto"/>
        <w:right w:val="none" w:sz="0" w:space="0" w:color="auto"/>
      </w:divBdr>
      <w:divsChild>
        <w:div w:id="165097100">
          <w:marLeft w:val="0"/>
          <w:marRight w:val="0"/>
          <w:marTop w:val="0"/>
          <w:marBottom w:val="0"/>
          <w:divBdr>
            <w:top w:val="none" w:sz="0" w:space="0" w:color="auto"/>
            <w:left w:val="none" w:sz="0" w:space="0" w:color="auto"/>
            <w:bottom w:val="none" w:sz="0" w:space="0" w:color="auto"/>
            <w:right w:val="none" w:sz="0" w:space="0" w:color="auto"/>
          </w:divBdr>
        </w:div>
        <w:div w:id="243495776">
          <w:marLeft w:val="0"/>
          <w:marRight w:val="0"/>
          <w:marTop w:val="0"/>
          <w:marBottom w:val="0"/>
          <w:divBdr>
            <w:top w:val="none" w:sz="0" w:space="0" w:color="auto"/>
            <w:left w:val="none" w:sz="0" w:space="0" w:color="auto"/>
            <w:bottom w:val="none" w:sz="0" w:space="0" w:color="auto"/>
            <w:right w:val="none" w:sz="0" w:space="0" w:color="auto"/>
          </w:divBdr>
        </w:div>
        <w:div w:id="423651756">
          <w:marLeft w:val="0"/>
          <w:marRight w:val="0"/>
          <w:marTop w:val="0"/>
          <w:marBottom w:val="0"/>
          <w:divBdr>
            <w:top w:val="none" w:sz="0" w:space="0" w:color="auto"/>
            <w:left w:val="none" w:sz="0" w:space="0" w:color="auto"/>
            <w:bottom w:val="none" w:sz="0" w:space="0" w:color="auto"/>
            <w:right w:val="none" w:sz="0" w:space="0" w:color="auto"/>
          </w:divBdr>
          <w:divsChild>
            <w:div w:id="1487628942">
              <w:marLeft w:val="0"/>
              <w:marRight w:val="0"/>
              <w:marTop w:val="0"/>
              <w:marBottom w:val="0"/>
              <w:divBdr>
                <w:top w:val="none" w:sz="0" w:space="0" w:color="auto"/>
                <w:left w:val="none" w:sz="0" w:space="0" w:color="auto"/>
                <w:bottom w:val="none" w:sz="0" w:space="0" w:color="auto"/>
                <w:right w:val="none" w:sz="0" w:space="0" w:color="auto"/>
              </w:divBdr>
            </w:div>
            <w:div w:id="1905332855">
              <w:marLeft w:val="0"/>
              <w:marRight w:val="0"/>
              <w:marTop w:val="0"/>
              <w:marBottom w:val="0"/>
              <w:divBdr>
                <w:top w:val="none" w:sz="0" w:space="0" w:color="auto"/>
                <w:left w:val="none" w:sz="0" w:space="0" w:color="auto"/>
                <w:bottom w:val="none" w:sz="0" w:space="0" w:color="auto"/>
                <w:right w:val="none" w:sz="0" w:space="0" w:color="auto"/>
              </w:divBdr>
            </w:div>
            <w:div w:id="2000381573">
              <w:marLeft w:val="0"/>
              <w:marRight w:val="0"/>
              <w:marTop w:val="0"/>
              <w:marBottom w:val="0"/>
              <w:divBdr>
                <w:top w:val="none" w:sz="0" w:space="0" w:color="auto"/>
                <w:left w:val="none" w:sz="0" w:space="0" w:color="auto"/>
                <w:bottom w:val="none" w:sz="0" w:space="0" w:color="auto"/>
                <w:right w:val="none" w:sz="0" w:space="0" w:color="auto"/>
              </w:divBdr>
            </w:div>
          </w:divsChild>
        </w:div>
        <w:div w:id="435059416">
          <w:marLeft w:val="0"/>
          <w:marRight w:val="0"/>
          <w:marTop w:val="0"/>
          <w:marBottom w:val="0"/>
          <w:divBdr>
            <w:top w:val="none" w:sz="0" w:space="0" w:color="auto"/>
            <w:left w:val="none" w:sz="0" w:space="0" w:color="auto"/>
            <w:bottom w:val="none" w:sz="0" w:space="0" w:color="auto"/>
            <w:right w:val="none" w:sz="0" w:space="0" w:color="auto"/>
          </w:divBdr>
        </w:div>
        <w:div w:id="519393104">
          <w:marLeft w:val="0"/>
          <w:marRight w:val="0"/>
          <w:marTop w:val="0"/>
          <w:marBottom w:val="0"/>
          <w:divBdr>
            <w:top w:val="none" w:sz="0" w:space="0" w:color="auto"/>
            <w:left w:val="none" w:sz="0" w:space="0" w:color="auto"/>
            <w:bottom w:val="none" w:sz="0" w:space="0" w:color="auto"/>
            <w:right w:val="none" w:sz="0" w:space="0" w:color="auto"/>
          </w:divBdr>
        </w:div>
        <w:div w:id="841967129">
          <w:marLeft w:val="0"/>
          <w:marRight w:val="0"/>
          <w:marTop w:val="0"/>
          <w:marBottom w:val="0"/>
          <w:divBdr>
            <w:top w:val="none" w:sz="0" w:space="0" w:color="auto"/>
            <w:left w:val="none" w:sz="0" w:space="0" w:color="auto"/>
            <w:bottom w:val="none" w:sz="0" w:space="0" w:color="auto"/>
            <w:right w:val="none" w:sz="0" w:space="0" w:color="auto"/>
          </w:divBdr>
        </w:div>
        <w:div w:id="1101030365">
          <w:marLeft w:val="0"/>
          <w:marRight w:val="0"/>
          <w:marTop w:val="0"/>
          <w:marBottom w:val="0"/>
          <w:divBdr>
            <w:top w:val="none" w:sz="0" w:space="0" w:color="auto"/>
            <w:left w:val="none" w:sz="0" w:space="0" w:color="auto"/>
            <w:bottom w:val="none" w:sz="0" w:space="0" w:color="auto"/>
            <w:right w:val="none" w:sz="0" w:space="0" w:color="auto"/>
          </w:divBdr>
        </w:div>
        <w:div w:id="1233348026">
          <w:marLeft w:val="0"/>
          <w:marRight w:val="0"/>
          <w:marTop w:val="0"/>
          <w:marBottom w:val="0"/>
          <w:divBdr>
            <w:top w:val="none" w:sz="0" w:space="0" w:color="auto"/>
            <w:left w:val="none" w:sz="0" w:space="0" w:color="auto"/>
            <w:bottom w:val="none" w:sz="0" w:space="0" w:color="auto"/>
            <w:right w:val="none" w:sz="0" w:space="0" w:color="auto"/>
          </w:divBdr>
        </w:div>
        <w:div w:id="1244027798">
          <w:marLeft w:val="0"/>
          <w:marRight w:val="0"/>
          <w:marTop w:val="0"/>
          <w:marBottom w:val="0"/>
          <w:divBdr>
            <w:top w:val="none" w:sz="0" w:space="0" w:color="auto"/>
            <w:left w:val="none" w:sz="0" w:space="0" w:color="auto"/>
            <w:bottom w:val="none" w:sz="0" w:space="0" w:color="auto"/>
            <w:right w:val="none" w:sz="0" w:space="0" w:color="auto"/>
          </w:divBdr>
        </w:div>
        <w:div w:id="1450857313">
          <w:marLeft w:val="0"/>
          <w:marRight w:val="0"/>
          <w:marTop w:val="0"/>
          <w:marBottom w:val="0"/>
          <w:divBdr>
            <w:top w:val="none" w:sz="0" w:space="0" w:color="auto"/>
            <w:left w:val="none" w:sz="0" w:space="0" w:color="auto"/>
            <w:bottom w:val="none" w:sz="0" w:space="0" w:color="auto"/>
            <w:right w:val="none" w:sz="0" w:space="0" w:color="auto"/>
          </w:divBdr>
        </w:div>
        <w:div w:id="1870222674">
          <w:marLeft w:val="0"/>
          <w:marRight w:val="0"/>
          <w:marTop w:val="0"/>
          <w:marBottom w:val="0"/>
          <w:divBdr>
            <w:top w:val="none" w:sz="0" w:space="0" w:color="auto"/>
            <w:left w:val="none" w:sz="0" w:space="0" w:color="auto"/>
            <w:bottom w:val="none" w:sz="0" w:space="0" w:color="auto"/>
            <w:right w:val="none" w:sz="0" w:space="0" w:color="auto"/>
          </w:divBdr>
        </w:div>
        <w:div w:id="2118406347">
          <w:marLeft w:val="0"/>
          <w:marRight w:val="0"/>
          <w:marTop w:val="0"/>
          <w:marBottom w:val="0"/>
          <w:divBdr>
            <w:top w:val="none" w:sz="0" w:space="0" w:color="auto"/>
            <w:left w:val="none" w:sz="0" w:space="0" w:color="auto"/>
            <w:bottom w:val="none" w:sz="0" w:space="0" w:color="auto"/>
            <w:right w:val="none" w:sz="0" w:space="0" w:color="auto"/>
          </w:divBdr>
        </w:div>
      </w:divsChild>
    </w:div>
    <w:div w:id="1215315747">
      <w:bodyDiv w:val="1"/>
      <w:marLeft w:val="0"/>
      <w:marRight w:val="0"/>
      <w:marTop w:val="0"/>
      <w:marBottom w:val="0"/>
      <w:divBdr>
        <w:top w:val="none" w:sz="0" w:space="0" w:color="auto"/>
        <w:left w:val="none" w:sz="0" w:space="0" w:color="auto"/>
        <w:bottom w:val="none" w:sz="0" w:space="0" w:color="auto"/>
        <w:right w:val="none" w:sz="0" w:space="0" w:color="auto"/>
      </w:divBdr>
    </w:div>
    <w:div w:id="1228999917">
      <w:bodyDiv w:val="1"/>
      <w:marLeft w:val="0"/>
      <w:marRight w:val="0"/>
      <w:marTop w:val="0"/>
      <w:marBottom w:val="0"/>
      <w:divBdr>
        <w:top w:val="none" w:sz="0" w:space="0" w:color="auto"/>
        <w:left w:val="none" w:sz="0" w:space="0" w:color="auto"/>
        <w:bottom w:val="none" w:sz="0" w:space="0" w:color="auto"/>
        <w:right w:val="none" w:sz="0" w:space="0" w:color="auto"/>
      </w:divBdr>
    </w:div>
    <w:div w:id="1233614578">
      <w:bodyDiv w:val="1"/>
      <w:marLeft w:val="0"/>
      <w:marRight w:val="0"/>
      <w:marTop w:val="0"/>
      <w:marBottom w:val="0"/>
      <w:divBdr>
        <w:top w:val="none" w:sz="0" w:space="0" w:color="auto"/>
        <w:left w:val="none" w:sz="0" w:space="0" w:color="auto"/>
        <w:bottom w:val="none" w:sz="0" w:space="0" w:color="auto"/>
        <w:right w:val="none" w:sz="0" w:space="0" w:color="auto"/>
      </w:divBdr>
    </w:div>
    <w:div w:id="1252355924">
      <w:bodyDiv w:val="1"/>
      <w:marLeft w:val="0"/>
      <w:marRight w:val="0"/>
      <w:marTop w:val="0"/>
      <w:marBottom w:val="0"/>
      <w:divBdr>
        <w:top w:val="none" w:sz="0" w:space="0" w:color="auto"/>
        <w:left w:val="none" w:sz="0" w:space="0" w:color="auto"/>
        <w:bottom w:val="none" w:sz="0" w:space="0" w:color="auto"/>
        <w:right w:val="none" w:sz="0" w:space="0" w:color="auto"/>
      </w:divBdr>
    </w:div>
    <w:div w:id="1262495294">
      <w:bodyDiv w:val="1"/>
      <w:marLeft w:val="0"/>
      <w:marRight w:val="0"/>
      <w:marTop w:val="0"/>
      <w:marBottom w:val="0"/>
      <w:divBdr>
        <w:top w:val="none" w:sz="0" w:space="0" w:color="auto"/>
        <w:left w:val="none" w:sz="0" w:space="0" w:color="auto"/>
        <w:bottom w:val="none" w:sz="0" w:space="0" w:color="auto"/>
        <w:right w:val="none" w:sz="0" w:space="0" w:color="auto"/>
      </w:divBdr>
    </w:div>
    <w:div w:id="1285772003">
      <w:bodyDiv w:val="1"/>
      <w:marLeft w:val="0"/>
      <w:marRight w:val="0"/>
      <w:marTop w:val="0"/>
      <w:marBottom w:val="0"/>
      <w:divBdr>
        <w:top w:val="none" w:sz="0" w:space="0" w:color="auto"/>
        <w:left w:val="none" w:sz="0" w:space="0" w:color="auto"/>
        <w:bottom w:val="none" w:sz="0" w:space="0" w:color="auto"/>
        <w:right w:val="none" w:sz="0" w:space="0" w:color="auto"/>
      </w:divBdr>
    </w:div>
    <w:div w:id="1293898417">
      <w:bodyDiv w:val="1"/>
      <w:marLeft w:val="0"/>
      <w:marRight w:val="0"/>
      <w:marTop w:val="0"/>
      <w:marBottom w:val="0"/>
      <w:divBdr>
        <w:top w:val="none" w:sz="0" w:space="0" w:color="auto"/>
        <w:left w:val="none" w:sz="0" w:space="0" w:color="auto"/>
        <w:bottom w:val="none" w:sz="0" w:space="0" w:color="auto"/>
        <w:right w:val="none" w:sz="0" w:space="0" w:color="auto"/>
      </w:divBdr>
    </w:div>
    <w:div w:id="1305768051">
      <w:bodyDiv w:val="1"/>
      <w:marLeft w:val="0"/>
      <w:marRight w:val="0"/>
      <w:marTop w:val="0"/>
      <w:marBottom w:val="0"/>
      <w:divBdr>
        <w:top w:val="none" w:sz="0" w:space="0" w:color="auto"/>
        <w:left w:val="none" w:sz="0" w:space="0" w:color="auto"/>
        <w:bottom w:val="none" w:sz="0" w:space="0" w:color="auto"/>
        <w:right w:val="none" w:sz="0" w:space="0" w:color="auto"/>
      </w:divBdr>
    </w:div>
    <w:div w:id="1313565056">
      <w:bodyDiv w:val="1"/>
      <w:marLeft w:val="0"/>
      <w:marRight w:val="0"/>
      <w:marTop w:val="0"/>
      <w:marBottom w:val="0"/>
      <w:divBdr>
        <w:top w:val="none" w:sz="0" w:space="0" w:color="auto"/>
        <w:left w:val="none" w:sz="0" w:space="0" w:color="auto"/>
        <w:bottom w:val="none" w:sz="0" w:space="0" w:color="auto"/>
        <w:right w:val="none" w:sz="0" w:space="0" w:color="auto"/>
      </w:divBdr>
    </w:div>
    <w:div w:id="1316252780">
      <w:bodyDiv w:val="1"/>
      <w:marLeft w:val="0"/>
      <w:marRight w:val="0"/>
      <w:marTop w:val="0"/>
      <w:marBottom w:val="0"/>
      <w:divBdr>
        <w:top w:val="none" w:sz="0" w:space="0" w:color="auto"/>
        <w:left w:val="none" w:sz="0" w:space="0" w:color="auto"/>
        <w:bottom w:val="none" w:sz="0" w:space="0" w:color="auto"/>
        <w:right w:val="none" w:sz="0" w:space="0" w:color="auto"/>
      </w:divBdr>
    </w:div>
    <w:div w:id="1320115866">
      <w:bodyDiv w:val="1"/>
      <w:marLeft w:val="0"/>
      <w:marRight w:val="0"/>
      <w:marTop w:val="0"/>
      <w:marBottom w:val="0"/>
      <w:divBdr>
        <w:top w:val="none" w:sz="0" w:space="0" w:color="auto"/>
        <w:left w:val="none" w:sz="0" w:space="0" w:color="auto"/>
        <w:bottom w:val="none" w:sz="0" w:space="0" w:color="auto"/>
        <w:right w:val="none" w:sz="0" w:space="0" w:color="auto"/>
      </w:divBdr>
    </w:div>
    <w:div w:id="1324507122">
      <w:bodyDiv w:val="1"/>
      <w:marLeft w:val="0"/>
      <w:marRight w:val="0"/>
      <w:marTop w:val="0"/>
      <w:marBottom w:val="0"/>
      <w:divBdr>
        <w:top w:val="none" w:sz="0" w:space="0" w:color="auto"/>
        <w:left w:val="none" w:sz="0" w:space="0" w:color="auto"/>
        <w:bottom w:val="none" w:sz="0" w:space="0" w:color="auto"/>
        <w:right w:val="none" w:sz="0" w:space="0" w:color="auto"/>
      </w:divBdr>
    </w:div>
    <w:div w:id="1329288941">
      <w:bodyDiv w:val="1"/>
      <w:marLeft w:val="0"/>
      <w:marRight w:val="0"/>
      <w:marTop w:val="0"/>
      <w:marBottom w:val="0"/>
      <w:divBdr>
        <w:top w:val="none" w:sz="0" w:space="0" w:color="auto"/>
        <w:left w:val="none" w:sz="0" w:space="0" w:color="auto"/>
        <w:bottom w:val="none" w:sz="0" w:space="0" w:color="auto"/>
        <w:right w:val="none" w:sz="0" w:space="0" w:color="auto"/>
      </w:divBdr>
    </w:div>
    <w:div w:id="1329332338">
      <w:bodyDiv w:val="1"/>
      <w:marLeft w:val="0"/>
      <w:marRight w:val="0"/>
      <w:marTop w:val="0"/>
      <w:marBottom w:val="0"/>
      <w:divBdr>
        <w:top w:val="none" w:sz="0" w:space="0" w:color="auto"/>
        <w:left w:val="none" w:sz="0" w:space="0" w:color="auto"/>
        <w:bottom w:val="none" w:sz="0" w:space="0" w:color="auto"/>
        <w:right w:val="none" w:sz="0" w:space="0" w:color="auto"/>
      </w:divBdr>
    </w:div>
    <w:div w:id="1335761102">
      <w:bodyDiv w:val="1"/>
      <w:marLeft w:val="0"/>
      <w:marRight w:val="0"/>
      <w:marTop w:val="0"/>
      <w:marBottom w:val="0"/>
      <w:divBdr>
        <w:top w:val="none" w:sz="0" w:space="0" w:color="auto"/>
        <w:left w:val="none" w:sz="0" w:space="0" w:color="auto"/>
        <w:bottom w:val="none" w:sz="0" w:space="0" w:color="auto"/>
        <w:right w:val="none" w:sz="0" w:space="0" w:color="auto"/>
      </w:divBdr>
    </w:div>
    <w:div w:id="1376197708">
      <w:bodyDiv w:val="1"/>
      <w:marLeft w:val="0"/>
      <w:marRight w:val="0"/>
      <w:marTop w:val="0"/>
      <w:marBottom w:val="0"/>
      <w:divBdr>
        <w:top w:val="none" w:sz="0" w:space="0" w:color="auto"/>
        <w:left w:val="none" w:sz="0" w:space="0" w:color="auto"/>
        <w:bottom w:val="none" w:sz="0" w:space="0" w:color="auto"/>
        <w:right w:val="none" w:sz="0" w:space="0" w:color="auto"/>
      </w:divBdr>
    </w:div>
    <w:div w:id="1398168139">
      <w:bodyDiv w:val="1"/>
      <w:marLeft w:val="0"/>
      <w:marRight w:val="0"/>
      <w:marTop w:val="0"/>
      <w:marBottom w:val="0"/>
      <w:divBdr>
        <w:top w:val="none" w:sz="0" w:space="0" w:color="auto"/>
        <w:left w:val="none" w:sz="0" w:space="0" w:color="auto"/>
        <w:bottom w:val="none" w:sz="0" w:space="0" w:color="auto"/>
        <w:right w:val="none" w:sz="0" w:space="0" w:color="auto"/>
      </w:divBdr>
    </w:div>
    <w:div w:id="1405880346">
      <w:bodyDiv w:val="1"/>
      <w:marLeft w:val="0"/>
      <w:marRight w:val="0"/>
      <w:marTop w:val="0"/>
      <w:marBottom w:val="0"/>
      <w:divBdr>
        <w:top w:val="none" w:sz="0" w:space="0" w:color="auto"/>
        <w:left w:val="none" w:sz="0" w:space="0" w:color="auto"/>
        <w:bottom w:val="none" w:sz="0" w:space="0" w:color="auto"/>
        <w:right w:val="none" w:sz="0" w:space="0" w:color="auto"/>
      </w:divBdr>
    </w:div>
    <w:div w:id="1421676191">
      <w:bodyDiv w:val="1"/>
      <w:marLeft w:val="0"/>
      <w:marRight w:val="0"/>
      <w:marTop w:val="0"/>
      <w:marBottom w:val="0"/>
      <w:divBdr>
        <w:top w:val="none" w:sz="0" w:space="0" w:color="auto"/>
        <w:left w:val="none" w:sz="0" w:space="0" w:color="auto"/>
        <w:bottom w:val="none" w:sz="0" w:space="0" w:color="auto"/>
        <w:right w:val="none" w:sz="0" w:space="0" w:color="auto"/>
      </w:divBdr>
    </w:div>
    <w:div w:id="1426342920">
      <w:bodyDiv w:val="1"/>
      <w:marLeft w:val="0"/>
      <w:marRight w:val="0"/>
      <w:marTop w:val="0"/>
      <w:marBottom w:val="0"/>
      <w:divBdr>
        <w:top w:val="none" w:sz="0" w:space="0" w:color="auto"/>
        <w:left w:val="none" w:sz="0" w:space="0" w:color="auto"/>
        <w:bottom w:val="none" w:sz="0" w:space="0" w:color="auto"/>
        <w:right w:val="none" w:sz="0" w:space="0" w:color="auto"/>
      </w:divBdr>
    </w:div>
    <w:div w:id="1432042192">
      <w:bodyDiv w:val="1"/>
      <w:marLeft w:val="0"/>
      <w:marRight w:val="0"/>
      <w:marTop w:val="0"/>
      <w:marBottom w:val="0"/>
      <w:divBdr>
        <w:top w:val="none" w:sz="0" w:space="0" w:color="auto"/>
        <w:left w:val="none" w:sz="0" w:space="0" w:color="auto"/>
        <w:bottom w:val="none" w:sz="0" w:space="0" w:color="auto"/>
        <w:right w:val="none" w:sz="0" w:space="0" w:color="auto"/>
      </w:divBdr>
    </w:div>
    <w:div w:id="1436319679">
      <w:bodyDiv w:val="1"/>
      <w:marLeft w:val="0"/>
      <w:marRight w:val="0"/>
      <w:marTop w:val="0"/>
      <w:marBottom w:val="0"/>
      <w:divBdr>
        <w:top w:val="none" w:sz="0" w:space="0" w:color="auto"/>
        <w:left w:val="none" w:sz="0" w:space="0" w:color="auto"/>
        <w:bottom w:val="none" w:sz="0" w:space="0" w:color="auto"/>
        <w:right w:val="none" w:sz="0" w:space="0" w:color="auto"/>
      </w:divBdr>
    </w:div>
    <w:div w:id="1436363631">
      <w:bodyDiv w:val="1"/>
      <w:marLeft w:val="0"/>
      <w:marRight w:val="0"/>
      <w:marTop w:val="0"/>
      <w:marBottom w:val="0"/>
      <w:divBdr>
        <w:top w:val="none" w:sz="0" w:space="0" w:color="auto"/>
        <w:left w:val="none" w:sz="0" w:space="0" w:color="auto"/>
        <w:bottom w:val="none" w:sz="0" w:space="0" w:color="auto"/>
        <w:right w:val="none" w:sz="0" w:space="0" w:color="auto"/>
      </w:divBdr>
    </w:div>
    <w:div w:id="1459565807">
      <w:bodyDiv w:val="1"/>
      <w:marLeft w:val="0"/>
      <w:marRight w:val="0"/>
      <w:marTop w:val="0"/>
      <w:marBottom w:val="0"/>
      <w:divBdr>
        <w:top w:val="none" w:sz="0" w:space="0" w:color="auto"/>
        <w:left w:val="none" w:sz="0" w:space="0" w:color="auto"/>
        <w:bottom w:val="none" w:sz="0" w:space="0" w:color="auto"/>
        <w:right w:val="none" w:sz="0" w:space="0" w:color="auto"/>
      </w:divBdr>
    </w:div>
    <w:div w:id="1474059700">
      <w:bodyDiv w:val="1"/>
      <w:marLeft w:val="0"/>
      <w:marRight w:val="0"/>
      <w:marTop w:val="0"/>
      <w:marBottom w:val="0"/>
      <w:divBdr>
        <w:top w:val="none" w:sz="0" w:space="0" w:color="auto"/>
        <w:left w:val="none" w:sz="0" w:space="0" w:color="auto"/>
        <w:bottom w:val="none" w:sz="0" w:space="0" w:color="auto"/>
        <w:right w:val="none" w:sz="0" w:space="0" w:color="auto"/>
      </w:divBdr>
    </w:div>
    <w:div w:id="1477718957">
      <w:bodyDiv w:val="1"/>
      <w:marLeft w:val="0"/>
      <w:marRight w:val="0"/>
      <w:marTop w:val="0"/>
      <w:marBottom w:val="0"/>
      <w:divBdr>
        <w:top w:val="none" w:sz="0" w:space="0" w:color="auto"/>
        <w:left w:val="none" w:sz="0" w:space="0" w:color="auto"/>
        <w:bottom w:val="none" w:sz="0" w:space="0" w:color="auto"/>
        <w:right w:val="none" w:sz="0" w:space="0" w:color="auto"/>
      </w:divBdr>
    </w:div>
    <w:div w:id="1481581406">
      <w:bodyDiv w:val="1"/>
      <w:marLeft w:val="0"/>
      <w:marRight w:val="0"/>
      <w:marTop w:val="0"/>
      <w:marBottom w:val="0"/>
      <w:divBdr>
        <w:top w:val="none" w:sz="0" w:space="0" w:color="auto"/>
        <w:left w:val="none" w:sz="0" w:space="0" w:color="auto"/>
        <w:bottom w:val="none" w:sz="0" w:space="0" w:color="auto"/>
        <w:right w:val="none" w:sz="0" w:space="0" w:color="auto"/>
      </w:divBdr>
    </w:div>
    <w:div w:id="1502164130">
      <w:bodyDiv w:val="1"/>
      <w:marLeft w:val="0"/>
      <w:marRight w:val="0"/>
      <w:marTop w:val="0"/>
      <w:marBottom w:val="0"/>
      <w:divBdr>
        <w:top w:val="none" w:sz="0" w:space="0" w:color="auto"/>
        <w:left w:val="none" w:sz="0" w:space="0" w:color="auto"/>
        <w:bottom w:val="none" w:sz="0" w:space="0" w:color="auto"/>
        <w:right w:val="none" w:sz="0" w:space="0" w:color="auto"/>
      </w:divBdr>
    </w:div>
    <w:div w:id="1504315373">
      <w:bodyDiv w:val="1"/>
      <w:marLeft w:val="0"/>
      <w:marRight w:val="0"/>
      <w:marTop w:val="0"/>
      <w:marBottom w:val="0"/>
      <w:divBdr>
        <w:top w:val="none" w:sz="0" w:space="0" w:color="auto"/>
        <w:left w:val="none" w:sz="0" w:space="0" w:color="auto"/>
        <w:bottom w:val="none" w:sz="0" w:space="0" w:color="auto"/>
        <w:right w:val="none" w:sz="0" w:space="0" w:color="auto"/>
      </w:divBdr>
    </w:div>
    <w:div w:id="1507473368">
      <w:bodyDiv w:val="1"/>
      <w:marLeft w:val="0"/>
      <w:marRight w:val="0"/>
      <w:marTop w:val="0"/>
      <w:marBottom w:val="0"/>
      <w:divBdr>
        <w:top w:val="none" w:sz="0" w:space="0" w:color="auto"/>
        <w:left w:val="none" w:sz="0" w:space="0" w:color="auto"/>
        <w:bottom w:val="none" w:sz="0" w:space="0" w:color="auto"/>
        <w:right w:val="none" w:sz="0" w:space="0" w:color="auto"/>
      </w:divBdr>
    </w:div>
    <w:div w:id="1514758625">
      <w:bodyDiv w:val="1"/>
      <w:marLeft w:val="0"/>
      <w:marRight w:val="0"/>
      <w:marTop w:val="0"/>
      <w:marBottom w:val="0"/>
      <w:divBdr>
        <w:top w:val="none" w:sz="0" w:space="0" w:color="auto"/>
        <w:left w:val="none" w:sz="0" w:space="0" w:color="auto"/>
        <w:bottom w:val="none" w:sz="0" w:space="0" w:color="auto"/>
        <w:right w:val="none" w:sz="0" w:space="0" w:color="auto"/>
      </w:divBdr>
    </w:div>
    <w:div w:id="1518428848">
      <w:bodyDiv w:val="1"/>
      <w:marLeft w:val="0"/>
      <w:marRight w:val="0"/>
      <w:marTop w:val="0"/>
      <w:marBottom w:val="0"/>
      <w:divBdr>
        <w:top w:val="none" w:sz="0" w:space="0" w:color="auto"/>
        <w:left w:val="none" w:sz="0" w:space="0" w:color="auto"/>
        <w:bottom w:val="none" w:sz="0" w:space="0" w:color="auto"/>
        <w:right w:val="none" w:sz="0" w:space="0" w:color="auto"/>
      </w:divBdr>
    </w:div>
    <w:div w:id="1519463775">
      <w:bodyDiv w:val="1"/>
      <w:marLeft w:val="0"/>
      <w:marRight w:val="0"/>
      <w:marTop w:val="0"/>
      <w:marBottom w:val="0"/>
      <w:divBdr>
        <w:top w:val="none" w:sz="0" w:space="0" w:color="auto"/>
        <w:left w:val="none" w:sz="0" w:space="0" w:color="auto"/>
        <w:bottom w:val="none" w:sz="0" w:space="0" w:color="auto"/>
        <w:right w:val="none" w:sz="0" w:space="0" w:color="auto"/>
      </w:divBdr>
    </w:div>
    <w:div w:id="1527597840">
      <w:bodyDiv w:val="1"/>
      <w:marLeft w:val="0"/>
      <w:marRight w:val="0"/>
      <w:marTop w:val="0"/>
      <w:marBottom w:val="0"/>
      <w:divBdr>
        <w:top w:val="none" w:sz="0" w:space="0" w:color="auto"/>
        <w:left w:val="none" w:sz="0" w:space="0" w:color="auto"/>
        <w:bottom w:val="none" w:sz="0" w:space="0" w:color="auto"/>
        <w:right w:val="none" w:sz="0" w:space="0" w:color="auto"/>
      </w:divBdr>
    </w:div>
    <w:div w:id="1532181891">
      <w:bodyDiv w:val="1"/>
      <w:marLeft w:val="0"/>
      <w:marRight w:val="0"/>
      <w:marTop w:val="0"/>
      <w:marBottom w:val="0"/>
      <w:divBdr>
        <w:top w:val="none" w:sz="0" w:space="0" w:color="auto"/>
        <w:left w:val="none" w:sz="0" w:space="0" w:color="auto"/>
        <w:bottom w:val="none" w:sz="0" w:space="0" w:color="auto"/>
        <w:right w:val="none" w:sz="0" w:space="0" w:color="auto"/>
      </w:divBdr>
    </w:div>
    <w:div w:id="1594363997">
      <w:bodyDiv w:val="1"/>
      <w:marLeft w:val="0"/>
      <w:marRight w:val="0"/>
      <w:marTop w:val="0"/>
      <w:marBottom w:val="0"/>
      <w:divBdr>
        <w:top w:val="none" w:sz="0" w:space="0" w:color="auto"/>
        <w:left w:val="none" w:sz="0" w:space="0" w:color="auto"/>
        <w:bottom w:val="none" w:sz="0" w:space="0" w:color="auto"/>
        <w:right w:val="none" w:sz="0" w:space="0" w:color="auto"/>
      </w:divBdr>
    </w:div>
    <w:div w:id="1597251849">
      <w:bodyDiv w:val="1"/>
      <w:marLeft w:val="0"/>
      <w:marRight w:val="0"/>
      <w:marTop w:val="0"/>
      <w:marBottom w:val="0"/>
      <w:divBdr>
        <w:top w:val="none" w:sz="0" w:space="0" w:color="auto"/>
        <w:left w:val="none" w:sz="0" w:space="0" w:color="auto"/>
        <w:bottom w:val="none" w:sz="0" w:space="0" w:color="auto"/>
        <w:right w:val="none" w:sz="0" w:space="0" w:color="auto"/>
      </w:divBdr>
    </w:div>
    <w:div w:id="1597520849">
      <w:bodyDiv w:val="1"/>
      <w:marLeft w:val="0"/>
      <w:marRight w:val="0"/>
      <w:marTop w:val="0"/>
      <w:marBottom w:val="0"/>
      <w:divBdr>
        <w:top w:val="none" w:sz="0" w:space="0" w:color="auto"/>
        <w:left w:val="none" w:sz="0" w:space="0" w:color="auto"/>
        <w:bottom w:val="none" w:sz="0" w:space="0" w:color="auto"/>
        <w:right w:val="none" w:sz="0" w:space="0" w:color="auto"/>
      </w:divBdr>
    </w:div>
    <w:div w:id="1612712110">
      <w:bodyDiv w:val="1"/>
      <w:marLeft w:val="0"/>
      <w:marRight w:val="0"/>
      <w:marTop w:val="0"/>
      <w:marBottom w:val="0"/>
      <w:divBdr>
        <w:top w:val="none" w:sz="0" w:space="0" w:color="auto"/>
        <w:left w:val="none" w:sz="0" w:space="0" w:color="auto"/>
        <w:bottom w:val="none" w:sz="0" w:space="0" w:color="auto"/>
        <w:right w:val="none" w:sz="0" w:space="0" w:color="auto"/>
      </w:divBdr>
    </w:div>
    <w:div w:id="1620720354">
      <w:bodyDiv w:val="1"/>
      <w:marLeft w:val="0"/>
      <w:marRight w:val="0"/>
      <w:marTop w:val="0"/>
      <w:marBottom w:val="0"/>
      <w:divBdr>
        <w:top w:val="none" w:sz="0" w:space="0" w:color="auto"/>
        <w:left w:val="none" w:sz="0" w:space="0" w:color="auto"/>
        <w:bottom w:val="none" w:sz="0" w:space="0" w:color="auto"/>
        <w:right w:val="none" w:sz="0" w:space="0" w:color="auto"/>
      </w:divBdr>
    </w:div>
    <w:div w:id="1651204519">
      <w:bodyDiv w:val="1"/>
      <w:marLeft w:val="0"/>
      <w:marRight w:val="0"/>
      <w:marTop w:val="0"/>
      <w:marBottom w:val="0"/>
      <w:divBdr>
        <w:top w:val="none" w:sz="0" w:space="0" w:color="auto"/>
        <w:left w:val="none" w:sz="0" w:space="0" w:color="auto"/>
        <w:bottom w:val="none" w:sz="0" w:space="0" w:color="auto"/>
        <w:right w:val="none" w:sz="0" w:space="0" w:color="auto"/>
      </w:divBdr>
      <w:divsChild>
        <w:div w:id="1205365773">
          <w:marLeft w:val="0"/>
          <w:marRight w:val="0"/>
          <w:marTop w:val="0"/>
          <w:marBottom w:val="0"/>
          <w:divBdr>
            <w:top w:val="none" w:sz="0" w:space="0" w:color="auto"/>
            <w:left w:val="none" w:sz="0" w:space="0" w:color="auto"/>
            <w:bottom w:val="none" w:sz="0" w:space="0" w:color="auto"/>
            <w:right w:val="none" w:sz="0" w:space="0" w:color="auto"/>
          </w:divBdr>
        </w:div>
      </w:divsChild>
    </w:div>
    <w:div w:id="1662082065">
      <w:bodyDiv w:val="1"/>
      <w:marLeft w:val="0"/>
      <w:marRight w:val="0"/>
      <w:marTop w:val="0"/>
      <w:marBottom w:val="0"/>
      <w:divBdr>
        <w:top w:val="none" w:sz="0" w:space="0" w:color="auto"/>
        <w:left w:val="none" w:sz="0" w:space="0" w:color="auto"/>
        <w:bottom w:val="none" w:sz="0" w:space="0" w:color="auto"/>
        <w:right w:val="none" w:sz="0" w:space="0" w:color="auto"/>
      </w:divBdr>
    </w:div>
    <w:div w:id="1695839038">
      <w:bodyDiv w:val="1"/>
      <w:marLeft w:val="0"/>
      <w:marRight w:val="0"/>
      <w:marTop w:val="0"/>
      <w:marBottom w:val="0"/>
      <w:divBdr>
        <w:top w:val="none" w:sz="0" w:space="0" w:color="auto"/>
        <w:left w:val="none" w:sz="0" w:space="0" w:color="auto"/>
        <w:bottom w:val="none" w:sz="0" w:space="0" w:color="auto"/>
        <w:right w:val="none" w:sz="0" w:space="0" w:color="auto"/>
      </w:divBdr>
    </w:div>
    <w:div w:id="1697805807">
      <w:bodyDiv w:val="1"/>
      <w:marLeft w:val="0"/>
      <w:marRight w:val="0"/>
      <w:marTop w:val="0"/>
      <w:marBottom w:val="0"/>
      <w:divBdr>
        <w:top w:val="none" w:sz="0" w:space="0" w:color="auto"/>
        <w:left w:val="none" w:sz="0" w:space="0" w:color="auto"/>
        <w:bottom w:val="none" w:sz="0" w:space="0" w:color="auto"/>
        <w:right w:val="none" w:sz="0" w:space="0" w:color="auto"/>
      </w:divBdr>
    </w:div>
    <w:div w:id="1703478974">
      <w:bodyDiv w:val="1"/>
      <w:marLeft w:val="0"/>
      <w:marRight w:val="0"/>
      <w:marTop w:val="0"/>
      <w:marBottom w:val="0"/>
      <w:divBdr>
        <w:top w:val="none" w:sz="0" w:space="0" w:color="auto"/>
        <w:left w:val="none" w:sz="0" w:space="0" w:color="auto"/>
        <w:bottom w:val="none" w:sz="0" w:space="0" w:color="auto"/>
        <w:right w:val="none" w:sz="0" w:space="0" w:color="auto"/>
      </w:divBdr>
    </w:div>
    <w:div w:id="1715884218">
      <w:bodyDiv w:val="1"/>
      <w:marLeft w:val="0"/>
      <w:marRight w:val="0"/>
      <w:marTop w:val="0"/>
      <w:marBottom w:val="0"/>
      <w:divBdr>
        <w:top w:val="none" w:sz="0" w:space="0" w:color="auto"/>
        <w:left w:val="none" w:sz="0" w:space="0" w:color="auto"/>
        <w:bottom w:val="none" w:sz="0" w:space="0" w:color="auto"/>
        <w:right w:val="none" w:sz="0" w:space="0" w:color="auto"/>
      </w:divBdr>
    </w:div>
    <w:div w:id="1749304097">
      <w:bodyDiv w:val="1"/>
      <w:marLeft w:val="0"/>
      <w:marRight w:val="0"/>
      <w:marTop w:val="0"/>
      <w:marBottom w:val="0"/>
      <w:divBdr>
        <w:top w:val="none" w:sz="0" w:space="0" w:color="auto"/>
        <w:left w:val="none" w:sz="0" w:space="0" w:color="auto"/>
        <w:bottom w:val="none" w:sz="0" w:space="0" w:color="auto"/>
        <w:right w:val="none" w:sz="0" w:space="0" w:color="auto"/>
      </w:divBdr>
    </w:div>
    <w:div w:id="1750928280">
      <w:bodyDiv w:val="1"/>
      <w:marLeft w:val="0"/>
      <w:marRight w:val="0"/>
      <w:marTop w:val="0"/>
      <w:marBottom w:val="0"/>
      <w:divBdr>
        <w:top w:val="none" w:sz="0" w:space="0" w:color="auto"/>
        <w:left w:val="none" w:sz="0" w:space="0" w:color="auto"/>
        <w:bottom w:val="none" w:sz="0" w:space="0" w:color="auto"/>
        <w:right w:val="none" w:sz="0" w:space="0" w:color="auto"/>
      </w:divBdr>
    </w:div>
    <w:div w:id="1759712487">
      <w:bodyDiv w:val="1"/>
      <w:marLeft w:val="0"/>
      <w:marRight w:val="0"/>
      <w:marTop w:val="0"/>
      <w:marBottom w:val="0"/>
      <w:divBdr>
        <w:top w:val="none" w:sz="0" w:space="0" w:color="auto"/>
        <w:left w:val="none" w:sz="0" w:space="0" w:color="auto"/>
        <w:bottom w:val="none" w:sz="0" w:space="0" w:color="auto"/>
        <w:right w:val="none" w:sz="0" w:space="0" w:color="auto"/>
      </w:divBdr>
    </w:div>
    <w:div w:id="1766917003">
      <w:bodyDiv w:val="1"/>
      <w:marLeft w:val="0"/>
      <w:marRight w:val="0"/>
      <w:marTop w:val="0"/>
      <w:marBottom w:val="0"/>
      <w:divBdr>
        <w:top w:val="none" w:sz="0" w:space="0" w:color="auto"/>
        <w:left w:val="none" w:sz="0" w:space="0" w:color="auto"/>
        <w:bottom w:val="none" w:sz="0" w:space="0" w:color="auto"/>
        <w:right w:val="none" w:sz="0" w:space="0" w:color="auto"/>
      </w:divBdr>
    </w:div>
    <w:div w:id="1767991525">
      <w:bodyDiv w:val="1"/>
      <w:marLeft w:val="0"/>
      <w:marRight w:val="0"/>
      <w:marTop w:val="0"/>
      <w:marBottom w:val="0"/>
      <w:divBdr>
        <w:top w:val="none" w:sz="0" w:space="0" w:color="auto"/>
        <w:left w:val="none" w:sz="0" w:space="0" w:color="auto"/>
        <w:bottom w:val="none" w:sz="0" w:space="0" w:color="auto"/>
        <w:right w:val="none" w:sz="0" w:space="0" w:color="auto"/>
      </w:divBdr>
    </w:div>
    <w:div w:id="1776365283">
      <w:bodyDiv w:val="1"/>
      <w:marLeft w:val="0"/>
      <w:marRight w:val="0"/>
      <w:marTop w:val="0"/>
      <w:marBottom w:val="0"/>
      <w:divBdr>
        <w:top w:val="none" w:sz="0" w:space="0" w:color="auto"/>
        <w:left w:val="none" w:sz="0" w:space="0" w:color="auto"/>
        <w:bottom w:val="none" w:sz="0" w:space="0" w:color="auto"/>
        <w:right w:val="none" w:sz="0" w:space="0" w:color="auto"/>
      </w:divBdr>
    </w:div>
    <w:div w:id="1780176715">
      <w:bodyDiv w:val="1"/>
      <w:marLeft w:val="0"/>
      <w:marRight w:val="0"/>
      <w:marTop w:val="0"/>
      <w:marBottom w:val="0"/>
      <w:divBdr>
        <w:top w:val="none" w:sz="0" w:space="0" w:color="auto"/>
        <w:left w:val="none" w:sz="0" w:space="0" w:color="auto"/>
        <w:bottom w:val="none" w:sz="0" w:space="0" w:color="auto"/>
        <w:right w:val="none" w:sz="0" w:space="0" w:color="auto"/>
      </w:divBdr>
    </w:div>
    <w:div w:id="1789853760">
      <w:bodyDiv w:val="1"/>
      <w:marLeft w:val="0"/>
      <w:marRight w:val="0"/>
      <w:marTop w:val="0"/>
      <w:marBottom w:val="0"/>
      <w:divBdr>
        <w:top w:val="none" w:sz="0" w:space="0" w:color="auto"/>
        <w:left w:val="none" w:sz="0" w:space="0" w:color="auto"/>
        <w:bottom w:val="none" w:sz="0" w:space="0" w:color="auto"/>
        <w:right w:val="none" w:sz="0" w:space="0" w:color="auto"/>
      </w:divBdr>
    </w:div>
    <w:div w:id="1807576681">
      <w:bodyDiv w:val="1"/>
      <w:marLeft w:val="0"/>
      <w:marRight w:val="0"/>
      <w:marTop w:val="0"/>
      <w:marBottom w:val="0"/>
      <w:divBdr>
        <w:top w:val="none" w:sz="0" w:space="0" w:color="auto"/>
        <w:left w:val="none" w:sz="0" w:space="0" w:color="auto"/>
        <w:bottom w:val="none" w:sz="0" w:space="0" w:color="auto"/>
        <w:right w:val="none" w:sz="0" w:space="0" w:color="auto"/>
      </w:divBdr>
    </w:div>
    <w:div w:id="1808662852">
      <w:bodyDiv w:val="1"/>
      <w:marLeft w:val="0"/>
      <w:marRight w:val="0"/>
      <w:marTop w:val="0"/>
      <w:marBottom w:val="0"/>
      <w:divBdr>
        <w:top w:val="none" w:sz="0" w:space="0" w:color="auto"/>
        <w:left w:val="none" w:sz="0" w:space="0" w:color="auto"/>
        <w:bottom w:val="none" w:sz="0" w:space="0" w:color="auto"/>
        <w:right w:val="none" w:sz="0" w:space="0" w:color="auto"/>
      </w:divBdr>
    </w:div>
    <w:div w:id="1829399115">
      <w:bodyDiv w:val="1"/>
      <w:marLeft w:val="0"/>
      <w:marRight w:val="0"/>
      <w:marTop w:val="0"/>
      <w:marBottom w:val="0"/>
      <w:divBdr>
        <w:top w:val="none" w:sz="0" w:space="0" w:color="auto"/>
        <w:left w:val="none" w:sz="0" w:space="0" w:color="auto"/>
        <w:bottom w:val="none" w:sz="0" w:space="0" w:color="auto"/>
        <w:right w:val="none" w:sz="0" w:space="0" w:color="auto"/>
      </w:divBdr>
    </w:div>
    <w:div w:id="1829712296">
      <w:bodyDiv w:val="1"/>
      <w:marLeft w:val="0"/>
      <w:marRight w:val="0"/>
      <w:marTop w:val="0"/>
      <w:marBottom w:val="0"/>
      <w:divBdr>
        <w:top w:val="none" w:sz="0" w:space="0" w:color="auto"/>
        <w:left w:val="none" w:sz="0" w:space="0" w:color="auto"/>
        <w:bottom w:val="none" w:sz="0" w:space="0" w:color="auto"/>
        <w:right w:val="none" w:sz="0" w:space="0" w:color="auto"/>
      </w:divBdr>
    </w:div>
    <w:div w:id="1830364039">
      <w:bodyDiv w:val="1"/>
      <w:marLeft w:val="0"/>
      <w:marRight w:val="0"/>
      <w:marTop w:val="0"/>
      <w:marBottom w:val="0"/>
      <w:divBdr>
        <w:top w:val="none" w:sz="0" w:space="0" w:color="auto"/>
        <w:left w:val="none" w:sz="0" w:space="0" w:color="auto"/>
        <w:bottom w:val="none" w:sz="0" w:space="0" w:color="auto"/>
        <w:right w:val="none" w:sz="0" w:space="0" w:color="auto"/>
      </w:divBdr>
    </w:div>
    <w:div w:id="1840192506">
      <w:bodyDiv w:val="1"/>
      <w:marLeft w:val="0"/>
      <w:marRight w:val="0"/>
      <w:marTop w:val="0"/>
      <w:marBottom w:val="0"/>
      <w:divBdr>
        <w:top w:val="none" w:sz="0" w:space="0" w:color="auto"/>
        <w:left w:val="none" w:sz="0" w:space="0" w:color="auto"/>
        <w:bottom w:val="none" w:sz="0" w:space="0" w:color="auto"/>
        <w:right w:val="none" w:sz="0" w:space="0" w:color="auto"/>
      </w:divBdr>
    </w:div>
    <w:div w:id="1840778243">
      <w:bodyDiv w:val="1"/>
      <w:marLeft w:val="0"/>
      <w:marRight w:val="0"/>
      <w:marTop w:val="0"/>
      <w:marBottom w:val="0"/>
      <w:divBdr>
        <w:top w:val="none" w:sz="0" w:space="0" w:color="auto"/>
        <w:left w:val="none" w:sz="0" w:space="0" w:color="auto"/>
        <w:bottom w:val="none" w:sz="0" w:space="0" w:color="auto"/>
        <w:right w:val="none" w:sz="0" w:space="0" w:color="auto"/>
      </w:divBdr>
    </w:div>
    <w:div w:id="1844391473">
      <w:bodyDiv w:val="1"/>
      <w:marLeft w:val="0"/>
      <w:marRight w:val="0"/>
      <w:marTop w:val="0"/>
      <w:marBottom w:val="0"/>
      <w:divBdr>
        <w:top w:val="none" w:sz="0" w:space="0" w:color="auto"/>
        <w:left w:val="none" w:sz="0" w:space="0" w:color="auto"/>
        <w:bottom w:val="none" w:sz="0" w:space="0" w:color="auto"/>
        <w:right w:val="none" w:sz="0" w:space="0" w:color="auto"/>
      </w:divBdr>
    </w:div>
    <w:div w:id="1849636931">
      <w:bodyDiv w:val="1"/>
      <w:marLeft w:val="0"/>
      <w:marRight w:val="0"/>
      <w:marTop w:val="0"/>
      <w:marBottom w:val="0"/>
      <w:divBdr>
        <w:top w:val="none" w:sz="0" w:space="0" w:color="auto"/>
        <w:left w:val="none" w:sz="0" w:space="0" w:color="auto"/>
        <w:bottom w:val="none" w:sz="0" w:space="0" w:color="auto"/>
        <w:right w:val="none" w:sz="0" w:space="0" w:color="auto"/>
      </w:divBdr>
    </w:div>
    <w:div w:id="1852840008">
      <w:bodyDiv w:val="1"/>
      <w:marLeft w:val="0"/>
      <w:marRight w:val="0"/>
      <w:marTop w:val="0"/>
      <w:marBottom w:val="0"/>
      <w:divBdr>
        <w:top w:val="none" w:sz="0" w:space="0" w:color="auto"/>
        <w:left w:val="none" w:sz="0" w:space="0" w:color="auto"/>
        <w:bottom w:val="none" w:sz="0" w:space="0" w:color="auto"/>
        <w:right w:val="none" w:sz="0" w:space="0" w:color="auto"/>
      </w:divBdr>
    </w:div>
    <w:div w:id="1870529945">
      <w:bodyDiv w:val="1"/>
      <w:marLeft w:val="0"/>
      <w:marRight w:val="0"/>
      <w:marTop w:val="0"/>
      <w:marBottom w:val="0"/>
      <w:divBdr>
        <w:top w:val="none" w:sz="0" w:space="0" w:color="auto"/>
        <w:left w:val="none" w:sz="0" w:space="0" w:color="auto"/>
        <w:bottom w:val="none" w:sz="0" w:space="0" w:color="auto"/>
        <w:right w:val="none" w:sz="0" w:space="0" w:color="auto"/>
      </w:divBdr>
    </w:div>
    <w:div w:id="1897550607">
      <w:bodyDiv w:val="1"/>
      <w:marLeft w:val="0"/>
      <w:marRight w:val="0"/>
      <w:marTop w:val="0"/>
      <w:marBottom w:val="0"/>
      <w:divBdr>
        <w:top w:val="none" w:sz="0" w:space="0" w:color="auto"/>
        <w:left w:val="none" w:sz="0" w:space="0" w:color="auto"/>
        <w:bottom w:val="none" w:sz="0" w:space="0" w:color="auto"/>
        <w:right w:val="none" w:sz="0" w:space="0" w:color="auto"/>
      </w:divBdr>
    </w:div>
    <w:div w:id="1910538165">
      <w:bodyDiv w:val="1"/>
      <w:marLeft w:val="0"/>
      <w:marRight w:val="0"/>
      <w:marTop w:val="0"/>
      <w:marBottom w:val="0"/>
      <w:divBdr>
        <w:top w:val="none" w:sz="0" w:space="0" w:color="auto"/>
        <w:left w:val="none" w:sz="0" w:space="0" w:color="auto"/>
        <w:bottom w:val="none" w:sz="0" w:space="0" w:color="auto"/>
        <w:right w:val="none" w:sz="0" w:space="0" w:color="auto"/>
      </w:divBdr>
    </w:div>
    <w:div w:id="1912689284">
      <w:bodyDiv w:val="1"/>
      <w:marLeft w:val="0"/>
      <w:marRight w:val="0"/>
      <w:marTop w:val="0"/>
      <w:marBottom w:val="0"/>
      <w:divBdr>
        <w:top w:val="none" w:sz="0" w:space="0" w:color="auto"/>
        <w:left w:val="none" w:sz="0" w:space="0" w:color="auto"/>
        <w:bottom w:val="none" w:sz="0" w:space="0" w:color="auto"/>
        <w:right w:val="none" w:sz="0" w:space="0" w:color="auto"/>
      </w:divBdr>
    </w:div>
    <w:div w:id="1921210461">
      <w:bodyDiv w:val="1"/>
      <w:marLeft w:val="0"/>
      <w:marRight w:val="0"/>
      <w:marTop w:val="0"/>
      <w:marBottom w:val="0"/>
      <w:divBdr>
        <w:top w:val="none" w:sz="0" w:space="0" w:color="auto"/>
        <w:left w:val="none" w:sz="0" w:space="0" w:color="auto"/>
        <w:bottom w:val="none" w:sz="0" w:space="0" w:color="auto"/>
        <w:right w:val="none" w:sz="0" w:space="0" w:color="auto"/>
      </w:divBdr>
    </w:div>
    <w:div w:id="1940405250">
      <w:bodyDiv w:val="1"/>
      <w:marLeft w:val="0"/>
      <w:marRight w:val="0"/>
      <w:marTop w:val="0"/>
      <w:marBottom w:val="0"/>
      <w:divBdr>
        <w:top w:val="none" w:sz="0" w:space="0" w:color="auto"/>
        <w:left w:val="none" w:sz="0" w:space="0" w:color="auto"/>
        <w:bottom w:val="none" w:sz="0" w:space="0" w:color="auto"/>
        <w:right w:val="none" w:sz="0" w:space="0" w:color="auto"/>
      </w:divBdr>
    </w:div>
    <w:div w:id="1945183154">
      <w:bodyDiv w:val="1"/>
      <w:marLeft w:val="0"/>
      <w:marRight w:val="0"/>
      <w:marTop w:val="0"/>
      <w:marBottom w:val="0"/>
      <w:divBdr>
        <w:top w:val="none" w:sz="0" w:space="0" w:color="auto"/>
        <w:left w:val="none" w:sz="0" w:space="0" w:color="auto"/>
        <w:bottom w:val="none" w:sz="0" w:space="0" w:color="auto"/>
        <w:right w:val="none" w:sz="0" w:space="0" w:color="auto"/>
      </w:divBdr>
    </w:div>
    <w:div w:id="1953508449">
      <w:bodyDiv w:val="1"/>
      <w:marLeft w:val="0"/>
      <w:marRight w:val="0"/>
      <w:marTop w:val="0"/>
      <w:marBottom w:val="0"/>
      <w:divBdr>
        <w:top w:val="none" w:sz="0" w:space="0" w:color="auto"/>
        <w:left w:val="none" w:sz="0" w:space="0" w:color="auto"/>
        <w:bottom w:val="none" w:sz="0" w:space="0" w:color="auto"/>
        <w:right w:val="none" w:sz="0" w:space="0" w:color="auto"/>
      </w:divBdr>
    </w:div>
    <w:div w:id="1955483594">
      <w:bodyDiv w:val="1"/>
      <w:marLeft w:val="0"/>
      <w:marRight w:val="0"/>
      <w:marTop w:val="0"/>
      <w:marBottom w:val="0"/>
      <w:divBdr>
        <w:top w:val="none" w:sz="0" w:space="0" w:color="auto"/>
        <w:left w:val="none" w:sz="0" w:space="0" w:color="auto"/>
        <w:bottom w:val="none" w:sz="0" w:space="0" w:color="auto"/>
        <w:right w:val="none" w:sz="0" w:space="0" w:color="auto"/>
      </w:divBdr>
    </w:div>
    <w:div w:id="1982731155">
      <w:bodyDiv w:val="1"/>
      <w:marLeft w:val="0"/>
      <w:marRight w:val="0"/>
      <w:marTop w:val="0"/>
      <w:marBottom w:val="0"/>
      <w:divBdr>
        <w:top w:val="none" w:sz="0" w:space="0" w:color="auto"/>
        <w:left w:val="none" w:sz="0" w:space="0" w:color="auto"/>
        <w:bottom w:val="none" w:sz="0" w:space="0" w:color="auto"/>
        <w:right w:val="none" w:sz="0" w:space="0" w:color="auto"/>
      </w:divBdr>
    </w:div>
    <w:div w:id="1986199610">
      <w:bodyDiv w:val="1"/>
      <w:marLeft w:val="0"/>
      <w:marRight w:val="0"/>
      <w:marTop w:val="0"/>
      <w:marBottom w:val="0"/>
      <w:divBdr>
        <w:top w:val="none" w:sz="0" w:space="0" w:color="auto"/>
        <w:left w:val="none" w:sz="0" w:space="0" w:color="auto"/>
        <w:bottom w:val="none" w:sz="0" w:space="0" w:color="auto"/>
        <w:right w:val="none" w:sz="0" w:space="0" w:color="auto"/>
      </w:divBdr>
    </w:div>
    <w:div w:id="1998217909">
      <w:bodyDiv w:val="1"/>
      <w:marLeft w:val="0"/>
      <w:marRight w:val="0"/>
      <w:marTop w:val="0"/>
      <w:marBottom w:val="0"/>
      <w:divBdr>
        <w:top w:val="none" w:sz="0" w:space="0" w:color="auto"/>
        <w:left w:val="none" w:sz="0" w:space="0" w:color="auto"/>
        <w:bottom w:val="none" w:sz="0" w:space="0" w:color="auto"/>
        <w:right w:val="none" w:sz="0" w:space="0" w:color="auto"/>
      </w:divBdr>
    </w:div>
    <w:div w:id="2017069809">
      <w:bodyDiv w:val="1"/>
      <w:marLeft w:val="0"/>
      <w:marRight w:val="0"/>
      <w:marTop w:val="0"/>
      <w:marBottom w:val="0"/>
      <w:divBdr>
        <w:top w:val="none" w:sz="0" w:space="0" w:color="auto"/>
        <w:left w:val="none" w:sz="0" w:space="0" w:color="auto"/>
        <w:bottom w:val="none" w:sz="0" w:space="0" w:color="auto"/>
        <w:right w:val="none" w:sz="0" w:space="0" w:color="auto"/>
      </w:divBdr>
    </w:div>
    <w:div w:id="2033412959">
      <w:bodyDiv w:val="1"/>
      <w:marLeft w:val="0"/>
      <w:marRight w:val="0"/>
      <w:marTop w:val="0"/>
      <w:marBottom w:val="0"/>
      <w:divBdr>
        <w:top w:val="none" w:sz="0" w:space="0" w:color="auto"/>
        <w:left w:val="none" w:sz="0" w:space="0" w:color="auto"/>
        <w:bottom w:val="none" w:sz="0" w:space="0" w:color="auto"/>
        <w:right w:val="none" w:sz="0" w:space="0" w:color="auto"/>
      </w:divBdr>
    </w:div>
    <w:div w:id="2059743985">
      <w:bodyDiv w:val="1"/>
      <w:marLeft w:val="0"/>
      <w:marRight w:val="0"/>
      <w:marTop w:val="0"/>
      <w:marBottom w:val="0"/>
      <w:divBdr>
        <w:top w:val="none" w:sz="0" w:space="0" w:color="auto"/>
        <w:left w:val="none" w:sz="0" w:space="0" w:color="auto"/>
        <w:bottom w:val="none" w:sz="0" w:space="0" w:color="auto"/>
        <w:right w:val="none" w:sz="0" w:space="0" w:color="auto"/>
      </w:divBdr>
    </w:div>
    <w:div w:id="2064282949">
      <w:bodyDiv w:val="1"/>
      <w:marLeft w:val="0"/>
      <w:marRight w:val="0"/>
      <w:marTop w:val="0"/>
      <w:marBottom w:val="0"/>
      <w:divBdr>
        <w:top w:val="none" w:sz="0" w:space="0" w:color="auto"/>
        <w:left w:val="none" w:sz="0" w:space="0" w:color="auto"/>
        <w:bottom w:val="none" w:sz="0" w:space="0" w:color="auto"/>
        <w:right w:val="none" w:sz="0" w:space="0" w:color="auto"/>
      </w:divBdr>
    </w:div>
    <w:div w:id="210167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0.emf"/><Relationship Id="rId42" Type="http://schemas.openxmlformats.org/officeDocument/2006/relationships/image" Target="media/image30.emf"/><Relationship Id="rId63" Type="http://schemas.openxmlformats.org/officeDocument/2006/relationships/footer" Target="footer3.xml"/><Relationship Id="rId84" Type="http://schemas.openxmlformats.org/officeDocument/2006/relationships/image" Target="media/image70.emf"/><Relationship Id="rId138" Type="http://schemas.openxmlformats.org/officeDocument/2006/relationships/image" Target="media/image124.emf"/><Relationship Id="rId159" Type="http://schemas.openxmlformats.org/officeDocument/2006/relationships/image" Target="media/image145.emf"/><Relationship Id="rId170" Type="http://schemas.openxmlformats.org/officeDocument/2006/relationships/image" Target="media/image156.emf"/><Relationship Id="rId191" Type="http://schemas.openxmlformats.org/officeDocument/2006/relationships/image" Target="media/image177.emf"/><Relationship Id="rId205" Type="http://schemas.openxmlformats.org/officeDocument/2006/relationships/image" Target="media/image191.png"/><Relationship Id="rId226" Type="http://schemas.openxmlformats.org/officeDocument/2006/relationships/image" Target="media/image212.emf"/><Relationship Id="rId247" Type="http://schemas.openxmlformats.org/officeDocument/2006/relationships/header" Target="header4.xml"/><Relationship Id="rId107" Type="http://schemas.openxmlformats.org/officeDocument/2006/relationships/image" Target="media/image93.emf"/><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image" Target="media/image41.emf"/><Relationship Id="rId74" Type="http://schemas.openxmlformats.org/officeDocument/2006/relationships/image" Target="media/image60.emf"/><Relationship Id="rId128" Type="http://schemas.openxmlformats.org/officeDocument/2006/relationships/image" Target="media/image114.emf"/><Relationship Id="rId149" Type="http://schemas.openxmlformats.org/officeDocument/2006/relationships/image" Target="media/image135.emf"/><Relationship Id="rId5" Type="http://schemas.openxmlformats.org/officeDocument/2006/relationships/webSettings" Target="webSettings.xml"/><Relationship Id="rId95" Type="http://schemas.openxmlformats.org/officeDocument/2006/relationships/image" Target="media/image81.emf"/><Relationship Id="rId160" Type="http://schemas.openxmlformats.org/officeDocument/2006/relationships/image" Target="media/image146.emf"/><Relationship Id="rId181" Type="http://schemas.openxmlformats.org/officeDocument/2006/relationships/image" Target="media/image167.emf"/><Relationship Id="rId216" Type="http://schemas.openxmlformats.org/officeDocument/2006/relationships/image" Target="media/image202.png"/><Relationship Id="rId237" Type="http://schemas.openxmlformats.org/officeDocument/2006/relationships/image" Target="media/image223.emf"/><Relationship Id="rId22" Type="http://schemas.openxmlformats.org/officeDocument/2006/relationships/image" Target="media/image11.png"/><Relationship Id="rId43" Type="http://schemas.openxmlformats.org/officeDocument/2006/relationships/image" Target="media/image31.emf"/><Relationship Id="rId64" Type="http://schemas.openxmlformats.org/officeDocument/2006/relationships/image" Target="media/image50.emf"/><Relationship Id="rId118" Type="http://schemas.openxmlformats.org/officeDocument/2006/relationships/image" Target="media/image104.emf"/><Relationship Id="rId139" Type="http://schemas.openxmlformats.org/officeDocument/2006/relationships/image" Target="media/image125.emf"/><Relationship Id="rId85" Type="http://schemas.openxmlformats.org/officeDocument/2006/relationships/image" Target="media/image71.emf"/><Relationship Id="rId150" Type="http://schemas.openxmlformats.org/officeDocument/2006/relationships/image" Target="media/image136.emf"/><Relationship Id="rId171" Type="http://schemas.openxmlformats.org/officeDocument/2006/relationships/image" Target="media/image157.emf"/><Relationship Id="rId192" Type="http://schemas.openxmlformats.org/officeDocument/2006/relationships/image" Target="media/image178.emf"/><Relationship Id="rId206" Type="http://schemas.openxmlformats.org/officeDocument/2006/relationships/image" Target="media/image192.png"/><Relationship Id="rId227" Type="http://schemas.openxmlformats.org/officeDocument/2006/relationships/image" Target="media/image213.emf"/><Relationship Id="rId248"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image" Target="media/image89.emf"/><Relationship Id="rId108" Type="http://schemas.openxmlformats.org/officeDocument/2006/relationships/image" Target="media/image94.emf"/><Relationship Id="rId124" Type="http://schemas.openxmlformats.org/officeDocument/2006/relationships/image" Target="media/image110.emf"/><Relationship Id="rId129" Type="http://schemas.openxmlformats.org/officeDocument/2006/relationships/image" Target="media/image115.emf"/><Relationship Id="rId54" Type="http://schemas.openxmlformats.org/officeDocument/2006/relationships/image" Target="media/image42.emf"/><Relationship Id="rId70" Type="http://schemas.openxmlformats.org/officeDocument/2006/relationships/image" Target="media/image56.jpeg"/><Relationship Id="rId75" Type="http://schemas.openxmlformats.org/officeDocument/2006/relationships/image" Target="media/image61.wmf"/><Relationship Id="rId91" Type="http://schemas.openxmlformats.org/officeDocument/2006/relationships/image" Target="media/image77.emf"/><Relationship Id="rId96" Type="http://schemas.openxmlformats.org/officeDocument/2006/relationships/image" Target="media/image82.emf"/><Relationship Id="rId140" Type="http://schemas.openxmlformats.org/officeDocument/2006/relationships/image" Target="media/image126.emf"/><Relationship Id="rId145" Type="http://schemas.openxmlformats.org/officeDocument/2006/relationships/image" Target="media/image131.emf"/><Relationship Id="rId161" Type="http://schemas.openxmlformats.org/officeDocument/2006/relationships/image" Target="media/image147.emf"/><Relationship Id="rId166" Type="http://schemas.openxmlformats.org/officeDocument/2006/relationships/image" Target="media/image152.emf"/><Relationship Id="rId182" Type="http://schemas.openxmlformats.org/officeDocument/2006/relationships/image" Target="media/image168.emf"/><Relationship Id="rId187" Type="http://schemas.openxmlformats.org/officeDocument/2006/relationships/image" Target="media/image173.emf"/><Relationship Id="rId217" Type="http://schemas.openxmlformats.org/officeDocument/2006/relationships/image" Target="media/image203.emf"/><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8.png"/><Relationship Id="rId233" Type="http://schemas.openxmlformats.org/officeDocument/2006/relationships/image" Target="media/image219.png"/><Relationship Id="rId238" Type="http://schemas.openxmlformats.org/officeDocument/2006/relationships/image" Target="media/image224.png"/><Relationship Id="rId23" Type="http://schemas.openxmlformats.org/officeDocument/2006/relationships/image" Target="media/image12.png"/><Relationship Id="rId28" Type="http://schemas.openxmlformats.org/officeDocument/2006/relationships/image" Target="media/image17.wmf"/><Relationship Id="rId49" Type="http://schemas.openxmlformats.org/officeDocument/2006/relationships/image" Target="media/image37.emf"/><Relationship Id="rId114" Type="http://schemas.openxmlformats.org/officeDocument/2006/relationships/image" Target="media/image100.emf"/><Relationship Id="rId119" Type="http://schemas.openxmlformats.org/officeDocument/2006/relationships/image" Target="media/image105.emf"/><Relationship Id="rId44" Type="http://schemas.openxmlformats.org/officeDocument/2006/relationships/image" Target="media/image32.emf"/><Relationship Id="rId60" Type="http://schemas.openxmlformats.org/officeDocument/2006/relationships/image" Target="media/image48.emf"/><Relationship Id="rId65" Type="http://schemas.openxmlformats.org/officeDocument/2006/relationships/image" Target="media/image51.emf"/><Relationship Id="rId81" Type="http://schemas.openxmlformats.org/officeDocument/2006/relationships/image" Target="media/image67.emf"/><Relationship Id="rId86" Type="http://schemas.openxmlformats.org/officeDocument/2006/relationships/image" Target="media/image72.emf"/><Relationship Id="rId130" Type="http://schemas.openxmlformats.org/officeDocument/2006/relationships/image" Target="media/image116.emf"/><Relationship Id="rId135" Type="http://schemas.openxmlformats.org/officeDocument/2006/relationships/image" Target="media/image121.emf"/><Relationship Id="rId151" Type="http://schemas.openxmlformats.org/officeDocument/2006/relationships/image" Target="media/image137.emf"/><Relationship Id="rId156" Type="http://schemas.openxmlformats.org/officeDocument/2006/relationships/image" Target="media/image142.emf"/><Relationship Id="rId177" Type="http://schemas.openxmlformats.org/officeDocument/2006/relationships/image" Target="media/image163.emf"/><Relationship Id="rId198" Type="http://schemas.openxmlformats.org/officeDocument/2006/relationships/image" Target="media/image184.emf"/><Relationship Id="rId172" Type="http://schemas.openxmlformats.org/officeDocument/2006/relationships/image" Target="media/image158.emf"/><Relationship Id="rId193" Type="http://schemas.openxmlformats.org/officeDocument/2006/relationships/image" Target="media/image179.emf"/><Relationship Id="rId202" Type="http://schemas.openxmlformats.org/officeDocument/2006/relationships/image" Target="media/image188.png"/><Relationship Id="rId207" Type="http://schemas.openxmlformats.org/officeDocument/2006/relationships/image" Target="media/image193.png"/><Relationship Id="rId223" Type="http://schemas.openxmlformats.org/officeDocument/2006/relationships/image" Target="media/image209.emf"/><Relationship Id="rId228" Type="http://schemas.openxmlformats.org/officeDocument/2006/relationships/image" Target="media/image214.png"/><Relationship Id="rId244" Type="http://schemas.openxmlformats.org/officeDocument/2006/relationships/image" Target="media/image230.emf"/><Relationship Id="rId249"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7.emf"/><Relationship Id="rId39" Type="http://schemas.openxmlformats.org/officeDocument/2006/relationships/image" Target="media/image27.emf"/><Relationship Id="rId109" Type="http://schemas.openxmlformats.org/officeDocument/2006/relationships/image" Target="media/image95.emf"/><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image" Target="media/image90.emf"/><Relationship Id="rId120" Type="http://schemas.openxmlformats.org/officeDocument/2006/relationships/image" Target="media/image106.emf"/><Relationship Id="rId125" Type="http://schemas.openxmlformats.org/officeDocument/2006/relationships/image" Target="media/image111.emf"/><Relationship Id="rId141" Type="http://schemas.openxmlformats.org/officeDocument/2006/relationships/image" Target="media/image127.emf"/><Relationship Id="rId146" Type="http://schemas.openxmlformats.org/officeDocument/2006/relationships/image" Target="media/image132.emf"/><Relationship Id="rId167" Type="http://schemas.openxmlformats.org/officeDocument/2006/relationships/image" Target="media/image153.emf"/><Relationship Id="rId188" Type="http://schemas.openxmlformats.org/officeDocument/2006/relationships/image" Target="media/image174.emf"/><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emf"/><Relationship Id="rId162" Type="http://schemas.openxmlformats.org/officeDocument/2006/relationships/image" Target="media/image148.emf"/><Relationship Id="rId183" Type="http://schemas.openxmlformats.org/officeDocument/2006/relationships/image" Target="media/image169.emf"/><Relationship Id="rId213" Type="http://schemas.openxmlformats.org/officeDocument/2006/relationships/image" Target="media/image199.png"/><Relationship Id="rId218" Type="http://schemas.openxmlformats.org/officeDocument/2006/relationships/image" Target="media/image204.emf"/><Relationship Id="rId234" Type="http://schemas.openxmlformats.org/officeDocument/2006/relationships/image" Target="media/image220.emf"/><Relationship Id="rId239" Type="http://schemas.openxmlformats.org/officeDocument/2006/relationships/image" Target="media/image225.png"/><Relationship Id="rId2" Type="http://schemas.openxmlformats.org/officeDocument/2006/relationships/styles" Target="styles.xml"/><Relationship Id="rId29" Type="http://schemas.openxmlformats.org/officeDocument/2006/relationships/oleObject" Target="embeddings/oleObject1.bin"/><Relationship Id="rId24" Type="http://schemas.openxmlformats.org/officeDocument/2006/relationships/image" Target="media/image13.png"/><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2.emf"/><Relationship Id="rId87" Type="http://schemas.openxmlformats.org/officeDocument/2006/relationships/image" Target="media/image73.emf"/><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7.emf"/><Relationship Id="rId136" Type="http://schemas.openxmlformats.org/officeDocument/2006/relationships/image" Target="media/image122.emf"/><Relationship Id="rId157" Type="http://schemas.openxmlformats.org/officeDocument/2006/relationships/image" Target="media/image143.emf"/><Relationship Id="rId178" Type="http://schemas.openxmlformats.org/officeDocument/2006/relationships/image" Target="media/image164.emf"/><Relationship Id="rId61" Type="http://schemas.openxmlformats.org/officeDocument/2006/relationships/image" Target="media/image49.emf"/><Relationship Id="rId82" Type="http://schemas.openxmlformats.org/officeDocument/2006/relationships/image" Target="media/image68.emf"/><Relationship Id="rId152" Type="http://schemas.openxmlformats.org/officeDocument/2006/relationships/image" Target="media/image138.emf"/><Relationship Id="rId173" Type="http://schemas.openxmlformats.org/officeDocument/2006/relationships/image" Target="media/image159.emf"/><Relationship Id="rId194" Type="http://schemas.openxmlformats.org/officeDocument/2006/relationships/image" Target="media/image180.emf"/><Relationship Id="rId199" Type="http://schemas.openxmlformats.org/officeDocument/2006/relationships/image" Target="media/image185.emf"/><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emf"/><Relationship Id="rId19" Type="http://schemas.openxmlformats.org/officeDocument/2006/relationships/image" Target="media/image8.emf"/><Relationship Id="rId224" Type="http://schemas.openxmlformats.org/officeDocument/2006/relationships/image" Target="media/image210.emf"/><Relationship Id="rId240" Type="http://schemas.openxmlformats.org/officeDocument/2006/relationships/image" Target="media/image226.png"/><Relationship Id="rId245" Type="http://schemas.openxmlformats.org/officeDocument/2006/relationships/image" Target="media/image231.emf"/><Relationship Id="rId14" Type="http://schemas.openxmlformats.org/officeDocument/2006/relationships/image" Target="media/image3.e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emf"/><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image" Target="media/image154.emf"/><Relationship Id="rId8" Type="http://schemas.openxmlformats.org/officeDocument/2006/relationships/image" Target="media/image1.jpeg"/><Relationship Id="rId51" Type="http://schemas.openxmlformats.org/officeDocument/2006/relationships/image" Target="media/image39.emf"/><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121" Type="http://schemas.openxmlformats.org/officeDocument/2006/relationships/image" Target="media/image107.emf"/><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image" Target="media/image170.emf"/><Relationship Id="rId189" Type="http://schemas.openxmlformats.org/officeDocument/2006/relationships/image" Target="media/image175.emf"/><Relationship Id="rId219" Type="http://schemas.openxmlformats.org/officeDocument/2006/relationships/image" Target="media/image205.png"/><Relationship Id="rId3" Type="http://schemas.microsoft.com/office/2007/relationships/stylesWithEffects" Target="stylesWithEffects.xml"/><Relationship Id="rId214" Type="http://schemas.openxmlformats.org/officeDocument/2006/relationships/image" Target="media/image200.jpeg"/><Relationship Id="rId230" Type="http://schemas.openxmlformats.org/officeDocument/2006/relationships/image" Target="media/image216.emf"/><Relationship Id="rId235" Type="http://schemas.openxmlformats.org/officeDocument/2006/relationships/image" Target="media/image221.emf"/><Relationship Id="rId25" Type="http://schemas.openxmlformats.org/officeDocument/2006/relationships/image" Target="media/image14.emf"/><Relationship Id="rId46" Type="http://schemas.openxmlformats.org/officeDocument/2006/relationships/image" Target="media/image34.emf"/><Relationship Id="rId67" Type="http://schemas.openxmlformats.org/officeDocument/2006/relationships/image" Target="media/image53.emf"/><Relationship Id="rId116" Type="http://schemas.openxmlformats.org/officeDocument/2006/relationships/image" Target="media/image102.emf"/><Relationship Id="rId137" Type="http://schemas.openxmlformats.org/officeDocument/2006/relationships/image" Target="media/image123.emf"/><Relationship Id="rId158" Type="http://schemas.openxmlformats.org/officeDocument/2006/relationships/image" Target="media/image144.emf"/><Relationship Id="rId20" Type="http://schemas.openxmlformats.org/officeDocument/2006/relationships/image" Target="media/image9.png"/><Relationship Id="rId41" Type="http://schemas.openxmlformats.org/officeDocument/2006/relationships/image" Target="media/image29.emf"/><Relationship Id="rId62" Type="http://schemas.openxmlformats.org/officeDocument/2006/relationships/header" Target="header2.xml"/><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emf"/><Relationship Id="rId174" Type="http://schemas.openxmlformats.org/officeDocument/2006/relationships/image" Target="media/image160.emf"/><Relationship Id="rId179" Type="http://schemas.openxmlformats.org/officeDocument/2006/relationships/image" Target="media/image165.emf"/><Relationship Id="rId195" Type="http://schemas.openxmlformats.org/officeDocument/2006/relationships/image" Target="media/image181.emf"/><Relationship Id="rId209" Type="http://schemas.openxmlformats.org/officeDocument/2006/relationships/image" Target="media/image195.png"/><Relationship Id="rId190" Type="http://schemas.openxmlformats.org/officeDocument/2006/relationships/image" Target="media/image176.emf"/><Relationship Id="rId204" Type="http://schemas.openxmlformats.org/officeDocument/2006/relationships/image" Target="media/image190.png"/><Relationship Id="rId220" Type="http://schemas.openxmlformats.org/officeDocument/2006/relationships/image" Target="media/image206.emf"/><Relationship Id="rId225" Type="http://schemas.openxmlformats.org/officeDocument/2006/relationships/image" Target="media/image211.emf"/><Relationship Id="rId241" Type="http://schemas.openxmlformats.org/officeDocument/2006/relationships/image" Target="media/image227.png"/><Relationship Id="rId246" Type="http://schemas.openxmlformats.org/officeDocument/2006/relationships/header" Target="header3.xml"/><Relationship Id="rId15" Type="http://schemas.openxmlformats.org/officeDocument/2006/relationships/image" Target="media/image4.emf"/><Relationship Id="rId36" Type="http://schemas.openxmlformats.org/officeDocument/2006/relationships/image" Target="media/image24.emf"/><Relationship Id="rId57" Type="http://schemas.openxmlformats.org/officeDocument/2006/relationships/image" Target="media/image45.emf"/><Relationship Id="rId106" Type="http://schemas.openxmlformats.org/officeDocument/2006/relationships/image" Target="media/image92.emf"/><Relationship Id="rId127" Type="http://schemas.openxmlformats.org/officeDocument/2006/relationships/image" Target="media/image113.emf"/><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emf"/><Relationship Id="rId73" Type="http://schemas.openxmlformats.org/officeDocument/2006/relationships/image" Target="media/image59.emf"/><Relationship Id="rId78" Type="http://schemas.openxmlformats.org/officeDocument/2006/relationships/image" Target="media/image64.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43" Type="http://schemas.openxmlformats.org/officeDocument/2006/relationships/image" Target="media/image129.emf"/><Relationship Id="rId148" Type="http://schemas.openxmlformats.org/officeDocument/2006/relationships/image" Target="media/image134.emf"/><Relationship Id="rId164" Type="http://schemas.openxmlformats.org/officeDocument/2006/relationships/image" Target="media/image150.emf"/><Relationship Id="rId169" Type="http://schemas.openxmlformats.org/officeDocument/2006/relationships/image" Target="media/image155.emf"/><Relationship Id="rId185" Type="http://schemas.openxmlformats.org/officeDocument/2006/relationships/image" Target="media/image171.emf"/><Relationship Id="rId4" Type="http://schemas.openxmlformats.org/officeDocument/2006/relationships/settings" Target="settings.xml"/><Relationship Id="rId9" Type="http://schemas.openxmlformats.org/officeDocument/2006/relationships/hyperlink" Target="file:///\\Servidor\conicbf\PROYECTOS\0961-Hidrologia" TargetMode="External"/><Relationship Id="rId180" Type="http://schemas.openxmlformats.org/officeDocument/2006/relationships/image" Target="media/image166.emf"/><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emf"/><Relationship Id="rId26" Type="http://schemas.openxmlformats.org/officeDocument/2006/relationships/image" Target="media/image15.emf"/><Relationship Id="rId231" Type="http://schemas.openxmlformats.org/officeDocument/2006/relationships/image" Target="media/image217.emf"/><Relationship Id="rId47" Type="http://schemas.openxmlformats.org/officeDocument/2006/relationships/image" Target="media/image35.emf"/><Relationship Id="rId68" Type="http://schemas.openxmlformats.org/officeDocument/2006/relationships/image" Target="media/image54.emf"/><Relationship Id="rId89" Type="http://schemas.openxmlformats.org/officeDocument/2006/relationships/image" Target="media/image75.emf"/><Relationship Id="rId112" Type="http://schemas.openxmlformats.org/officeDocument/2006/relationships/image" Target="media/image98.emf"/><Relationship Id="rId133" Type="http://schemas.openxmlformats.org/officeDocument/2006/relationships/image" Target="media/image119.emf"/><Relationship Id="rId154" Type="http://schemas.openxmlformats.org/officeDocument/2006/relationships/image" Target="media/image140.emf"/><Relationship Id="rId175" Type="http://schemas.openxmlformats.org/officeDocument/2006/relationships/image" Target="media/image161.emf"/><Relationship Id="rId196" Type="http://schemas.openxmlformats.org/officeDocument/2006/relationships/image" Target="media/image182.emf"/><Relationship Id="rId200" Type="http://schemas.openxmlformats.org/officeDocument/2006/relationships/image" Target="media/image186.emf"/><Relationship Id="rId16" Type="http://schemas.openxmlformats.org/officeDocument/2006/relationships/image" Target="media/image5.emf"/><Relationship Id="rId221" Type="http://schemas.openxmlformats.org/officeDocument/2006/relationships/image" Target="media/image207.emf"/><Relationship Id="rId242" Type="http://schemas.openxmlformats.org/officeDocument/2006/relationships/image" Target="media/image228.png"/><Relationship Id="rId37" Type="http://schemas.openxmlformats.org/officeDocument/2006/relationships/image" Target="media/image25.emf"/><Relationship Id="rId58" Type="http://schemas.openxmlformats.org/officeDocument/2006/relationships/image" Target="media/image46.emf"/><Relationship Id="rId79" Type="http://schemas.openxmlformats.org/officeDocument/2006/relationships/image" Target="media/image65.emf"/><Relationship Id="rId102" Type="http://schemas.openxmlformats.org/officeDocument/2006/relationships/image" Target="media/image88.emf"/><Relationship Id="rId123" Type="http://schemas.openxmlformats.org/officeDocument/2006/relationships/image" Target="media/image109.emf"/><Relationship Id="rId144" Type="http://schemas.openxmlformats.org/officeDocument/2006/relationships/image" Target="media/image130.emf"/><Relationship Id="rId90" Type="http://schemas.openxmlformats.org/officeDocument/2006/relationships/image" Target="media/image76.emf"/><Relationship Id="rId165" Type="http://schemas.openxmlformats.org/officeDocument/2006/relationships/image" Target="media/image151.emf"/><Relationship Id="rId186" Type="http://schemas.openxmlformats.org/officeDocument/2006/relationships/image" Target="media/image172.emf"/><Relationship Id="rId211" Type="http://schemas.openxmlformats.org/officeDocument/2006/relationships/image" Target="media/image197.png"/><Relationship Id="rId232" Type="http://schemas.openxmlformats.org/officeDocument/2006/relationships/image" Target="media/image218.emf"/><Relationship Id="rId27" Type="http://schemas.openxmlformats.org/officeDocument/2006/relationships/image" Target="media/image16.emf"/><Relationship Id="rId48" Type="http://schemas.openxmlformats.org/officeDocument/2006/relationships/image" Target="media/image36.emf"/><Relationship Id="rId69" Type="http://schemas.openxmlformats.org/officeDocument/2006/relationships/image" Target="media/image55.emf"/><Relationship Id="rId113" Type="http://schemas.openxmlformats.org/officeDocument/2006/relationships/image" Target="media/image99.emf"/><Relationship Id="rId134" Type="http://schemas.openxmlformats.org/officeDocument/2006/relationships/image" Target="media/image120.emf"/><Relationship Id="rId80" Type="http://schemas.openxmlformats.org/officeDocument/2006/relationships/image" Target="media/image66.emf"/><Relationship Id="rId155" Type="http://schemas.openxmlformats.org/officeDocument/2006/relationships/image" Target="media/image141.emf"/><Relationship Id="rId176" Type="http://schemas.openxmlformats.org/officeDocument/2006/relationships/image" Target="media/image162.emf"/><Relationship Id="rId197" Type="http://schemas.openxmlformats.org/officeDocument/2006/relationships/image" Target="media/image183.emf"/><Relationship Id="rId201" Type="http://schemas.openxmlformats.org/officeDocument/2006/relationships/image" Target="media/image187.emf"/><Relationship Id="rId222" Type="http://schemas.openxmlformats.org/officeDocument/2006/relationships/image" Target="media/image208.emf"/><Relationship Id="rId243" Type="http://schemas.openxmlformats.org/officeDocument/2006/relationships/image" Target="media/image2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341</Pages>
  <Words>99357</Words>
  <Characters>546464</Characters>
  <Application>Microsoft Office Word</Application>
  <DocSecurity>0</DocSecurity>
  <Lines>4553</Lines>
  <Paragraphs>1289</Paragraphs>
  <ScaleCrop>false</ScaleCrop>
  <HeadingPairs>
    <vt:vector size="2" baseType="variant">
      <vt:variant>
        <vt:lpstr>Título</vt:lpstr>
      </vt:variant>
      <vt:variant>
        <vt:i4>1</vt:i4>
      </vt:variant>
    </vt:vector>
  </HeadingPairs>
  <TitlesOfParts>
    <vt:vector size="1" baseType="lpstr">
      <vt:lpstr>Informe Etapa 1</vt:lpstr>
    </vt:vector>
  </TitlesOfParts>
  <Company>The houze!</Company>
  <LinksUpToDate>false</LinksUpToDate>
  <CharactersWithSpaces>644532</CharactersWithSpaces>
  <SharedDoc>false</SharedDoc>
  <HLinks>
    <vt:vector size="924" baseType="variant">
      <vt:variant>
        <vt:i4>1441846</vt:i4>
      </vt:variant>
      <vt:variant>
        <vt:i4>920</vt:i4>
      </vt:variant>
      <vt:variant>
        <vt:i4>0</vt:i4>
      </vt:variant>
      <vt:variant>
        <vt:i4>5</vt:i4>
      </vt:variant>
      <vt:variant>
        <vt:lpwstr/>
      </vt:variant>
      <vt:variant>
        <vt:lpwstr>_Toc344391872</vt:lpwstr>
      </vt:variant>
      <vt:variant>
        <vt:i4>1441846</vt:i4>
      </vt:variant>
      <vt:variant>
        <vt:i4>914</vt:i4>
      </vt:variant>
      <vt:variant>
        <vt:i4>0</vt:i4>
      </vt:variant>
      <vt:variant>
        <vt:i4>5</vt:i4>
      </vt:variant>
      <vt:variant>
        <vt:lpwstr/>
      </vt:variant>
      <vt:variant>
        <vt:lpwstr>_Toc344391871</vt:lpwstr>
      </vt:variant>
      <vt:variant>
        <vt:i4>1441846</vt:i4>
      </vt:variant>
      <vt:variant>
        <vt:i4>908</vt:i4>
      </vt:variant>
      <vt:variant>
        <vt:i4>0</vt:i4>
      </vt:variant>
      <vt:variant>
        <vt:i4>5</vt:i4>
      </vt:variant>
      <vt:variant>
        <vt:lpwstr/>
      </vt:variant>
      <vt:variant>
        <vt:lpwstr>_Toc344391870</vt:lpwstr>
      </vt:variant>
      <vt:variant>
        <vt:i4>1507382</vt:i4>
      </vt:variant>
      <vt:variant>
        <vt:i4>902</vt:i4>
      </vt:variant>
      <vt:variant>
        <vt:i4>0</vt:i4>
      </vt:variant>
      <vt:variant>
        <vt:i4>5</vt:i4>
      </vt:variant>
      <vt:variant>
        <vt:lpwstr/>
      </vt:variant>
      <vt:variant>
        <vt:lpwstr>_Toc344391869</vt:lpwstr>
      </vt:variant>
      <vt:variant>
        <vt:i4>1507382</vt:i4>
      </vt:variant>
      <vt:variant>
        <vt:i4>896</vt:i4>
      </vt:variant>
      <vt:variant>
        <vt:i4>0</vt:i4>
      </vt:variant>
      <vt:variant>
        <vt:i4>5</vt:i4>
      </vt:variant>
      <vt:variant>
        <vt:lpwstr/>
      </vt:variant>
      <vt:variant>
        <vt:lpwstr>_Toc344391868</vt:lpwstr>
      </vt:variant>
      <vt:variant>
        <vt:i4>1507382</vt:i4>
      </vt:variant>
      <vt:variant>
        <vt:i4>890</vt:i4>
      </vt:variant>
      <vt:variant>
        <vt:i4>0</vt:i4>
      </vt:variant>
      <vt:variant>
        <vt:i4>5</vt:i4>
      </vt:variant>
      <vt:variant>
        <vt:lpwstr/>
      </vt:variant>
      <vt:variant>
        <vt:lpwstr>_Toc344391867</vt:lpwstr>
      </vt:variant>
      <vt:variant>
        <vt:i4>1507382</vt:i4>
      </vt:variant>
      <vt:variant>
        <vt:i4>884</vt:i4>
      </vt:variant>
      <vt:variant>
        <vt:i4>0</vt:i4>
      </vt:variant>
      <vt:variant>
        <vt:i4>5</vt:i4>
      </vt:variant>
      <vt:variant>
        <vt:lpwstr/>
      </vt:variant>
      <vt:variant>
        <vt:lpwstr>_Toc344391866</vt:lpwstr>
      </vt:variant>
      <vt:variant>
        <vt:i4>1507382</vt:i4>
      </vt:variant>
      <vt:variant>
        <vt:i4>878</vt:i4>
      </vt:variant>
      <vt:variant>
        <vt:i4>0</vt:i4>
      </vt:variant>
      <vt:variant>
        <vt:i4>5</vt:i4>
      </vt:variant>
      <vt:variant>
        <vt:lpwstr/>
      </vt:variant>
      <vt:variant>
        <vt:lpwstr>_Toc344391865</vt:lpwstr>
      </vt:variant>
      <vt:variant>
        <vt:i4>1507382</vt:i4>
      </vt:variant>
      <vt:variant>
        <vt:i4>872</vt:i4>
      </vt:variant>
      <vt:variant>
        <vt:i4>0</vt:i4>
      </vt:variant>
      <vt:variant>
        <vt:i4>5</vt:i4>
      </vt:variant>
      <vt:variant>
        <vt:lpwstr/>
      </vt:variant>
      <vt:variant>
        <vt:lpwstr>_Toc344391864</vt:lpwstr>
      </vt:variant>
      <vt:variant>
        <vt:i4>1507382</vt:i4>
      </vt:variant>
      <vt:variant>
        <vt:i4>866</vt:i4>
      </vt:variant>
      <vt:variant>
        <vt:i4>0</vt:i4>
      </vt:variant>
      <vt:variant>
        <vt:i4>5</vt:i4>
      </vt:variant>
      <vt:variant>
        <vt:lpwstr/>
      </vt:variant>
      <vt:variant>
        <vt:lpwstr>_Toc344391863</vt:lpwstr>
      </vt:variant>
      <vt:variant>
        <vt:i4>1507382</vt:i4>
      </vt:variant>
      <vt:variant>
        <vt:i4>860</vt:i4>
      </vt:variant>
      <vt:variant>
        <vt:i4>0</vt:i4>
      </vt:variant>
      <vt:variant>
        <vt:i4>5</vt:i4>
      </vt:variant>
      <vt:variant>
        <vt:lpwstr/>
      </vt:variant>
      <vt:variant>
        <vt:lpwstr>_Toc344391862</vt:lpwstr>
      </vt:variant>
      <vt:variant>
        <vt:i4>1507382</vt:i4>
      </vt:variant>
      <vt:variant>
        <vt:i4>854</vt:i4>
      </vt:variant>
      <vt:variant>
        <vt:i4>0</vt:i4>
      </vt:variant>
      <vt:variant>
        <vt:i4>5</vt:i4>
      </vt:variant>
      <vt:variant>
        <vt:lpwstr/>
      </vt:variant>
      <vt:variant>
        <vt:lpwstr>_Toc344391861</vt:lpwstr>
      </vt:variant>
      <vt:variant>
        <vt:i4>1507382</vt:i4>
      </vt:variant>
      <vt:variant>
        <vt:i4>848</vt:i4>
      </vt:variant>
      <vt:variant>
        <vt:i4>0</vt:i4>
      </vt:variant>
      <vt:variant>
        <vt:i4>5</vt:i4>
      </vt:variant>
      <vt:variant>
        <vt:lpwstr/>
      </vt:variant>
      <vt:variant>
        <vt:lpwstr>_Toc344391860</vt:lpwstr>
      </vt:variant>
      <vt:variant>
        <vt:i4>1310774</vt:i4>
      </vt:variant>
      <vt:variant>
        <vt:i4>842</vt:i4>
      </vt:variant>
      <vt:variant>
        <vt:i4>0</vt:i4>
      </vt:variant>
      <vt:variant>
        <vt:i4>5</vt:i4>
      </vt:variant>
      <vt:variant>
        <vt:lpwstr/>
      </vt:variant>
      <vt:variant>
        <vt:lpwstr>_Toc344391859</vt:lpwstr>
      </vt:variant>
      <vt:variant>
        <vt:i4>1310774</vt:i4>
      </vt:variant>
      <vt:variant>
        <vt:i4>836</vt:i4>
      </vt:variant>
      <vt:variant>
        <vt:i4>0</vt:i4>
      </vt:variant>
      <vt:variant>
        <vt:i4>5</vt:i4>
      </vt:variant>
      <vt:variant>
        <vt:lpwstr/>
      </vt:variant>
      <vt:variant>
        <vt:lpwstr>_Toc344391858</vt:lpwstr>
      </vt:variant>
      <vt:variant>
        <vt:i4>1310774</vt:i4>
      </vt:variant>
      <vt:variant>
        <vt:i4>830</vt:i4>
      </vt:variant>
      <vt:variant>
        <vt:i4>0</vt:i4>
      </vt:variant>
      <vt:variant>
        <vt:i4>5</vt:i4>
      </vt:variant>
      <vt:variant>
        <vt:lpwstr/>
      </vt:variant>
      <vt:variant>
        <vt:lpwstr>_Toc344391857</vt:lpwstr>
      </vt:variant>
      <vt:variant>
        <vt:i4>1310774</vt:i4>
      </vt:variant>
      <vt:variant>
        <vt:i4>824</vt:i4>
      </vt:variant>
      <vt:variant>
        <vt:i4>0</vt:i4>
      </vt:variant>
      <vt:variant>
        <vt:i4>5</vt:i4>
      </vt:variant>
      <vt:variant>
        <vt:lpwstr/>
      </vt:variant>
      <vt:variant>
        <vt:lpwstr>_Toc344391856</vt:lpwstr>
      </vt:variant>
      <vt:variant>
        <vt:i4>1310774</vt:i4>
      </vt:variant>
      <vt:variant>
        <vt:i4>818</vt:i4>
      </vt:variant>
      <vt:variant>
        <vt:i4>0</vt:i4>
      </vt:variant>
      <vt:variant>
        <vt:i4>5</vt:i4>
      </vt:variant>
      <vt:variant>
        <vt:lpwstr/>
      </vt:variant>
      <vt:variant>
        <vt:lpwstr>_Toc344391855</vt:lpwstr>
      </vt:variant>
      <vt:variant>
        <vt:i4>1310774</vt:i4>
      </vt:variant>
      <vt:variant>
        <vt:i4>812</vt:i4>
      </vt:variant>
      <vt:variant>
        <vt:i4>0</vt:i4>
      </vt:variant>
      <vt:variant>
        <vt:i4>5</vt:i4>
      </vt:variant>
      <vt:variant>
        <vt:lpwstr/>
      </vt:variant>
      <vt:variant>
        <vt:lpwstr>_Toc344391854</vt:lpwstr>
      </vt:variant>
      <vt:variant>
        <vt:i4>1310774</vt:i4>
      </vt:variant>
      <vt:variant>
        <vt:i4>806</vt:i4>
      </vt:variant>
      <vt:variant>
        <vt:i4>0</vt:i4>
      </vt:variant>
      <vt:variant>
        <vt:i4>5</vt:i4>
      </vt:variant>
      <vt:variant>
        <vt:lpwstr/>
      </vt:variant>
      <vt:variant>
        <vt:lpwstr>_Toc344391853</vt:lpwstr>
      </vt:variant>
      <vt:variant>
        <vt:i4>1310774</vt:i4>
      </vt:variant>
      <vt:variant>
        <vt:i4>800</vt:i4>
      </vt:variant>
      <vt:variant>
        <vt:i4>0</vt:i4>
      </vt:variant>
      <vt:variant>
        <vt:i4>5</vt:i4>
      </vt:variant>
      <vt:variant>
        <vt:lpwstr/>
      </vt:variant>
      <vt:variant>
        <vt:lpwstr>_Toc344391852</vt:lpwstr>
      </vt:variant>
      <vt:variant>
        <vt:i4>1310774</vt:i4>
      </vt:variant>
      <vt:variant>
        <vt:i4>794</vt:i4>
      </vt:variant>
      <vt:variant>
        <vt:i4>0</vt:i4>
      </vt:variant>
      <vt:variant>
        <vt:i4>5</vt:i4>
      </vt:variant>
      <vt:variant>
        <vt:lpwstr/>
      </vt:variant>
      <vt:variant>
        <vt:lpwstr>_Toc344391851</vt:lpwstr>
      </vt:variant>
      <vt:variant>
        <vt:i4>1310774</vt:i4>
      </vt:variant>
      <vt:variant>
        <vt:i4>788</vt:i4>
      </vt:variant>
      <vt:variant>
        <vt:i4>0</vt:i4>
      </vt:variant>
      <vt:variant>
        <vt:i4>5</vt:i4>
      </vt:variant>
      <vt:variant>
        <vt:lpwstr/>
      </vt:variant>
      <vt:variant>
        <vt:lpwstr>_Toc344391850</vt:lpwstr>
      </vt:variant>
      <vt:variant>
        <vt:i4>1376310</vt:i4>
      </vt:variant>
      <vt:variant>
        <vt:i4>782</vt:i4>
      </vt:variant>
      <vt:variant>
        <vt:i4>0</vt:i4>
      </vt:variant>
      <vt:variant>
        <vt:i4>5</vt:i4>
      </vt:variant>
      <vt:variant>
        <vt:lpwstr/>
      </vt:variant>
      <vt:variant>
        <vt:lpwstr>_Toc344391849</vt:lpwstr>
      </vt:variant>
      <vt:variant>
        <vt:i4>1376310</vt:i4>
      </vt:variant>
      <vt:variant>
        <vt:i4>776</vt:i4>
      </vt:variant>
      <vt:variant>
        <vt:i4>0</vt:i4>
      </vt:variant>
      <vt:variant>
        <vt:i4>5</vt:i4>
      </vt:variant>
      <vt:variant>
        <vt:lpwstr/>
      </vt:variant>
      <vt:variant>
        <vt:lpwstr>_Toc344391848</vt:lpwstr>
      </vt:variant>
      <vt:variant>
        <vt:i4>1376310</vt:i4>
      </vt:variant>
      <vt:variant>
        <vt:i4>770</vt:i4>
      </vt:variant>
      <vt:variant>
        <vt:i4>0</vt:i4>
      </vt:variant>
      <vt:variant>
        <vt:i4>5</vt:i4>
      </vt:variant>
      <vt:variant>
        <vt:lpwstr/>
      </vt:variant>
      <vt:variant>
        <vt:lpwstr>_Toc344391847</vt:lpwstr>
      </vt:variant>
      <vt:variant>
        <vt:i4>1376310</vt:i4>
      </vt:variant>
      <vt:variant>
        <vt:i4>764</vt:i4>
      </vt:variant>
      <vt:variant>
        <vt:i4>0</vt:i4>
      </vt:variant>
      <vt:variant>
        <vt:i4>5</vt:i4>
      </vt:variant>
      <vt:variant>
        <vt:lpwstr/>
      </vt:variant>
      <vt:variant>
        <vt:lpwstr>_Toc344391846</vt:lpwstr>
      </vt:variant>
      <vt:variant>
        <vt:i4>1376310</vt:i4>
      </vt:variant>
      <vt:variant>
        <vt:i4>758</vt:i4>
      </vt:variant>
      <vt:variant>
        <vt:i4>0</vt:i4>
      </vt:variant>
      <vt:variant>
        <vt:i4>5</vt:i4>
      </vt:variant>
      <vt:variant>
        <vt:lpwstr/>
      </vt:variant>
      <vt:variant>
        <vt:lpwstr>_Toc344391845</vt:lpwstr>
      </vt:variant>
      <vt:variant>
        <vt:i4>1376310</vt:i4>
      </vt:variant>
      <vt:variant>
        <vt:i4>752</vt:i4>
      </vt:variant>
      <vt:variant>
        <vt:i4>0</vt:i4>
      </vt:variant>
      <vt:variant>
        <vt:i4>5</vt:i4>
      </vt:variant>
      <vt:variant>
        <vt:lpwstr/>
      </vt:variant>
      <vt:variant>
        <vt:lpwstr>_Toc344391844</vt:lpwstr>
      </vt:variant>
      <vt:variant>
        <vt:i4>1376310</vt:i4>
      </vt:variant>
      <vt:variant>
        <vt:i4>746</vt:i4>
      </vt:variant>
      <vt:variant>
        <vt:i4>0</vt:i4>
      </vt:variant>
      <vt:variant>
        <vt:i4>5</vt:i4>
      </vt:variant>
      <vt:variant>
        <vt:lpwstr/>
      </vt:variant>
      <vt:variant>
        <vt:lpwstr>_Toc344391843</vt:lpwstr>
      </vt:variant>
      <vt:variant>
        <vt:i4>1376310</vt:i4>
      </vt:variant>
      <vt:variant>
        <vt:i4>740</vt:i4>
      </vt:variant>
      <vt:variant>
        <vt:i4>0</vt:i4>
      </vt:variant>
      <vt:variant>
        <vt:i4>5</vt:i4>
      </vt:variant>
      <vt:variant>
        <vt:lpwstr/>
      </vt:variant>
      <vt:variant>
        <vt:lpwstr>_Toc344391842</vt:lpwstr>
      </vt:variant>
      <vt:variant>
        <vt:i4>1376310</vt:i4>
      </vt:variant>
      <vt:variant>
        <vt:i4>734</vt:i4>
      </vt:variant>
      <vt:variant>
        <vt:i4>0</vt:i4>
      </vt:variant>
      <vt:variant>
        <vt:i4>5</vt:i4>
      </vt:variant>
      <vt:variant>
        <vt:lpwstr/>
      </vt:variant>
      <vt:variant>
        <vt:lpwstr>_Toc344391841</vt:lpwstr>
      </vt:variant>
      <vt:variant>
        <vt:i4>1376310</vt:i4>
      </vt:variant>
      <vt:variant>
        <vt:i4>728</vt:i4>
      </vt:variant>
      <vt:variant>
        <vt:i4>0</vt:i4>
      </vt:variant>
      <vt:variant>
        <vt:i4>5</vt:i4>
      </vt:variant>
      <vt:variant>
        <vt:lpwstr/>
      </vt:variant>
      <vt:variant>
        <vt:lpwstr>_Toc344391840</vt:lpwstr>
      </vt:variant>
      <vt:variant>
        <vt:i4>1179702</vt:i4>
      </vt:variant>
      <vt:variant>
        <vt:i4>722</vt:i4>
      </vt:variant>
      <vt:variant>
        <vt:i4>0</vt:i4>
      </vt:variant>
      <vt:variant>
        <vt:i4>5</vt:i4>
      </vt:variant>
      <vt:variant>
        <vt:lpwstr/>
      </vt:variant>
      <vt:variant>
        <vt:lpwstr>_Toc344391839</vt:lpwstr>
      </vt:variant>
      <vt:variant>
        <vt:i4>1179702</vt:i4>
      </vt:variant>
      <vt:variant>
        <vt:i4>716</vt:i4>
      </vt:variant>
      <vt:variant>
        <vt:i4>0</vt:i4>
      </vt:variant>
      <vt:variant>
        <vt:i4>5</vt:i4>
      </vt:variant>
      <vt:variant>
        <vt:lpwstr/>
      </vt:variant>
      <vt:variant>
        <vt:lpwstr>_Toc344391838</vt:lpwstr>
      </vt:variant>
      <vt:variant>
        <vt:i4>1179702</vt:i4>
      </vt:variant>
      <vt:variant>
        <vt:i4>710</vt:i4>
      </vt:variant>
      <vt:variant>
        <vt:i4>0</vt:i4>
      </vt:variant>
      <vt:variant>
        <vt:i4>5</vt:i4>
      </vt:variant>
      <vt:variant>
        <vt:lpwstr/>
      </vt:variant>
      <vt:variant>
        <vt:lpwstr>_Toc344391837</vt:lpwstr>
      </vt:variant>
      <vt:variant>
        <vt:i4>1179702</vt:i4>
      </vt:variant>
      <vt:variant>
        <vt:i4>704</vt:i4>
      </vt:variant>
      <vt:variant>
        <vt:i4>0</vt:i4>
      </vt:variant>
      <vt:variant>
        <vt:i4>5</vt:i4>
      </vt:variant>
      <vt:variant>
        <vt:lpwstr/>
      </vt:variant>
      <vt:variant>
        <vt:lpwstr>_Toc344391836</vt:lpwstr>
      </vt:variant>
      <vt:variant>
        <vt:i4>1179702</vt:i4>
      </vt:variant>
      <vt:variant>
        <vt:i4>698</vt:i4>
      </vt:variant>
      <vt:variant>
        <vt:i4>0</vt:i4>
      </vt:variant>
      <vt:variant>
        <vt:i4>5</vt:i4>
      </vt:variant>
      <vt:variant>
        <vt:lpwstr/>
      </vt:variant>
      <vt:variant>
        <vt:lpwstr>_Toc344391835</vt:lpwstr>
      </vt:variant>
      <vt:variant>
        <vt:i4>1179702</vt:i4>
      </vt:variant>
      <vt:variant>
        <vt:i4>692</vt:i4>
      </vt:variant>
      <vt:variant>
        <vt:i4>0</vt:i4>
      </vt:variant>
      <vt:variant>
        <vt:i4>5</vt:i4>
      </vt:variant>
      <vt:variant>
        <vt:lpwstr/>
      </vt:variant>
      <vt:variant>
        <vt:lpwstr>_Toc344391834</vt:lpwstr>
      </vt:variant>
      <vt:variant>
        <vt:i4>1179702</vt:i4>
      </vt:variant>
      <vt:variant>
        <vt:i4>686</vt:i4>
      </vt:variant>
      <vt:variant>
        <vt:i4>0</vt:i4>
      </vt:variant>
      <vt:variant>
        <vt:i4>5</vt:i4>
      </vt:variant>
      <vt:variant>
        <vt:lpwstr/>
      </vt:variant>
      <vt:variant>
        <vt:lpwstr>_Toc344391833</vt:lpwstr>
      </vt:variant>
      <vt:variant>
        <vt:i4>1179702</vt:i4>
      </vt:variant>
      <vt:variant>
        <vt:i4>680</vt:i4>
      </vt:variant>
      <vt:variant>
        <vt:i4>0</vt:i4>
      </vt:variant>
      <vt:variant>
        <vt:i4>5</vt:i4>
      </vt:variant>
      <vt:variant>
        <vt:lpwstr/>
      </vt:variant>
      <vt:variant>
        <vt:lpwstr>_Toc344391832</vt:lpwstr>
      </vt:variant>
      <vt:variant>
        <vt:i4>1179702</vt:i4>
      </vt:variant>
      <vt:variant>
        <vt:i4>674</vt:i4>
      </vt:variant>
      <vt:variant>
        <vt:i4>0</vt:i4>
      </vt:variant>
      <vt:variant>
        <vt:i4>5</vt:i4>
      </vt:variant>
      <vt:variant>
        <vt:lpwstr/>
      </vt:variant>
      <vt:variant>
        <vt:lpwstr>_Toc344391831</vt:lpwstr>
      </vt:variant>
      <vt:variant>
        <vt:i4>1179702</vt:i4>
      </vt:variant>
      <vt:variant>
        <vt:i4>668</vt:i4>
      </vt:variant>
      <vt:variant>
        <vt:i4>0</vt:i4>
      </vt:variant>
      <vt:variant>
        <vt:i4>5</vt:i4>
      </vt:variant>
      <vt:variant>
        <vt:lpwstr/>
      </vt:variant>
      <vt:variant>
        <vt:lpwstr>_Toc344391830</vt:lpwstr>
      </vt:variant>
      <vt:variant>
        <vt:i4>1245238</vt:i4>
      </vt:variant>
      <vt:variant>
        <vt:i4>662</vt:i4>
      </vt:variant>
      <vt:variant>
        <vt:i4>0</vt:i4>
      </vt:variant>
      <vt:variant>
        <vt:i4>5</vt:i4>
      </vt:variant>
      <vt:variant>
        <vt:lpwstr/>
      </vt:variant>
      <vt:variant>
        <vt:lpwstr>_Toc344391829</vt:lpwstr>
      </vt:variant>
      <vt:variant>
        <vt:i4>1245238</vt:i4>
      </vt:variant>
      <vt:variant>
        <vt:i4>656</vt:i4>
      </vt:variant>
      <vt:variant>
        <vt:i4>0</vt:i4>
      </vt:variant>
      <vt:variant>
        <vt:i4>5</vt:i4>
      </vt:variant>
      <vt:variant>
        <vt:lpwstr/>
      </vt:variant>
      <vt:variant>
        <vt:lpwstr>_Toc344391828</vt:lpwstr>
      </vt:variant>
      <vt:variant>
        <vt:i4>1245238</vt:i4>
      </vt:variant>
      <vt:variant>
        <vt:i4>650</vt:i4>
      </vt:variant>
      <vt:variant>
        <vt:i4>0</vt:i4>
      </vt:variant>
      <vt:variant>
        <vt:i4>5</vt:i4>
      </vt:variant>
      <vt:variant>
        <vt:lpwstr/>
      </vt:variant>
      <vt:variant>
        <vt:lpwstr>_Toc344391827</vt:lpwstr>
      </vt:variant>
      <vt:variant>
        <vt:i4>1245238</vt:i4>
      </vt:variant>
      <vt:variant>
        <vt:i4>644</vt:i4>
      </vt:variant>
      <vt:variant>
        <vt:i4>0</vt:i4>
      </vt:variant>
      <vt:variant>
        <vt:i4>5</vt:i4>
      </vt:variant>
      <vt:variant>
        <vt:lpwstr/>
      </vt:variant>
      <vt:variant>
        <vt:lpwstr>_Toc344391826</vt:lpwstr>
      </vt:variant>
      <vt:variant>
        <vt:i4>1245238</vt:i4>
      </vt:variant>
      <vt:variant>
        <vt:i4>638</vt:i4>
      </vt:variant>
      <vt:variant>
        <vt:i4>0</vt:i4>
      </vt:variant>
      <vt:variant>
        <vt:i4>5</vt:i4>
      </vt:variant>
      <vt:variant>
        <vt:lpwstr/>
      </vt:variant>
      <vt:variant>
        <vt:lpwstr>_Toc344391825</vt:lpwstr>
      </vt:variant>
      <vt:variant>
        <vt:i4>1245238</vt:i4>
      </vt:variant>
      <vt:variant>
        <vt:i4>632</vt:i4>
      </vt:variant>
      <vt:variant>
        <vt:i4>0</vt:i4>
      </vt:variant>
      <vt:variant>
        <vt:i4>5</vt:i4>
      </vt:variant>
      <vt:variant>
        <vt:lpwstr/>
      </vt:variant>
      <vt:variant>
        <vt:lpwstr>_Toc344391824</vt:lpwstr>
      </vt:variant>
      <vt:variant>
        <vt:i4>1245238</vt:i4>
      </vt:variant>
      <vt:variant>
        <vt:i4>626</vt:i4>
      </vt:variant>
      <vt:variant>
        <vt:i4>0</vt:i4>
      </vt:variant>
      <vt:variant>
        <vt:i4>5</vt:i4>
      </vt:variant>
      <vt:variant>
        <vt:lpwstr/>
      </vt:variant>
      <vt:variant>
        <vt:lpwstr>_Toc344391823</vt:lpwstr>
      </vt:variant>
      <vt:variant>
        <vt:i4>1245238</vt:i4>
      </vt:variant>
      <vt:variant>
        <vt:i4>620</vt:i4>
      </vt:variant>
      <vt:variant>
        <vt:i4>0</vt:i4>
      </vt:variant>
      <vt:variant>
        <vt:i4>5</vt:i4>
      </vt:variant>
      <vt:variant>
        <vt:lpwstr/>
      </vt:variant>
      <vt:variant>
        <vt:lpwstr>_Toc344391822</vt:lpwstr>
      </vt:variant>
      <vt:variant>
        <vt:i4>1245238</vt:i4>
      </vt:variant>
      <vt:variant>
        <vt:i4>614</vt:i4>
      </vt:variant>
      <vt:variant>
        <vt:i4>0</vt:i4>
      </vt:variant>
      <vt:variant>
        <vt:i4>5</vt:i4>
      </vt:variant>
      <vt:variant>
        <vt:lpwstr/>
      </vt:variant>
      <vt:variant>
        <vt:lpwstr>_Toc344391821</vt:lpwstr>
      </vt:variant>
      <vt:variant>
        <vt:i4>1245238</vt:i4>
      </vt:variant>
      <vt:variant>
        <vt:i4>608</vt:i4>
      </vt:variant>
      <vt:variant>
        <vt:i4>0</vt:i4>
      </vt:variant>
      <vt:variant>
        <vt:i4>5</vt:i4>
      </vt:variant>
      <vt:variant>
        <vt:lpwstr/>
      </vt:variant>
      <vt:variant>
        <vt:lpwstr>_Toc344391820</vt:lpwstr>
      </vt:variant>
      <vt:variant>
        <vt:i4>1048630</vt:i4>
      </vt:variant>
      <vt:variant>
        <vt:i4>602</vt:i4>
      </vt:variant>
      <vt:variant>
        <vt:i4>0</vt:i4>
      </vt:variant>
      <vt:variant>
        <vt:i4>5</vt:i4>
      </vt:variant>
      <vt:variant>
        <vt:lpwstr/>
      </vt:variant>
      <vt:variant>
        <vt:lpwstr>_Toc344391819</vt:lpwstr>
      </vt:variant>
      <vt:variant>
        <vt:i4>1048630</vt:i4>
      </vt:variant>
      <vt:variant>
        <vt:i4>596</vt:i4>
      </vt:variant>
      <vt:variant>
        <vt:i4>0</vt:i4>
      </vt:variant>
      <vt:variant>
        <vt:i4>5</vt:i4>
      </vt:variant>
      <vt:variant>
        <vt:lpwstr/>
      </vt:variant>
      <vt:variant>
        <vt:lpwstr>_Toc344391818</vt:lpwstr>
      </vt:variant>
      <vt:variant>
        <vt:i4>1048630</vt:i4>
      </vt:variant>
      <vt:variant>
        <vt:i4>590</vt:i4>
      </vt:variant>
      <vt:variant>
        <vt:i4>0</vt:i4>
      </vt:variant>
      <vt:variant>
        <vt:i4>5</vt:i4>
      </vt:variant>
      <vt:variant>
        <vt:lpwstr/>
      </vt:variant>
      <vt:variant>
        <vt:lpwstr>_Toc344391817</vt:lpwstr>
      </vt:variant>
      <vt:variant>
        <vt:i4>1048630</vt:i4>
      </vt:variant>
      <vt:variant>
        <vt:i4>584</vt:i4>
      </vt:variant>
      <vt:variant>
        <vt:i4>0</vt:i4>
      </vt:variant>
      <vt:variant>
        <vt:i4>5</vt:i4>
      </vt:variant>
      <vt:variant>
        <vt:lpwstr/>
      </vt:variant>
      <vt:variant>
        <vt:lpwstr>_Toc344391816</vt:lpwstr>
      </vt:variant>
      <vt:variant>
        <vt:i4>1048630</vt:i4>
      </vt:variant>
      <vt:variant>
        <vt:i4>578</vt:i4>
      </vt:variant>
      <vt:variant>
        <vt:i4>0</vt:i4>
      </vt:variant>
      <vt:variant>
        <vt:i4>5</vt:i4>
      </vt:variant>
      <vt:variant>
        <vt:lpwstr/>
      </vt:variant>
      <vt:variant>
        <vt:lpwstr>_Toc344391815</vt:lpwstr>
      </vt:variant>
      <vt:variant>
        <vt:i4>1048630</vt:i4>
      </vt:variant>
      <vt:variant>
        <vt:i4>572</vt:i4>
      </vt:variant>
      <vt:variant>
        <vt:i4>0</vt:i4>
      </vt:variant>
      <vt:variant>
        <vt:i4>5</vt:i4>
      </vt:variant>
      <vt:variant>
        <vt:lpwstr/>
      </vt:variant>
      <vt:variant>
        <vt:lpwstr>_Toc344391814</vt:lpwstr>
      </vt:variant>
      <vt:variant>
        <vt:i4>1048630</vt:i4>
      </vt:variant>
      <vt:variant>
        <vt:i4>566</vt:i4>
      </vt:variant>
      <vt:variant>
        <vt:i4>0</vt:i4>
      </vt:variant>
      <vt:variant>
        <vt:i4>5</vt:i4>
      </vt:variant>
      <vt:variant>
        <vt:lpwstr/>
      </vt:variant>
      <vt:variant>
        <vt:lpwstr>_Toc344391813</vt:lpwstr>
      </vt:variant>
      <vt:variant>
        <vt:i4>1048630</vt:i4>
      </vt:variant>
      <vt:variant>
        <vt:i4>560</vt:i4>
      </vt:variant>
      <vt:variant>
        <vt:i4>0</vt:i4>
      </vt:variant>
      <vt:variant>
        <vt:i4>5</vt:i4>
      </vt:variant>
      <vt:variant>
        <vt:lpwstr/>
      </vt:variant>
      <vt:variant>
        <vt:lpwstr>_Toc344391812</vt:lpwstr>
      </vt:variant>
      <vt:variant>
        <vt:i4>1048630</vt:i4>
      </vt:variant>
      <vt:variant>
        <vt:i4>554</vt:i4>
      </vt:variant>
      <vt:variant>
        <vt:i4>0</vt:i4>
      </vt:variant>
      <vt:variant>
        <vt:i4>5</vt:i4>
      </vt:variant>
      <vt:variant>
        <vt:lpwstr/>
      </vt:variant>
      <vt:variant>
        <vt:lpwstr>_Toc344391811</vt:lpwstr>
      </vt:variant>
      <vt:variant>
        <vt:i4>1048630</vt:i4>
      </vt:variant>
      <vt:variant>
        <vt:i4>548</vt:i4>
      </vt:variant>
      <vt:variant>
        <vt:i4>0</vt:i4>
      </vt:variant>
      <vt:variant>
        <vt:i4>5</vt:i4>
      </vt:variant>
      <vt:variant>
        <vt:lpwstr/>
      </vt:variant>
      <vt:variant>
        <vt:lpwstr>_Toc344391810</vt:lpwstr>
      </vt:variant>
      <vt:variant>
        <vt:i4>1114166</vt:i4>
      </vt:variant>
      <vt:variant>
        <vt:i4>542</vt:i4>
      </vt:variant>
      <vt:variant>
        <vt:i4>0</vt:i4>
      </vt:variant>
      <vt:variant>
        <vt:i4>5</vt:i4>
      </vt:variant>
      <vt:variant>
        <vt:lpwstr/>
      </vt:variant>
      <vt:variant>
        <vt:lpwstr>_Toc344391809</vt:lpwstr>
      </vt:variant>
      <vt:variant>
        <vt:i4>1114166</vt:i4>
      </vt:variant>
      <vt:variant>
        <vt:i4>536</vt:i4>
      </vt:variant>
      <vt:variant>
        <vt:i4>0</vt:i4>
      </vt:variant>
      <vt:variant>
        <vt:i4>5</vt:i4>
      </vt:variant>
      <vt:variant>
        <vt:lpwstr/>
      </vt:variant>
      <vt:variant>
        <vt:lpwstr>_Toc344391808</vt:lpwstr>
      </vt:variant>
      <vt:variant>
        <vt:i4>1114166</vt:i4>
      </vt:variant>
      <vt:variant>
        <vt:i4>530</vt:i4>
      </vt:variant>
      <vt:variant>
        <vt:i4>0</vt:i4>
      </vt:variant>
      <vt:variant>
        <vt:i4>5</vt:i4>
      </vt:variant>
      <vt:variant>
        <vt:lpwstr/>
      </vt:variant>
      <vt:variant>
        <vt:lpwstr>_Toc344391807</vt:lpwstr>
      </vt:variant>
      <vt:variant>
        <vt:i4>1114166</vt:i4>
      </vt:variant>
      <vt:variant>
        <vt:i4>524</vt:i4>
      </vt:variant>
      <vt:variant>
        <vt:i4>0</vt:i4>
      </vt:variant>
      <vt:variant>
        <vt:i4>5</vt:i4>
      </vt:variant>
      <vt:variant>
        <vt:lpwstr/>
      </vt:variant>
      <vt:variant>
        <vt:lpwstr>_Toc344391806</vt:lpwstr>
      </vt:variant>
      <vt:variant>
        <vt:i4>1114166</vt:i4>
      </vt:variant>
      <vt:variant>
        <vt:i4>518</vt:i4>
      </vt:variant>
      <vt:variant>
        <vt:i4>0</vt:i4>
      </vt:variant>
      <vt:variant>
        <vt:i4>5</vt:i4>
      </vt:variant>
      <vt:variant>
        <vt:lpwstr/>
      </vt:variant>
      <vt:variant>
        <vt:lpwstr>_Toc344391805</vt:lpwstr>
      </vt:variant>
      <vt:variant>
        <vt:i4>1114166</vt:i4>
      </vt:variant>
      <vt:variant>
        <vt:i4>512</vt:i4>
      </vt:variant>
      <vt:variant>
        <vt:i4>0</vt:i4>
      </vt:variant>
      <vt:variant>
        <vt:i4>5</vt:i4>
      </vt:variant>
      <vt:variant>
        <vt:lpwstr/>
      </vt:variant>
      <vt:variant>
        <vt:lpwstr>_Toc344391804</vt:lpwstr>
      </vt:variant>
      <vt:variant>
        <vt:i4>1114166</vt:i4>
      </vt:variant>
      <vt:variant>
        <vt:i4>506</vt:i4>
      </vt:variant>
      <vt:variant>
        <vt:i4>0</vt:i4>
      </vt:variant>
      <vt:variant>
        <vt:i4>5</vt:i4>
      </vt:variant>
      <vt:variant>
        <vt:lpwstr/>
      </vt:variant>
      <vt:variant>
        <vt:lpwstr>_Toc344391803</vt:lpwstr>
      </vt:variant>
      <vt:variant>
        <vt:i4>1114166</vt:i4>
      </vt:variant>
      <vt:variant>
        <vt:i4>500</vt:i4>
      </vt:variant>
      <vt:variant>
        <vt:i4>0</vt:i4>
      </vt:variant>
      <vt:variant>
        <vt:i4>5</vt:i4>
      </vt:variant>
      <vt:variant>
        <vt:lpwstr/>
      </vt:variant>
      <vt:variant>
        <vt:lpwstr>_Toc344391802</vt:lpwstr>
      </vt:variant>
      <vt:variant>
        <vt:i4>1114166</vt:i4>
      </vt:variant>
      <vt:variant>
        <vt:i4>494</vt:i4>
      </vt:variant>
      <vt:variant>
        <vt:i4>0</vt:i4>
      </vt:variant>
      <vt:variant>
        <vt:i4>5</vt:i4>
      </vt:variant>
      <vt:variant>
        <vt:lpwstr/>
      </vt:variant>
      <vt:variant>
        <vt:lpwstr>_Toc344391801</vt:lpwstr>
      </vt:variant>
      <vt:variant>
        <vt:i4>1114166</vt:i4>
      </vt:variant>
      <vt:variant>
        <vt:i4>488</vt:i4>
      </vt:variant>
      <vt:variant>
        <vt:i4>0</vt:i4>
      </vt:variant>
      <vt:variant>
        <vt:i4>5</vt:i4>
      </vt:variant>
      <vt:variant>
        <vt:lpwstr/>
      </vt:variant>
      <vt:variant>
        <vt:lpwstr>_Toc344391800</vt:lpwstr>
      </vt:variant>
      <vt:variant>
        <vt:i4>1572921</vt:i4>
      </vt:variant>
      <vt:variant>
        <vt:i4>482</vt:i4>
      </vt:variant>
      <vt:variant>
        <vt:i4>0</vt:i4>
      </vt:variant>
      <vt:variant>
        <vt:i4>5</vt:i4>
      </vt:variant>
      <vt:variant>
        <vt:lpwstr/>
      </vt:variant>
      <vt:variant>
        <vt:lpwstr>_Toc344391799</vt:lpwstr>
      </vt:variant>
      <vt:variant>
        <vt:i4>1572921</vt:i4>
      </vt:variant>
      <vt:variant>
        <vt:i4>476</vt:i4>
      </vt:variant>
      <vt:variant>
        <vt:i4>0</vt:i4>
      </vt:variant>
      <vt:variant>
        <vt:i4>5</vt:i4>
      </vt:variant>
      <vt:variant>
        <vt:lpwstr/>
      </vt:variant>
      <vt:variant>
        <vt:lpwstr>_Toc344391798</vt:lpwstr>
      </vt:variant>
      <vt:variant>
        <vt:i4>1572921</vt:i4>
      </vt:variant>
      <vt:variant>
        <vt:i4>470</vt:i4>
      </vt:variant>
      <vt:variant>
        <vt:i4>0</vt:i4>
      </vt:variant>
      <vt:variant>
        <vt:i4>5</vt:i4>
      </vt:variant>
      <vt:variant>
        <vt:lpwstr/>
      </vt:variant>
      <vt:variant>
        <vt:lpwstr>_Toc344391797</vt:lpwstr>
      </vt:variant>
      <vt:variant>
        <vt:i4>1572921</vt:i4>
      </vt:variant>
      <vt:variant>
        <vt:i4>464</vt:i4>
      </vt:variant>
      <vt:variant>
        <vt:i4>0</vt:i4>
      </vt:variant>
      <vt:variant>
        <vt:i4>5</vt:i4>
      </vt:variant>
      <vt:variant>
        <vt:lpwstr/>
      </vt:variant>
      <vt:variant>
        <vt:lpwstr>_Toc344391796</vt:lpwstr>
      </vt:variant>
      <vt:variant>
        <vt:i4>1572921</vt:i4>
      </vt:variant>
      <vt:variant>
        <vt:i4>458</vt:i4>
      </vt:variant>
      <vt:variant>
        <vt:i4>0</vt:i4>
      </vt:variant>
      <vt:variant>
        <vt:i4>5</vt:i4>
      </vt:variant>
      <vt:variant>
        <vt:lpwstr/>
      </vt:variant>
      <vt:variant>
        <vt:lpwstr>_Toc344391795</vt:lpwstr>
      </vt:variant>
      <vt:variant>
        <vt:i4>1572921</vt:i4>
      </vt:variant>
      <vt:variant>
        <vt:i4>452</vt:i4>
      </vt:variant>
      <vt:variant>
        <vt:i4>0</vt:i4>
      </vt:variant>
      <vt:variant>
        <vt:i4>5</vt:i4>
      </vt:variant>
      <vt:variant>
        <vt:lpwstr/>
      </vt:variant>
      <vt:variant>
        <vt:lpwstr>_Toc344391794</vt:lpwstr>
      </vt:variant>
      <vt:variant>
        <vt:i4>1572921</vt:i4>
      </vt:variant>
      <vt:variant>
        <vt:i4>446</vt:i4>
      </vt:variant>
      <vt:variant>
        <vt:i4>0</vt:i4>
      </vt:variant>
      <vt:variant>
        <vt:i4>5</vt:i4>
      </vt:variant>
      <vt:variant>
        <vt:lpwstr/>
      </vt:variant>
      <vt:variant>
        <vt:lpwstr>_Toc344391793</vt:lpwstr>
      </vt:variant>
      <vt:variant>
        <vt:i4>1572921</vt:i4>
      </vt:variant>
      <vt:variant>
        <vt:i4>440</vt:i4>
      </vt:variant>
      <vt:variant>
        <vt:i4>0</vt:i4>
      </vt:variant>
      <vt:variant>
        <vt:i4>5</vt:i4>
      </vt:variant>
      <vt:variant>
        <vt:lpwstr/>
      </vt:variant>
      <vt:variant>
        <vt:lpwstr>_Toc344391792</vt:lpwstr>
      </vt:variant>
      <vt:variant>
        <vt:i4>1572921</vt:i4>
      </vt:variant>
      <vt:variant>
        <vt:i4>434</vt:i4>
      </vt:variant>
      <vt:variant>
        <vt:i4>0</vt:i4>
      </vt:variant>
      <vt:variant>
        <vt:i4>5</vt:i4>
      </vt:variant>
      <vt:variant>
        <vt:lpwstr/>
      </vt:variant>
      <vt:variant>
        <vt:lpwstr>_Toc344391791</vt:lpwstr>
      </vt:variant>
      <vt:variant>
        <vt:i4>1572921</vt:i4>
      </vt:variant>
      <vt:variant>
        <vt:i4>428</vt:i4>
      </vt:variant>
      <vt:variant>
        <vt:i4>0</vt:i4>
      </vt:variant>
      <vt:variant>
        <vt:i4>5</vt:i4>
      </vt:variant>
      <vt:variant>
        <vt:lpwstr/>
      </vt:variant>
      <vt:variant>
        <vt:lpwstr>_Toc344391790</vt:lpwstr>
      </vt:variant>
      <vt:variant>
        <vt:i4>1638457</vt:i4>
      </vt:variant>
      <vt:variant>
        <vt:i4>422</vt:i4>
      </vt:variant>
      <vt:variant>
        <vt:i4>0</vt:i4>
      </vt:variant>
      <vt:variant>
        <vt:i4>5</vt:i4>
      </vt:variant>
      <vt:variant>
        <vt:lpwstr/>
      </vt:variant>
      <vt:variant>
        <vt:lpwstr>_Toc344391789</vt:lpwstr>
      </vt:variant>
      <vt:variant>
        <vt:i4>1638457</vt:i4>
      </vt:variant>
      <vt:variant>
        <vt:i4>416</vt:i4>
      </vt:variant>
      <vt:variant>
        <vt:i4>0</vt:i4>
      </vt:variant>
      <vt:variant>
        <vt:i4>5</vt:i4>
      </vt:variant>
      <vt:variant>
        <vt:lpwstr/>
      </vt:variant>
      <vt:variant>
        <vt:lpwstr>_Toc344391788</vt:lpwstr>
      </vt:variant>
      <vt:variant>
        <vt:i4>1638457</vt:i4>
      </vt:variant>
      <vt:variant>
        <vt:i4>410</vt:i4>
      </vt:variant>
      <vt:variant>
        <vt:i4>0</vt:i4>
      </vt:variant>
      <vt:variant>
        <vt:i4>5</vt:i4>
      </vt:variant>
      <vt:variant>
        <vt:lpwstr/>
      </vt:variant>
      <vt:variant>
        <vt:lpwstr>_Toc344391787</vt:lpwstr>
      </vt:variant>
      <vt:variant>
        <vt:i4>1638457</vt:i4>
      </vt:variant>
      <vt:variant>
        <vt:i4>404</vt:i4>
      </vt:variant>
      <vt:variant>
        <vt:i4>0</vt:i4>
      </vt:variant>
      <vt:variant>
        <vt:i4>5</vt:i4>
      </vt:variant>
      <vt:variant>
        <vt:lpwstr/>
      </vt:variant>
      <vt:variant>
        <vt:lpwstr>_Toc344391786</vt:lpwstr>
      </vt:variant>
      <vt:variant>
        <vt:i4>1638457</vt:i4>
      </vt:variant>
      <vt:variant>
        <vt:i4>398</vt:i4>
      </vt:variant>
      <vt:variant>
        <vt:i4>0</vt:i4>
      </vt:variant>
      <vt:variant>
        <vt:i4>5</vt:i4>
      </vt:variant>
      <vt:variant>
        <vt:lpwstr/>
      </vt:variant>
      <vt:variant>
        <vt:lpwstr>_Toc344391785</vt:lpwstr>
      </vt:variant>
      <vt:variant>
        <vt:i4>1638457</vt:i4>
      </vt:variant>
      <vt:variant>
        <vt:i4>392</vt:i4>
      </vt:variant>
      <vt:variant>
        <vt:i4>0</vt:i4>
      </vt:variant>
      <vt:variant>
        <vt:i4>5</vt:i4>
      </vt:variant>
      <vt:variant>
        <vt:lpwstr/>
      </vt:variant>
      <vt:variant>
        <vt:lpwstr>_Toc344391784</vt:lpwstr>
      </vt:variant>
      <vt:variant>
        <vt:i4>1638457</vt:i4>
      </vt:variant>
      <vt:variant>
        <vt:i4>386</vt:i4>
      </vt:variant>
      <vt:variant>
        <vt:i4>0</vt:i4>
      </vt:variant>
      <vt:variant>
        <vt:i4>5</vt:i4>
      </vt:variant>
      <vt:variant>
        <vt:lpwstr/>
      </vt:variant>
      <vt:variant>
        <vt:lpwstr>_Toc344391783</vt:lpwstr>
      </vt:variant>
      <vt:variant>
        <vt:i4>1638457</vt:i4>
      </vt:variant>
      <vt:variant>
        <vt:i4>380</vt:i4>
      </vt:variant>
      <vt:variant>
        <vt:i4>0</vt:i4>
      </vt:variant>
      <vt:variant>
        <vt:i4>5</vt:i4>
      </vt:variant>
      <vt:variant>
        <vt:lpwstr/>
      </vt:variant>
      <vt:variant>
        <vt:lpwstr>_Toc344391782</vt:lpwstr>
      </vt:variant>
      <vt:variant>
        <vt:i4>1638457</vt:i4>
      </vt:variant>
      <vt:variant>
        <vt:i4>374</vt:i4>
      </vt:variant>
      <vt:variant>
        <vt:i4>0</vt:i4>
      </vt:variant>
      <vt:variant>
        <vt:i4>5</vt:i4>
      </vt:variant>
      <vt:variant>
        <vt:lpwstr/>
      </vt:variant>
      <vt:variant>
        <vt:lpwstr>_Toc344391781</vt:lpwstr>
      </vt:variant>
      <vt:variant>
        <vt:i4>1638457</vt:i4>
      </vt:variant>
      <vt:variant>
        <vt:i4>368</vt:i4>
      </vt:variant>
      <vt:variant>
        <vt:i4>0</vt:i4>
      </vt:variant>
      <vt:variant>
        <vt:i4>5</vt:i4>
      </vt:variant>
      <vt:variant>
        <vt:lpwstr/>
      </vt:variant>
      <vt:variant>
        <vt:lpwstr>_Toc344391780</vt:lpwstr>
      </vt:variant>
      <vt:variant>
        <vt:i4>1441849</vt:i4>
      </vt:variant>
      <vt:variant>
        <vt:i4>362</vt:i4>
      </vt:variant>
      <vt:variant>
        <vt:i4>0</vt:i4>
      </vt:variant>
      <vt:variant>
        <vt:i4>5</vt:i4>
      </vt:variant>
      <vt:variant>
        <vt:lpwstr/>
      </vt:variant>
      <vt:variant>
        <vt:lpwstr>_Toc344391779</vt:lpwstr>
      </vt:variant>
      <vt:variant>
        <vt:i4>1441849</vt:i4>
      </vt:variant>
      <vt:variant>
        <vt:i4>356</vt:i4>
      </vt:variant>
      <vt:variant>
        <vt:i4>0</vt:i4>
      </vt:variant>
      <vt:variant>
        <vt:i4>5</vt:i4>
      </vt:variant>
      <vt:variant>
        <vt:lpwstr/>
      </vt:variant>
      <vt:variant>
        <vt:lpwstr>_Toc344391778</vt:lpwstr>
      </vt:variant>
      <vt:variant>
        <vt:i4>1441849</vt:i4>
      </vt:variant>
      <vt:variant>
        <vt:i4>350</vt:i4>
      </vt:variant>
      <vt:variant>
        <vt:i4>0</vt:i4>
      </vt:variant>
      <vt:variant>
        <vt:i4>5</vt:i4>
      </vt:variant>
      <vt:variant>
        <vt:lpwstr/>
      </vt:variant>
      <vt:variant>
        <vt:lpwstr>_Toc344391777</vt:lpwstr>
      </vt:variant>
      <vt:variant>
        <vt:i4>1441849</vt:i4>
      </vt:variant>
      <vt:variant>
        <vt:i4>344</vt:i4>
      </vt:variant>
      <vt:variant>
        <vt:i4>0</vt:i4>
      </vt:variant>
      <vt:variant>
        <vt:i4>5</vt:i4>
      </vt:variant>
      <vt:variant>
        <vt:lpwstr/>
      </vt:variant>
      <vt:variant>
        <vt:lpwstr>_Toc344391776</vt:lpwstr>
      </vt:variant>
      <vt:variant>
        <vt:i4>1441849</vt:i4>
      </vt:variant>
      <vt:variant>
        <vt:i4>338</vt:i4>
      </vt:variant>
      <vt:variant>
        <vt:i4>0</vt:i4>
      </vt:variant>
      <vt:variant>
        <vt:i4>5</vt:i4>
      </vt:variant>
      <vt:variant>
        <vt:lpwstr/>
      </vt:variant>
      <vt:variant>
        <vt:lpwstr>_Toc344391775</vt:lpwstr>
      </vt:variant>
      <vt:variant>
        <vt:i4>1441849</vt:i4>
      </vt:variant>
      <vt:variant>
        <vt:i4>332</vt:i4>
      </vt:variant>
      <vt:variant>
        <vt:i4>0</vt:i4>
      </vt:variant>
      <vt:variant>
        <vt:i4>5</vt:i4>
      </vt:variant>
      <vt:variant>
        <vt:lpwstr/>
      </vt:variant>
      <vt:variant>
        <vt:lpwstr>_Toc344391774</vt:lpwstr>
      </vt:variant>
      <vt:variant>
        <vt:i4>1441849</vt:i4>
      </vt:variant>
      <vt:variant>
        <vt:i4>326</vt:i4>
      </vt:variant>
      <vt:variant>
        <vt:i4>0</vt:i4>
      </vt:variant>
      <vt:variant>
        <vt:i4>5</vt:i4>
      </vt:variant>
      <vt:variant>
        <vt:lpwstr/>
      </vt:variant>
      <vt:variant>
        <vt:lpwstr>_Toc344391773</vt:lpwstr>
      </vt:variant>
      <vt:variant>
        <vt:i4>1441849</vt:i4>
      </vt:variant>
      <vt:variant>
        <vt:i4>320</vt:i4>
      </vt:variant>
      <vt:variant>
        <vt:i4>0</vt:i4>
      </vt:variant>
      <vt:variant>
        <vt:i4>5</vt:i4>
      </vt:variant>
      <vt:variant>
        <vt:lpwstr/>
      </vt:variant>
      <vt:variant>
        <vt:lpwstr>_Toc344391772</vt:lpwstr>
      </vt:variant>
      <vt:variant>
        <vt:i4>1441849</vt:i4>
      </vt:variant>
      <vt:variant>
        <vt:i4>314</vt:i4>
      </vt:variant>
      <vt:variant>
        <vt:i4>0</vt:i4>
      </vt:variant>
      <vt:variant>
        <vt:i4>5</vt:i4>
      </vt:variant>
      <vt:variant>
        <vt:lpwstr/>
      </vt:variant>
      <vt:variant>
        <vt:lpwstr>_Toc344391771</vt:lpwstr>
      </vt:variant>
      <vt:variant>
        <vt:i4>1441849</vt:i4>
      </vt:variant>
      <vt:variant>
        <vt:i4>308</vt:i4>
      </vt:variant>
      <vt:variant>
        <vt:i4>0</vt:i4>
      </vt:variant>
      <vt:variant>
        <vt:i4>5</vt:i4>
      </vt:variant>
      <vt:variant>
        <vt:lpwstr/>
      </vt:variant>
      <vt:variant>
        <vt:lpwstr>_Toc344391770</vt:lpwstr>
      </vt:variant>
      <vt:variant>
        <vt:i4>1507385</vt:i4>
      </vt:variant>
      <vt:variant>
        <vt:i4>302</vt:i4>
      </vt:variant>
      <vt:variant>
        <vt:i4>0</vt:i4>
      </vt:variant>
      <vt:variant>
        <vt:i4>5</vt:i4>
      </vt:variant>
      <vt:variant>
        <vt:lpwstr/>
      </vt:variant>
      <vt:variant>
        <vt:lpwstr>_Toc344391769</vt:lpwstr>
      </vt:variant>
      <vt:variant>
        <vt:i4>1507385</vt:i4>
      </vt:variant>
      <vt:variant>
        <vt:i4>296</vt:i4>
      </vt:variant>
      <vt:variant>
        <vt:i4>0</vt:i4>
      </vt:variant>
      <vt:variant>
        <vt:i4>5</vt:i4>
      </vt:variant>
      <vt:variant>
        <vt:lpwstr/>
      </vt:variant>
      <vt:variant>
        <vt:lpwstr>_Toc344391768</vt:lpwstr>
      </vt:variant>
      <vt:variant>
        <vt:i4>1507385</vt:i4>
      </vt:variant>
      <vt:variant>
        <vt:i4>290</vt:i4>
      </vt:variant>
      <vt:variant>
        <vt:i4>0</vt:i4>
      </vt:variant>
      <vt:variant>
        <vt:i4>5</vt:i4>
      </vt:variant>
      <vt:variant>
        <vt:lpwstr/>
      </vt:variant>
      <vt:variant>
        <vt:lpwstr>_Toc344391767</vt:lpwstr>
      </vt:variant>
      <vt:variant>
        <vt:i4>1507385</vt:i4>
      </vt:variant>
      <vt:variant>
        <vt:i4>284</vt:i4>
      </vt:variant>
      <vt:variant>
        <vt:i4>0</vt:i4>
      </vt:variant>
      <vt:variant>
        <vt:i4>5</vt:i4>
      </vt:variant>
      <vt:variant>
        <vt:lpwstr/>
      </vt:variant>
      <vt:variant>
        <vt:lpwstr>_Toc344391766</vt:lpwstr>
      </vt:variant>
      <vt:variant>
        <vt:i4>1507385</vt:i4>
      </vt:variant>
      <vt:variant>
        <vt:i4>278</vt:i4>
      </vt:variant>
      <vt:variant>
        <vt:i4>0</vt:i4>
      </vt:variant>
      <vt:variant>
        <vt:i4>5</vt:i4>
      </vt:variant>
      <vt:variant>
        <vt:lpwstr/>
      </vt:variant>
      <vt:variant>
        <vt:lpwstr>_Toc344391765</vt:lpwstr>
      </vt:variant>
      <vt:variant>
        <vt:i4>1507385</vt:i4>
      </vt:variant>
      <vt:variant>
        <vt:i4>272</vt:i4>
      </vt:variant>
      <vt:variant>
        <vt:i4>0</vt:i4>
      </vt:variant>
      <vt:variant>
        <vt:i4>5</vt:i4>
      </vt:variant>
      <vt:variant>
        <vt:lpwstr/>
      </vt:variant>
      <vt:variant>
        <vt:lpwstr>_Toc344391764</vt:lpwstr>
      </vt:variant>
      <vt:variant>
        <vt:i4>1507385</vt:i4>
      </vt:variant>
      <vt:variant>
        <vt:i4>266</vt:i4>
      </vt:variant>
      <vt:variant>
        <vt:i4>0</vt:i4>
      </vt:variant>
      <vt:variant>
        <vt:i4>5</vt:i4>
      </vt:variant>
      <vt:variant>
        <vt:lpwstr/>
      </vt:variant>
      <vt:variant>
        <vt:lpwstr>_Toc344391763</vt:lpwstr>
      </vt:variant>
      <vt:variant>
        <vt:i4>1507385</vt:i4>
      </vt:variant>
      <vt:variant>
        <vt:i4>260</vt:i4>
      </vt:variant>
      <vt:variant>
        <vt:i4>0</vt:i4>
      </vt:variant>
      <vt:variant>
        <vt:i4>5</vt:i4>
      </vt:variant>
      <vt:variant>
        <vt:lpwstr/>
      </vt:variant>
      <vt:variant>
        <vt:lpwstr>_Toc344391762</vt:lpwstr>
      </vt:variant>
      <vt:variant>
        <vt:i4>1507385</vt:i4>
      </vt:variant>
      <vt:variant>
        <vt:i4>254</vt:i4>
      </vt:variant>
      <vt:variant>
        <vt:i4>0</vt:i4>
      </vt:variant>
      <vt:variant>
        <vt:i4>5</vt:i4>
      </vt:variant>
      <vt:variant>
        <vt:lpwstr/>
      </vt:variant>
      <vt:variant>
        <vt:lpwstr>_Toc344391761</vt:lpwstr>
      </vt:variant>
      <vt:variant>
        <vt:i4>1507385</vt:i4>
      </vt:variant>
      <vt:variant>
        <vt:i4>248</vt:i4>
      </vt:variant>
      <vt:variant>
        <vt:i4>0</vt:i4>
      </vt:variant>
      <vt:variant>
        <vt:i4>5</vt:i4>
      </vt:variant>
      <vt:variant>
        <vt:lpwstr/>
      </vt:variant>
      <vt:variant>
        <vt:lpwstr>_Toc344391760</vt:lpwstr>
      </vt:variant>
      <vt:variant>
        <vt:i4>1310777</vt:i4>
      </vt:variant>
      <vt:variant>
        <vt:i4>242</vt:i4>
      </vt:variant>
      <vt:variant>
        <vt:i4>0</vt:i4>
      </vt:variant>
      <vt:variant>
        <vt:i4>5</vt:i4>
      </vt:variant>
      <vt:variant>
        <vt:lpwstr/>
      </vt:variant>
      <vt:variant>
        <vt:lpwstr>_Toc344391759</vt:lpwstr>
      </vt:variant>
      <vt:variant>
        <vt:i4>1310777</vt:i4>
      </vt:variant>
      <vt:variant>
        <vt:i4>236</vt:i4>
      </vt:variant>
      <vt:variant>
        <vt:i4>0</vt:i4>
      </vt:variant>
      <vt:variant>
        <vt:i4>5</vt:i4>
      </vt:variant>
      <vt:variant>
        <vt:lpwstr/>
      </vt:variant>
      <vt:variant>
        <vt:lpwstr>_Toc344391758</vt:lpwstr>
      </vt:variant>
      <vt:variant>
        <vt:i4>1310777</vt:i4>
      </vt:variant>
      <vt:variant>
        <vt:i4>230</vt:i4>
      </vt:variant>
      <vt:variant>
        <vt:i4>0</vt:i4>
      </vt:variant>
      <vt:variant>
        <vt:i4>5</vt:i4>
      </vt:variant>
      <vt:variant>
        <vt:lpwstr/>
      </vt:variant>
      <vt:variant>
        <vt:lpwstr>_Toc344391757</vt:lpwstr>
      </vt:variant>
      <vt:variant>
        <vt:i4>1310777</vt:i4>
      </vt:variant>
      <vt:variant>
        <vt:i4>224</vt:i4>
      </vt:variant>
      <vt:variant>
        <vt:i4>0</vt:i4>
      </vt:variant>
      <vt:variant>
        <vt:i4>5</vt:i4>
      </vt:variant>
      <vt:variant>
        <vt:lpwstr/>
      </vt:variant>
      <vt:variant>
        <vt:lpwstr>_Toc344391756</vt:lpwstr>
      </vt:variant>
      <vt:variant>
        <vt:i4>1310777</vt:i4>
      </vt:variant>
      <vt:variant>
        <vt:i4>218</vt:i4>
      </vt:variant>
      <vt:variant>
        <vt:i4>0</vt:i4>
      </vt:variant>
      <vt:variant>
        <vt:i4>5</vt:i4>
      </vt:variant>
      <vt:variant>
        <vt:lpwstr/>
      </vt:variant>
      <vt:variant>
        <vt:lpwstr>_Toc344391755</vt:lpwstr>
      </vt:variant>
      <vt:variant>
        <vt:i4>1310777</vt:i4>
      </vt:variant>
      <vt:variant>
        <vt:i4>212</vt:i4>
      </vt:variant>
      <vt:variant>
        <vt:i4>0</vt:i4>
      </vt:variant>
      <vt:variant>
        <vt:i4>5</vt:i4>
      </vt:variant>
      <vt:variant>
        <vt:lpwstr/>
      </vt:variant>
      <vt:variant>
        <vt:lpwstr>_Toc344391754</vt:lpwstr>
      </vt:variant>
      <vt:variant>
        <vt:i4>1310777</vt:i4>
      </vt:variant>
      <vt:variant>
        <vt:i4>206</vt:i4>
      </vt:variant>
      <vt:variant>
        <vt:i4>0</vt:i4>
      </vt:variant>
      <vt:variant>
        <vt:i4>5</vt:i4>
      </vt:variant>
      <vt:variant>
        <vt:lpwstr/>
      </vt:variant>
      <vt:variant>
        <vt:lpwstr>_Toc344391753</vt:lpwstr>
      </vt:variant>
      <vt:variant>
        <vt:i4>1310777</vt:i4>
      </vt:variant>
      <vt:variant>
        <vt:i4>200</vt:i4>
      </vt:variant>
      <vt:variant>
        <vt:i4>0</vt:i4>
      </vt:variant>
      <vt:variant>
        <vt:i4>5</vt:i4>
      </vt:variant>
      <vt:variant>
        <vt:lpwstr/>
      </vt:variant>
      <vt:variant>
        <vt:lpwstr>_Toc344391752</vt:lpwstr>
      </vt:variant>
      <vt:variant>
        <vt:i4>1310777</vt:i4>
      </vt:variant>
      <vt:variant>
        <vt:i4>194</vt:i4>
      </vt:variant>
      <vt:variant>
        <vt:i4>0</vt:i4>
      </vt:variant>
      <vt:variant>
        <vt:i4>5</vt:i4>
      </vt:variant>
      <vt:variant>
        <vt:lpwstr/>
      </vt:variant>
      <vt:variant>
        <vt:lpwstr>_Toc344391751</vt:lpwstr>
      </vt:variant>
      <vt:variant>
        <vt:i4>1310777</vt:i4>
      </vt:variant>
      <vt:variant>
        <vt:i4>188</vt:i4>
      </vt:variant>
      <vt:variant>
        <vt:i4>0</vt:i4>
      </vt:variant>
      <vt:variant>
        <vt:i4>5</vt:i4>
      </vt:variant>
      <vt:variant>
        <vt:lpwstr/>
      </vt:variant>
      <vt:variant>
        <vt:lpwstr>_Toc344391750</vt:lpwstr>
      </vt:variant>
      <vt:variant>
        <vt:i4>1376313</vt:i4>
      </vt:variant>
      <vt:variant>
        <vt:i4>182</vt:i4>
      </vt:variant>
      <vt:variant>
        <vt:i4>0</vt:i4>
      </vt:variant>
      <vt:variant>
        <vt:i4>5</vt:i4>
      </vt:variant>
      <vt:variant>
        <vt:lpwstr/>
      </vt:variant>
      <vt:variant>
        <vt:lpwstr>_Toc344391749</vt:lpwstr>
      </vt:variant>
      <vt:variant>
        <vt:i4>1376313</vt:i4>
      </vt:variant>
      <vt:variant>
        <vt:i4>176</vt:i4>
      </vt:variant>
      <vt:variant>
        <vt:i4>0</vt:i4>
      </vt:variant>
      <vt:variant>
        <vt:i4>5</vt:i4>
      </vt:variant>
      <vt:variant>
        <vt:lpwstr/>
      </vt:variant>
      <vt:variant>
        <vt:lpwstr>_Toc344391748</vt:lpwstr>
      </vt:variant>
      <vt:variant>
        <vt:i4>1376313</vt:i4>
      </vt:variant>
      <vt:variant>
        <vt:i4>170</vt:i4>
      </vt:variant>
      <vt:variant>
        <vt:i4>0</vt:i4>
      </vt:variant>
      <vt:variant>
        <vt:i4>5</vt:i4>
      </vt:variant>
      <vt:variant>
        <vt:lpwstr/>
      </vt:variant>
      <vt:variant>
        <vt:lpwstr>_Toc344391747</vt:lpwstr>
      </vt:variant>
      <vt:variant>
        <vt:i4>1376313</vt:i4>
      </vt:variant>
      <vt:variant>
        <vt:i4>164</vt:i4>
      </vt:variant>
      <vt:variant>
        <vt:i4>0</vt:i4>
      </vt:variant>
      <vt:variant>
        <vt:i4>5</vt:i4>
      </vt:variant>
      <vt:variant>
        <vt:lpwstr/>
      </vt:variant>
      <vt:variant>
        <vt:lpwstr>_Toc344391746</vt:lpwstr>
      </vt:variant>
      <vt:variant>
        <vt:i4>1376313</vt:i4>
      </vt:variant>
      <vt:variant>
        <vt:i4>158</vt:i4>
      </vt:variant>
      <vt:variant>
        <vt:i4>0</vt:i4>
      </vt:variant>
      <vt:variant>
        <vt:i4>5</vt:i4>
      </vt:variant>
      <vt:variant>
        <vt:lpwstr/>
      </vt:variant>
      <vt:variant>
        <vt:lpwstr>_Toc344391745</vt:lpwstr>
      </vt:variant>
      <vt:variant>
        <vt:i4>1376313</vt:i4>
      </vt:variant>
      <vt:variant>
        <vt:i4>152</vt:i4>
      </vt:variant>
      <vt:variant>
        <vt:i4>0</vt:i4>
      </vt:variant>
      <vt:variant>
        <vt:i4>5</vt:i4>
      </vt:variant>
      <vt:variant>
        <vt:lpwstr/>
      </vt:variant>
      <vt:variant>
        <vt:lpwstr>_Toc344391744</vt:lpwstr>
      </vt:variant>
      <vt:variant>
        <vt:i4>1376313</vt:i4>
      </vt:variant>
      <vt:variant>
        <vt:i4>146</vt:i4>
      </vt:variant>
      <vt:variant>
        <vt:i4>0</vt:i4>
      </vt:variant>
      <vt:variant>
        <vt:i4>5</vt:i4>
      </vt:variant>
      <vt:variant>
        <vt:lpwstr/>
      </vt:variant>
      <vt:variant>
        <vt:lpwstr>_Toc344391743</vt:lpwstr>
      </vt:variant>
      <vt:variant>
        <vt:i4>1376313</vt:i4>
      </vt:variant>
      <vt:variant>
        <vt:i4>140</vt:i4>
      </vt:variant>
      <vt:variant>
        <vt:i4>0</vt:i4>
      </vt:variant>
      <vt:variant>
        <vt:i4>5</vt:i4>
      </vt:variant>
      <vt:variant>
        <vt:lpwstr/>
      </vt:variant>
      <vt:variant>
        <vt:lpwstr>_Toc344391742</vt:lpwstr>
      </vt:variant>
      <vt:variant>
        <vt:i4>1376313</vt:i4>
      </vt:variant>
      <vt:variant>
        <vt:i4>134</vt:i4>
      </vt:variant>
      <vt:variant>
        <vt:i4>0</vt:i4>
      </vt:variant>
      <vt:variant>
        <vt:i4>5</vt:i4>
      </vt:variant>
      <vt:variant>
        <vt:lpwstr/>
      </vt:variant>
      <vt:variant>
        <vt:lpwstr>_Toc344391741</vt:lpwstr>
      </vt:variant>
      <vt:variant>
        <vt:i4>1376313</vt:i4>
      </vt:variant>
      <vt:variant>
        <vt:i4>128</vt:i4>
      </vt:variant>
      <vt:variant>
        <vt:i4>0</vt:i4>
      </vt:variant>
      <vt:variant>
        <vt:i4>5</vt:i4>
      </vt:variant>
      <vt:variant>
        <vt:lpwstr/>
      </vt:variant>
      <vt:variant>
        <vt:lpwstr>_Toc344391740</vt:lpwstr>
      </vt:variant>
      <vt:variant>
        <vt:i4>1179705</vt:i4>
      </vt:variant>
      <vt:variant>
        <vt:i4>122</vt:i4>
      </vt:variant>
      <vt:variant>
        <vt:i4>0</vt:i4>
      </vt:variant>
      <vt:variant>
        <vt:i4>5</vt:i4>
      </vt:variant>
      <vt:variant>
        <vt:lpwstr/>
      </vt:variant>
      <vt:variant>
        <vt:lpwstr>_Toc344391739</vt:lpwstr>
      </vt:variant>
      <vt:variant>
        <vt:i4>1179705</vt:i4>
      </vt:variant>
      <vt:variant>
        <vt:i4>116</vt:i4>
      </vt:variant>
      <vt:variant>
        <vt:i4>0</vt:i4>
      </vt:variant>
      <vt:variant>
        <vt:i4>5</vt:i4>
      </vt:variant>
      <vt:variant>
        <vt:lpwstr/>
      </vt:variant>
      <vt:variant>
        <vt:lpwstr>_Toc344391738</vt:lpwstr>
      </vt:variant>
      <vt:variant>
        <vt:i4>1179705</vt:i4>
      </vt:variant>
      <vt:variant>
        <vt:i4>110</vt:i4>
      </vt:variant>
      <vt:variant>
        <vt:i4>0</vt:i4>
      </vt:variant>
      <vt:variant>
        <vt:i4>5</vt:i4>
      </vt:variant>
      <vt:variant>
        <vt:lpwstr/>
      </vt:variant>
      <vt:variant>
        <vt:lpwstr>_Toc344391737</vt:lpwstr>
      </vt:variant>
      <vt:variant>
        <vt:i4>1179705</vt:i4>
      </vt:variant>
      <vt:variant>
        <vt:i4>104</vt:i4>
      </vt:variant>
      <vt:variant>
        <vt:i4>0</vt:i4>
      </vt:variant>
      <vt:variant>
        <vt:i4>5</vt:i4>
      </vt:variant>
      <vt:variant>
        <vt:lpwstr/>
      </vt:variant>
      <vt:variant>
        <vt:lpwstr>_Toc344391736</vt:lpwstr>
      </vt:variant>
      <vt:variant>
        <vt:i4>1179705</vt:i4>
      </vt:variant>
      <vt:variant>
        <vt:i4>98</vt:i4>
      </vt:variant>
      <vt:variant>
        <vt:i4>0</vt:i4>
      </vt:variant>
      <vt:variant>
        <vt:i4>5</vt:i4>
      </vt:variant>
      <vt:variant>
        <vt:lpwstr/>
      </vt:variant>
      <vt:variant>
        <vt:lpwstr>_Toc344391735</vt:lpwstr>
      </vt:variant>
      <vt:variant>
        <vt:i4>1179705</vt:i4>
      </vt:variant>
      <vt:variant>
        <vt:i4>92</vt:i4>
      </vt:variant>
      <vt:variant>
        <vt:i4>0</vt:i4>
      </vt:variant>
      <vt:variant>
        <vt:i4>5</vt:i4>
      </vt:variant>
      <vt:variant>
        <vt:lpwstr/>
      </vt:variant>
      <vt:variant>
        <vt:lpwstr>_Toc344391734</vt:lpwstr>
      </vt:variant>
      <vt:variant>
        <vt:i4>1179705</vt:i4>
      </vt:variant>
      <vt:variant>
        <vt:i4>86</vt:i4>
      </vt:variant>
      <vt:variant>
        <vt:i4>0</vt:i4>
      </vt:variant>
      <vt:variant>
        <vt:i4>5</vt:i4>
      </vt:variant>
      <vt:variant>
        <vt:lpwstr/>
      </vt:variant>
      <vt:variant>
        <vt:lpwstr>_Toc344391733</vt:lpwstr>
      </vt:variant>
      <vt:variant>
        <vt:i4>1179705</vt:i4>
      </vt:variant>
      <vt:variant>
        <vt:i4>80</vt:i4>
      </vt:variant>
      <vt:variant>
        <vt:i4>0</vt:i4>
      </vt:variant>
      <vt:variant>
        <vt:i4>5</vt:i4>
      </vt:variant>
      <vt:variant>
        <vt:lpwstr/>
      </vt:variant>
      <vt:variant>
        <vt:lpwstr>_Toc344391732</vt:lpwstr>
      </vt:variant>
      <vt:variant>
        <vt:i4>1179705</vt:i4>
      </vt:variant>
      <vt:variant>
        <vt:i4>74</vt:i4>
      </vt:variant>
      <vt:variant>
        <vt:i4>0</vt:i4>
      </vt:variant>
      <vt:variant>
        <vt:i4>5</vt:i4>
      </vt:variant>
      <vt:variant>
        <vt:lpwstr/>
      </vt:variant>
      <vt:variant>
        <vt:lpwstr>_Toc344391731</vt:lpwstr>
      </vt:variant>
      <vt:variant>
        <vt:i4>1179705</vt:i4>
      </vt:variant>
      <vt:variant>
        <vt:i4>68</vt:i4>
      </vt:variant>
      <vt:variant>
        <vt:i4>0</vt:i4>
      </vt:variant>
      <vt:variant>
        <vt:i4>5</vt:i4>
      </vt:variant>
      <vt:variant>
        <vt:lpwstr/>
      </vt:variant>
      <vt:variant>
        <vt:lpwstr>_Toc344391730</vt:lpwstr>
      </vt:variant>
      <vt:variant>
        <vt:i4>1245241</vt:i4>
      </vt:variant>
      <vt:variant>
        <vt:i4>62</vt:i4>
      </vt:variant>
      <vt:variant>
        <vt:i4>0</vt:i4>
      </vt:variant>
      <vt:variant>
        <vt:i4>5</vt:i4>
      </vt:variant>
      <vt:variant>
        <vt:lpwstr/>
      </vt:variant>
      <vt:variant>
        <vt:lpwstr>_Toc344391729</vt:lpwstr>
      </vt:variant>
      <vt:variant>
        <vt:i4>1245241</vt:i4>
      </vt:variant>
      <vt:variant>
        <vt:i4>56</vt:i4>
      </vt:variant>
      <vt:variant>
        <vt:i4>0</vt:i4>
      </vt:variant>
      <vt:variant>
        <vt:i4>5</vt:i4>
      </vt:variant>
      <vt:variant>
        <vt:lpwstr/>
      </vt:variant>
      <vt:variant>
        <vt:lpwstr>_Toc344391728</vt:lpwstr>
      </vt:variant>
      <vt:variant>
        <vt:i4>1245241</vt:i4>
      </vt:variant>
      <vt:variant>
        <vt:i4>50</vt:i4>
      </vt:variant>
      <vt:variant>
        <vt:i4>0</vt:i4>
      </vt:variant>
      <vt:variant>
        <vt:i4>5</vt:i4>
      </vt:variant>
      <vt:variant>
        <vt:lpwstr/>
      </vt:variant>
      <vt:variant>
        <vt:lpwstr>_Toc344391727</vt:lpwstr>
      </vt:variant>
      <vt:variant>
        <vt:i4>1245241</vt:i4>
      </vt:variant>
      <vt:variant>
        <vt:i4>44</vt:i4>
      </vt:variant>
      <vt:variant>
        <vt:i4>0</vt:i4>
      </vt:variant>
      <vt:variant>
        <vt:i4>5</vt:i4>
      </vt:variant>
      <vt:variant>
        <vt:lpwstr/>
      </vt:variant>
      <vt:variant>
        <vt:lpwstr>_Toc344391726</vt:lpwstr>
      </vt:variant>
      <vt:variant>
        <vt:i4>1245241</vt:i4>
      </vt:variant>
      <vt:variant>
        <vt:i4>38</vt:i4>
      </vt:variant>
      <vt:variant>
        <vt:i4>0</vt:i4>
      </vt:variant>
      <vt:variant>
        <vt:i4>5</vt:i4>
      </vt:variant>
      <vt:variant>
        <vt:lpwstr/>
      </vt:variant>
      <vt:variant>
        <vt:lpwstr>_Toc344391725</vt:lpwstr>
      </vt:variant>
      <vt:variant>
        <vt:i4>1245241</vt:i4>
      </vt:variant>
      <vt:variant>
        <vt:i4>32</vt:i4>
      </vt:variant>
      <vt:variant>
        <vt:i4>0</vt:i4>
      </vt:variant>
      <vt:variant>
        <vt:i4>5</vt:i4>
      </vt:variant>
      <vt:variant>
        <vt:lpwstr/>
      </vt:variant>
      <vt:variant>
        <vt:lpwstr>_Toc344391724</vt:lpwstr>
      </vt:variant>
      <vt:variant>
        <vt:i4>1245241</vt:i4>
      </vt:variant>
      <vt:variant>
        <vt:i4>26</vt:i4>
      </vt:variant>
      <vt:variant>
        <vt:i4>0</vt:i4>
      </vt:variant>
      <vt:variant>
        <vt:i4>5</vt:i4>
      </vt:variant>
      <vt:variant>
        <vt:lpwstr/>
      </vt:variant>
      <vt:variant>
        <vt:lpwstr>_Toc344391723</vt:lpwstr>
      </vt:variant>
      <vt:variant>
        <vt:i4>1245241</vt:i4>
      </vt:variant>
      <vt:variant>
        <vt:i4>20</vt:i4>
      </vt:variant>
      <vt:variant>
        <vt:i4>0</vt:i4>
      </vt:variant>
      <vt:variant>
        <vt:i4>5</vt:i4>
      </vt:variant>
      <vt:variant>
        <vt:lpwstr/>
      </vt:variant>
      <vt:variant>
        <vt:lpwstr>_Toc344391722</vt:lpwstr>
      </vt:variant>
      <vt:variant>
        <vt:i4>1245241</vt:i4>
      </vt:variant>
      <vt:variant>
        <vt:i4>14</vt:i4>
      </vt:variant>
      <vt:variant>
        <vt:i4>0</vt:i4>
      </vt:variant>
      <vt:variant>
        <vt:i4>5</vt:i4>
      </vt:variant>
      <vt:variant>
        <vt:lpwstr/>
      </vt:variant>
      <vt:variant>
        <vt:lpwstr>_Toc344391721</vt:lpwstr>
      </vt:variant>
      <vt:variant>
        <vt:i4>1245241</vt:i4>
      </vt:variant>
      <vt:variant>
        <vt:i4>8</vt:i4>
      </vt:variant>
      <vt:variant>
        <vt:i4>0</vt:i4>
      </vt:variant>
      <vt:variant>
        <vt:i4>5</vt:i4>
      </vt:variant>
      <vt:variant>
        <vt:lpwstr/>
      </vt:variant>
      <vt:variant>
        <vt:lpwstr>_Toc344391720</vt:lpwstr>
      </vt:variant>
      <vt:variant>
        <vt:i4>7733257</vt:i4>
      </vt:variant>
      <vt:variant>
        <vt:i4>3</vt:i4>
      </vt:variant>
      <vt:variant>
        <vt:i4>0</vt:i4>
      </vt:variant>
      <vt:variant>
        <vt:i4>5</vt:i4>
      </vt:variant>
      <vt:variant>
        <vt:lpwstr>\\Servidor\conicbf\PROYECTOS\0961-Hidrologia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Etapa 1</dc:title>
  <dc:subject>Colbún Melado</dc:subject>
  <dc:creator>Cristian Hadad W.</dc:creator>
  <cp:lastModifiedBy>Gianinna Leyton Palma (DGA)</cp:lastModifiedBy>
  <cp:revision>2</cp:revision>
  <cp:lastPrinted>2012-12-27T20:15:00Z</cp:lastPrinted>
  <dcterms:created xsi:type="dcterms:W3CDTF">2016-04-13T13:37:00Z</dcterms:created>
  <dcterms:modified xsi:type="dcterms:W3CDTF">2016-04-13T13:37:00Z</dcterms:modified>
</cp:coreProperties>
</file>